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86456" w14:textId="77777777" w:rsidR="0062551B" w:rsidRPr="00A562AA" w:rsidRDefault="0062551B" w:rsidP="00571BF3">
      <w:pPr>
        <w:jc w:val="center"/>
        <w:rPr>
          <w:b/>
          <w:sz w:val="28"/>
        </w:rPr>
      </w:pPr>
      <w:r w:rsidRPr="00A562AA">
        <w:rPr>
          <w:b/>
          <w:sz w:val="28"/>
        </w:rPr>
        <w:tab/>
      </w:r>
      <w:r w:rsidRPr="00A562AA">
        <w:rPr>
          <w:b/>
          <w:sz w:val="28"/>
        </w:rPr>
        <w:tab/>
      </w:r>
      <w:r w:rsidRPr="00A562AA">
        <w:rPr>
          <w:b/>
          <w:sz w:val="28"/>
        </w:rPr>
        <w:tab/>
      </w:r>
      <w:r w:rsidRPr="00A562AA">
        <w:rPr>
          <w:b/>
          <w:sz w:val="28"/>
        </w:rPr>
        <w:tab/>
      </w:r>
      <w:r w:rsidRPr="00A562AA">
        <w:rPr>
          <w:b/>
          <w:sz w:val="28"/>
        </w:rPr>
        <w:tab/>
      </w:r>
      <w:r w:rsidR="00524D2D">
        <w:rPr>
          <w:b/>
          <w:noProof/>
          <w:sz w:val="28"/>
        </w:rPr>
        <w:drawing>
          <wp:inline distT="0" distB="0" distL="0" distR="0" wp14:anchorId="18286468" wp14:editId="18286469">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r w:rsidRPr="00A562AA">
        <w:rPr>
          <w:b/>
          <w:sz w:val="28"/>
        </w:rPr>
        <w:tab/>
      </w:r>
      <w:r w:rsidRPr="00A562AA">
        <w:rPr>
          <w:b/>
          <w:sz w:val="28"/>
        </w:rPr>
        <w:tab/>
      </w:r>
      <w:r w:rsidRPr="00A562AA">
        <w:rPr>
          <w:b/>
          <w:sz w:val="28"/>
        </w:rPr>
        <w:tab/>
      </w:r>
      <w:r w:rsidRPr="00A562AA">
        <w:rPr>
          <w:b/>
          <w:sz w:val="28"/>
        </w:rPr>
        <w:tab/>
      </w:r>
      <w:r w:rsidRPr="00A562AA">
        <w:rPr>
          <w:b/>
          <w:sz w:val="28"/>
        </w:rPr>
        <w:tab/>
      </w:r>
    </w:p>
    <w:p w14:paraId="18286457" w14:textId="77777777" w:rsidR="0062551B" w:rsidRPr="00A562AA" w:rsidRDefault="0062551B" w:rsidP="00571BF3">
      <w:pPr>
        <w:jc w:val="center"/>
        <w:rPr>
          <w:bCs/>
          <w:szCs w:val="24"/>
        </w:rPr>
      </w:pPr>
    </w:p>
    <w:p w14:paraId="18286458" w14:textId="77777777" w:rsidR="0062551B" w:rsidRPr="00A562AA" w:rsidRDefault="0062551B" w:rsidP="00571BF3">
      <w:pPr>
        <w:jc w:val="center"/>
        <w:rPr>
          <w:b/>
          <w:sz w:val="28"/>
        </w:rPr>
      </w:pPr>
      <w:r w:rsidRPr="00A562AA">
        <w:rPr>
          <w:b/>
          <w:sz w:val="28"/>
        </w:rPr>
        <w:t>PANEVĖŽIO MIESTO SAVIVALDYBĖS MERAS</w:t>
      </w:r>
    </w:p>
    <w:p w14:paraId="18286459" w14:textId="77777777" w:rsidR="0062551B" w:rsidRDefault="0062551B" w:rsidP="00571BF3">
      <w:pPr>
        <w:jc w:val="both"/>
      </w:pPr>
      <w:r w:rsidRPr="00A562AA">
        <w:t xml:space="preserve">                                                                                  </w:t>
      </w:r>
    </w:p>
    <w:p w14:paraId="1828645A" w14:textId="77777777" w:rsidR="0062551B" w:rsidRPr="00A562AA" w:rsidRDefault="0062551B" w:rsidP="00571BF3">
      <w:pPr>
        <w:jc w:val="both"/>
      </w:pPr>
      <w:r w:rsidRPr="00A562AA">
        <w:t xml:space="preserve">                                                           </w:t>
      </w:r>
    </w:p>
    <w:p w14:paraId="1828645B" w14:textId="77777777" w:rsidR="0062551B" w:rsidRPr="00A562AA" w:rsidRDefault="0062551B" w:rsidP="00571BF3">
      <w:pPr>
        <w:keepNext/>
        <w:jc w:val="center"/>
        <w:outlineLvl w:val="1"/>
        <w:rPr>
          <w:b/>
        </w:rPr>
      </w:pPr>
      <w:r w:rsidRPr="00A562AA">
        <w:rPr>
          <w:b/>
        </w:rPr>
        <w:t>POTVARKIS</w:t>
      </w:r>
    </w:p>
    <w:p w14:paraId="1828645C" w14:textId="77777777" w:rsidR="0062551B" w:rsidRPr="00A562AA" w:rsidRDefault="00524D2D" w:rsidP="005F44E3">
      <w:pPr>
        <w:pStyle w:val="Antrat1"/>
      </w:pPr>
      <w:r>
        <w:fldChar w:fldCharType="begin">
          <w:ffData>
            <w:name w:val="tekstoAntraste"/>
            <w:enabled/>
            <w:calcOnExit w:val="0"/>
            <w:textInput>
              <w:default w:val="&lt;Antraštė&gt;"/>
            </w:textInput>
          </w:ffData>
        </w:fldChar>
      </w:r>
      <w:bookmarkStart w:id="0" w:name="tekstoAntraste"/>
      <w:r>
        <w:instrText xml:space="preserve"> FORMTEXT </w:instrText>
      </w:r>
      <w:r>
        <w:fldChar w:fldCharType="separate"/>
      </w:r>
      <w:r>
        <w:rPr>
          <w:noProof/>
        </w:rPr>
        <w:t>DĖL SAVIVALDYBĖS MERO 2025 M. SAUSIO 7 D. POTVARKIO NR. M-8 „DĖL PANEVĖŽIO MIESTO FUTBOLO SPORTO ŠAKOS 2025–2027 METŲ PLĖTROS PROGRAMOS ĮGYVENDINIMO PARAIŠKOS, ADMINISTRACINĖS ATITIKTIES VERTINIMO IR KOKYBINIO VERTINIMO ANKETOS FORMŲ PATVIRTINIMO“ PAKEITIMO</w:t>
      </w:r>
      <w:r>
        <w:fldChar w:fldCharType="end"/>
      </w:r>
      <w:bookmarkEnd w:id="0"/>
    </w:p>
    <w:p w14:paraId="1828645D" w14:textId="77777777" w:rsidR="0062551B" w:rsidRPr="00A562AA" w:rsidRDefault="0062551B" w:rsidP="003E58F0">
      <w:pPr>
        <w:jc w:val="center"/>
      </w:pPr>
    </w:p>
    <w:p w14:paraId="1828645E" w14:textId="418950CA" w:rsidR="0062551B" w:rsidRPr="00A562AA" w:rsidRDefault="00F953AB" w:rsidP="003E58F0">
      <w:pPr>
        <w:jc w:val="center"/>
      </w:pPr>
      <w:r>
        <w:rPr>
          <w:rStyle w:val="Style3"/>
        </w:rPr>
        <w:t>2025 m. vasario 21 d.</w:t>
      </w:r>
      <w:r w:rsidR="0062551B" w:rsidRPr="00A562AA">
        <w:t xml:space="preserve"> Nr. </w:t>
      </w:r>
      <w:r>
        <w:t>M-98</w:t>
      </w:r>
    </w:p>
    <w:p w14:paraId="1828645F" w14:textId="77777777" w:rsidR="0062551B" w:rsidRPr="00A562AA" w:rsidRDefault="0062551B" w:rsidP="00571BF3">
      <w:pPr>
        <w:keepNext/>
        <w:jc w:val="center"/>
        <w:outlineLvl w:val="2"/>
        <w:rPr>
          <w:b/>
        </w:rPr>
      </w:pPr>
      <w:r w:rsidRPr="00A562AA">
        <w:t>Panevėžys</w:t>
      </w:r>
    </w:p>
    <w:p w14:paraId="18286460" w14:textId="77777777" w:rsidR="0062551B" w:rsidRDefault="0062551B" w:rsidP="00571BF3">
      <w:pPr>
        <w:jc w:val="both"/>
      </w:pPr>
    </w:p>
    <w:p w14:paraId="618261C8" w14:textId="77777777" w:rsidR="00605E6C" w:rsidRDefault="00605E6C" w:rsidP="00605E6C">
      <w:pPr>
        <w:spacing w:line="360" w:lineRule="auto"/>
        <w:ind w:firstLine="720"/>
        <w:jc w:val="both"/>
      </w:pPr>
      <w:r>
        <w:rPr>
          <w:szCs w:val="24"/>
        </w:rPr>
        <w:t>Vadovaudamasis Lietuvos Respublikos vietos savivaldos įstatymo 25 straipsnio 5 dalimi,</w:t>
      </w:r>
      <w:r>
        <w:rPr>
          <w:color w:val="000000"/>
          <w:szCs w:val="24"/>
          <w:lang w:eastAsia="lt-LT"/>
        </w:rPr>
        <w:t xml:space="preserve"> </w:t>
      </w:r>
      <w:r w:rsidRPr="00003D38">
        <w:t>Panevėžio miesto futbolo sporto šakos 2025–2027 metų plėtros programos finansavimo iš savivaldybės biudžeto lėšų konkurso nuostat</w:t>
      </w:r>
      <w:r>
        <w:t xml:space="preserve">ų, </w:t>
      </w:r>
      <w:r w:rsidRPr="00DD3DC3">
        <w:rPr>
          <w:szCs w:val="24"/>
          <w:lang w:eastAsia="lt-LT"/>
        </w:rPr>
        <w:t>patvirtintų Panevėžio miesto savivaldybės tarybos</w:t>
      </w:r>
      <w:r>
        <w:rPr>
          <w:szCs w:val="24"/>
          <w:lang w:eastAsia="lt-LT"/>
        </w:rPr>
        <w:t xml:space="preserve"> 2024 m. gruodžio 27 d. sprendimu Nr. </w:t>
      </w:r>
      <w:r>
        <w:rPr>
          <w:szCs w:val="24"/>
        </w:rPr>
        <w:t xml:space="preserve">1-563 </w:t>
      </w:r>
      <w:r>
        <w:t>„</w:t>
      </w:r>
      <w:r w:rsidRPr="002C489D">
        <w:t>Dėl</w:t>
      </w:r>
      <w:r>
        <w:t xml:space="preserve"> </w:t>
      </w:r>
      <w:r w:rsidRPr="002C489D">
        <w:t>Panevėžio miesto</w:t>
      </w:r>
      <w:r>
        <w:t xml:space="preserve"> </w:t>
      </w:r>
      <w:r w:rsidRPr="002C489D">
        <w:t>futbolo sporto šakos 2025–2027 metų</w:t>
      </w:r>
      <w:r>
        <w:t xml:space="preserve"> </w:t>
      </w:r>
      <w:r w:rsidRPr="002C489D">
        <w:t>plėtros programos</w:t>
      </w:r>
      <w:r>
        <w:t xml:space="preserve"> </w:t>
      </w:r>
      <w:r w:rsidRPr="002C489D">
        <w:t>ir jos finansav</w:t>
      </w:r>
      <w:bookmarkStart w:id="1" w:name="_GoBack"/>
      <w:bookmarkEnd w:id="1"/>
      <w:r w:rsidRPr="002C489D">
        <w:t>imo iš savivaldybės biudžeto lėšų konkurso nuostatų patvirtinimo</w:t>
      </w:r>
      <w:r>
        <w:t xml:space="preserve">“, 32 punktu: </w:t>
      </w:r>
    </w:p>
    <w:p w14:paraId="61EE196C" w14:textId="73CD83B9" w:rsidR="00605E6C" w:rsidRPr="00C62291" w:rsidRDefault="00605E6C" w:rsidP="00605E6C">
      <w:pPr>
        <w:pStyle w:val="Sraopastraipa"/>
        <w:numPr>
          <w:ilvl w:val="0"/>
          <w:numId w:val="1"/>
        </w:numPr>
        <w:tabs>
          <w:tab w:val="left" w:pos="1134"/>
        </w:tabs>
        <w:spacing w:line="360" w:lineRule="auto"/>
        <w:ind w:left="0" w:firstLine="851"/>
        <w:jc w:val="both"/>
        <w:rPr>
          <w:color w:val="000000"/>
          <w:shd w:val="clear" w:color="auto" w:fill="FFFFFF"/>
        </w:rPr>
      </w:pPr>
      <w:r w:rsidRPr="00C62291">
        <w:rPr>
          <w:szCs w:val="24"/>
        </w:rPr>
        <w:t xml:space="preserve">P a k e i č i u </w:t>
      </w:r>
      <w:r w:rsidRPr="00C62291">
        <w:rPr>
          <w:color w:val="000000"/>
          <w:shd w:val="clear" w:color="auto" w:fill="FFFFFF"/>
        </w:rPr>
        <w:t xml:space="preserve">Panevėžio miesto futbolo sporto šakos 2025–2027 metų plėtros programos įgyvendinimo paraiškos kokybinio vertinimo anketos formą, patvirtintą </w:t>
      </w:r>
      <w:r w:rsidRPr="00C62291">
        <w:rPr>
          <w:bCs/>
          <w:color w:val="000000"/>
        </w:rPr>
        <w:t>Panevėžio miesto savivaldybės mero 2025 m. sausio 7 d. potvarkiu Nr. M-</w:t>
      </w:r>
      <w:r w:rsidR="000E73D7">
        <w:rPr>
          <w:bCs/>
          <w:color w:val="000000"/>
        </w:rPr>
        <w:t>8</w:t>
      </w:r>
      <w:r w:rsidRPr="00C62291">
        <w:rPr>
          <w:bCs/>
          <w:color w:val="000000"/>
        </w:rPr>
        <w:t xml:space="preserve"> „</w:t>
      </w:r>
      <w:r w:rsidRPr="00C62291">
        <w:rPr>
          <w:color w:val="000000"/>
          <w:shd w:val="clear" w:color="auto" w:fill="FFFFFF"/>
        </w:rPr>
        <w:t>Dėl Panevėžio miesto futbolo sporto šakos 2025–2027 metų plėtros programos įgyvendinimo paraiškos, administracinės atitikties vertinimo ir kokybinio vertinimo anketos formų patvirtinimo</w:t>
      </w:r>
      <w:r w:rsidRPr="00C62291">
        <w:rPr>
          <w:bCs/>
          <w:color w:val="000000"/>
        </w:rPr>
        <w:t>“,</w:t>
      </w:r>
      <w:r w:rsidRPr="00C62291">
        <w:rPr>
          <w:b/>
          <w:bCs/>
          <w:color w:val="000000"/>
        </w:rPr>
        <w:t xml:space="preserve"> </w:t>
      </w:r>
      <w:r w:rsidRPr="00C62291">
        <w:rPr>
          <w:color w:val="000000"/>
          <w:shd w:val="clear" w:color="auto" w:fill="FFFFFF"/>
        </w:rPr>
        <w:t>ir ją išdėstau nauja redakcija (pridedama).</w:t>
      </w:r>
    </w:p>
    <w:p w14:paraId="06522BA4" w14:textId="77777777" w:rsidR="00605E6C" w:rsidRPr="00C62291" w:rsidRDefault="00605E6C" w:rsidP="00605E6C">
      <w:pPr>
        <w:pStyle w:val="Sraopastraipa"/>
        <w:widowControl w:val="0"/>
        <w:numPr>
          <w:ilvl w:val="0"/>
          <w:numId w:val="1"/>
        </w:numPr>
        <w:tabs>
          <w:tab w:val="left" w:pos="993"/>
          <w:tab w:val="left" w:pos="1134"/>
        </w:tabs>
        <w:spacing w:line="360" w:lineRule="auto"/>
        <w:ind w:left="0" w:firstLine="851"/>
        <w:jc w:val="both"/>
        <w:rPr>
          <w:rFonts w:eastAsia="Calibri"/>
          <w:bCs/>
          <w:szCs w:val="24"/>
        </w:rPr>
      </w:pPr>
      <w:r w:rsidRPr="00C62291">
        <w:rPr>
          <w:rFonts w:eastAsia="Calibri"/>
          <w:bCs/>
          <w:szCs w:val="24"/>
        </w:rPr>
        <w:t xml:space="preserve">N u r o d a u, kad </w:t>
      </w:r>
      <w:r w:rsidRPr="00C62291">
        <w:rPr>
          <w:szCs w:val="24"/>
        </w:rPr>
        <w:t>šis potvarkis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1960D92B" w14:textId="77777777" w:rsidR="00605E6C" w:rsidRDefault="00605E6C" w:rsidP="00605E6C">
      <w:pPr>
        <w:jc w:val="both"/>
        <w:rPr>
          <w:szCs w:val="24"/>
        </w:rPr>
      </w:pPr>
    </w:p>
    <w:p w14:paraId="33780F01" w14:textId="77777777" w:rsidR="00605E6C" w:rsidRPr="00A562AA" w:rsidRDefault="00605E6C" w:rsidP="00605E6C">
      <w:pPr>
        <w:jc w:val="both"/>
        <w:rPr>
          <w:szCs w:val="24"/>
        </w:rPr>
      </w:pPr>
    </w:p>
    <w:p w14:paraId="1FE45EAD" w14:textId="77777777" w:rsidR="00605E6C" w:rsidRDefault="00605E6C" w:rsidP="00605E6C">
      <w:r w:rsidRPr="00DC59CF">
        <w:t>Mero pareigas laikinai einantis</w:t>
      </w:r>
      <w:r>
        <w:t xml:space="preserve"> </w:t>
      </w:r>
      <w:r w:rsidRPr="00DC59CF">
        <w:t>Savivaldybės tarybos narys</w:t>
      </w:r>
      <w:r>
        <w:tab/>
        <w:t xml:space="preserve">   </w:t>
      </w:r>
      <w:r>
        <w:tab/>
      </w:r>
      <w:r>
        <w:tab/>
        <w:t xml:space="preserve">         Petras </w:t>
      </w:r>
      <w:proofErr w:type="spellStart"/>
      <w:r>
        <w:t>Luomanas</w:t>
      </w:r>
      <w:proofErr w:type="spellEnd"/>
    </w:p>
    <w:p w14:paraId="1710C700" w14:textId="77777777" w:rsidR="00605E6C" w:rsidRDefault="00605E6C" w:rsidP="00605E6C">
      <w:r>
        <w:br w:type="page"/>
      </w:r>
    </w:p>
    <w:p w14:paraId="5117B1C8" w14:textId="03522D1D" w:rsidR="00605E6C" w:rsidRPr="003E2790" w:rsidRDefault="00F953AB" w:rsidP="00605E6C">
      <w:pPr>
        <w:ind w:left="5103"/>
        <w:rPr>
          <w:color w:val="000000"/>
          <w:szCs w:val="24"/>
          <w:lang w:eastAsia="lt-LT"/>
        </w:rPr>
      </w:pPr>
      <w:r>
        <w:lastRenderedPageBreak/>
        <w:t xml:space="preserve">PATVIRTINTA </w:t>
      </w:r>
      <w:r>
        <w:br/>
      </w:r>
      <w:r>
        <w:t>Panevėžio miesto savivaldybės mero 2025 m. sausio 7 d. potvarkiu Nr. M-8 (Panevėžio miesto savivaldybės mero 2025 m. vasario 21 d. potvarkio Nr. M-98 redakcija)</w:t>
      </w:r>
    </w:p>
    <w:p w14:paraId="150C3826" w14:textId="77777777" w:rsidR="00605E6C" w:rsidRDefault="00605E6C" w:rsidP="00605E6C">
      <w:pPr>
        <w:jc w:val="center"/>
        <w:rPr>
          <w:b/>
          <w:iCs/>
          <w:szCs w:val="24"/>
          <w:lang w:eastAsia="lt-LT"/>
        </w:rPr>
      </w:pPr>
    </w:p>
    <w:p w14:paraId="10D2D243" w14:textId="77777777" w:rsidR="00605E6C" w:rsidRDefault="00605E6C" w:rsidP="00605E6C">
      <w:pPr>
        <w:jc w:val="center"/>
        <w:rPr>
          <w:b/>
          <w:iCs/>
          <w:szCs w:val="24"/>
          <w:lang w:eastAsia="lt-LT"/>
        </w:rPr>
      </w:pPr>
    </w:p>
    <w:p w14:paraId="02D9209F" w14:textId="77777777" w:rsidR="00605E6C" w:rsidRPr="00F24D49" w:rsidRDefault="00605E6C" w:rsidP="00605E6C">
      <w:pPr>
        <w:jc w:val="center"/>
        <w:rPr>
          <w:b/>
          <w:iCs/>
          <w:szCs w:val="24"/>
          <w:lang w:eastAsia="lt-LT"/>
        </w:rPr>
      </w:pPr>
      <w:r w:rsidRPr="008107C0">
        <w:rPr>
          <w:b/>
          <w:iCs/>
          <w:szCs w:val="24"/>
          <w:lang w:eastAsia="lt-LT"/>
        </w:rPr>
        <w:t>(</w:t>
      </w:r>
      <w:r w:rsidRPr="00777C99">
        <w:rPr>
          <w:rFonts w:eastAsia="Lucida Sans Unicode"/>
          <w:b/>
          <w:szCs w:val="24"/>
          <w:lang w:eastAsia="hi-IN" w:bidi="hi-IN"/>
        </w:rPr>
        <w:t>P</w:t>
      </w:r>
      <w:r w:rsidRPr="008107C0">
        <w:rPr>
          <w:b/>
          <w:szCs w:val="24"/>
          <w:lang w:eastAsia="lt-LT"/>
        </w:rPr>
        <w:t>araiškos kokybinio</w:t>
      </w:r>
      <w:r w:rsidRPr="008107C0">
        <w:rPr>
          <w:b/>
          <w:i/>
          <w:szCs w:val="24"/>
          <w:lang w:eastAsia="lt-LT"/>
        </w:rPr>
        <w:t xml:space="preserve"> </w:t>
      </w:r>
      <w:r w:rsidRPr="008107C0">
        <w:rPr>
          <w:b/>
          <w:iCs/>
          <w:szCs w:val="24"/>
          <w:lang w:eastAsia="lt-LT"/>
        </w:rPr>
        <w:t>vertinimo</w:t>
      </w:r>
      <w:r>
        <w:rPr>
          <w:b/>
          <w:iCs/>
          <w:szCs w:val="24"/>
          <w:lang w:eastAsia="lt-LT"/>
        </w:rPr>
        <w:t xml:space="preserve"> </w:t>
      </w:r>
      <w:r w:rsidRPr="00F24D49">
        <w:rPr>
          <w:b/>
          <w:iCs/>
          <w:szCs w:val="24"/>
          <w:lang w:eastAsia="lt-LT"/>
        </w:rPr>
        <w:t>anketos forma)</w:t>
      </w:r>
    </w:p>
    <w:p w14:paraId="5EC523CA" w14:textId="77777777" w:rsidR="00605E6C" w:rsidRPr="00F24D49" w:rsidRDefault="00605E6C" w:rsidP="00605E6C">
      <w:pPr>
        <w:suppressAutoHyphens/>
        <w:rPr>
          <w:b/>
          <w:szCs w:val="24"/>
          <w:lang w:eastAsia="lt-LT"/>
        </w:rPr>
      </w:pPr>
    </w:p>
    <w:p w14:paraId="4BFAE6C8" w14:textId="77777777" w:rsidR="00605E6C" w:rsidRPr="00F24D49" w:rsidRDefault="00605E6C" w:rsidP="00605E6C">
      <w:pPr>
        <w:jc w:val="center"/>
        <w:rPr>
          <w:b/>
          <w:bCs/>
          <w:szCs w:val="24"/>
          <w:lang w:eastAsia="lt-LT"/>
        </w:rPr>
      </w:pPr>
      <w:r w:rsidRPr="00F24D49">
        <w:rPr>
          <w:rFonts w:eastAsia="Lucida Sans Unicode"/>
          <w:b/>
          <w:bCs/>
          <w:szCs w:val="24"/>
          <w:lang w:val="es-ES" w:eastAsia="lt-LT"/>
        </w:rPr>
        <w:t xml:space="preserve">PANEVĖŽIO MIESTO FUTBOLO SPORTO ŠAKOS 2025–2027 METŲ PLĖTROS </w:t>
      </w:r>
      <w:r w:rsidRPr="00F24D49">
        <w:rPr>
          <w:rFonts w:eastAsia="Lucida Sans Unicode"/>
          <w:b/>
          <w:bCs/>
          <w:szCs w:val="24"/>
          <w:lang w:eastAsia="lt-LT"/>
        </w:rPr>
        <w:t xml:space="preserve">PROGRAMOS </w:t>
      </w:r>
      <w:r w:rsidRPr="00F24D49">
        <w:rPr>
          <w:b/>
          <w:bCs/>
          <w:szCs w:val="24"/>
          <w:lang w:eastAsia="lt-LT"/>
        </w:rPr>
        <w:t>ĮGYVENDINIMO PARAIŠKOS KOKYBINIO VERTINIMO ANKETA</w:t>
      </w:r>
    </w:p>
    <w:p w14:paraId="737474CC" w14:textId="77777777" w:rsidR="00605E6C" w:rsidRPr="00777C99" w:rsidRDefault="00605E6C" w:rsidP="00605E6C">
      <w:pPr>
        <w:jc w:val="center"/>
        <w:rPr>
          <w:rFonts w:eastAsia="Lucida Sans Unicode"/>
          <w:b/>
          <w:bCs/>
          <w:szCs w:val="24"/>
          <w:lang w:eastAsia="lt-LT"/>
        </w:rPr>
      </w:pPr>
    </w:p>
    <w:p w14:paraId="55B1B6C3" w14:textId="77777777" w:rsidR="00605E6C" w:rsidRPr="008107C0" w:rsidRDefault="00605E6C" w:rsidP="00605E6C">
      <w:pPr>
        <w:rPr>
          <w:b/>
          <w:szCs w:val="24"/>
          <w:lang w:eastAsia="lt-LT"/>
        </w:rPr>
      </w:pPr>
    </w:p>
    <w:p w14:paraId="1DBD2C09" w14:textId="77777777" w:rsidR="00605E6C" w:rsidRPr="008107C0" w:rsidRDefault="00605E6C" w:rsidP="00605E6C">
      <w:pPr>
        <w:rPr>
          <w:b/>
          <w:szCs w:val="24"/>
          <w:lang w:eastAsia="lt-LT"/>
        </w:rPr>
      </w:pPr>
      <w:r>
        <w:rPr>
          <w:b/>
          <w:szCs w:val="24"/>
          <w:lang w:eastAsia="lt-LT"/>
        </w:rPr>
        <w:t>P</w:t>
      </w:r>
      <w:r w:rsidRPr="008107C0">
        <w:rPr>
          <w:b/>
          <w:szCs w:val="24"/>
          <w:lang w:eastAsia="lt-LT"/>
        </w:rPr>
        <w:t xml:space="preserve">araiškos teikėjo pavadinimas </w:t>
      </w:r>
    </w:p>
    <w:tbl>
      <w:tblPr>
        <w:tblW w:w="97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776"/>
      </w:tblGrid>
      <w:tr w:rsidR="00605E6C" w:rsidRPr="008107C0" w14:paraId="5F149645" w14:textId="77777777" w:rsidTr="004067F8">
        <w:trPr>
          <w:trHeight w:val="486"/>
        </w:trPr>
        <w:tc>
          <w:tcPr>
            <w:tcW w:w="9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4F1CE6" w14:textId="77777777" w:rsidR="00605E6C" w:rsidRPr="008107C0" w:rsidRDefault="00605E6C" w:rsidP="004067F8"/>
        </w:tc>
      </w:tr>
    </w:tbl>
    <w:p w14:paraId="33D5B281" w14:textId="77777777" w:rsidR="00605E6C" w:rsidRPr="008107C0" w:rsidRDefault="00605E6C" w:rsidP="00605E6C">
      <w:pPr>
        <w:rPr>
          <w:szCs w:val="24"/>
          <w:lang w:eastAsia="lt-LT"/>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4"/>
        <w:gridCol w:w="1559"/>
        <w:gridCol w:w="1418"/>
        <w:gridCol w:w="1559"/>
      </w:tblGrid>
      <w:tr w:rsidR="00605E6C" w:rsidRPr="008107C0" w14:paraId="237DCD5F" w14:textId="77777777" w:rsidTr="004067F8">
        <w:trPr>
          <w:trHeight w:val="577"/>
        </w:trPr>
        <w:tc>
          <w:tcPr>
            <w:tcW w:w="5274" w:type="dxa"/>
          </w:tcPr>
          <w:p w14:paraId="282DC5BF" w14:textId="77777777" w:rsidR="00605E6C" w:rsidRPr="008107C0" w:rsidRDefault="00605E6C" w:rsidP="004067F8">
            <w:pPr>
              <w:suppressAutoHyphens/>
              <w:spacing w:line="276" w:lineRule="auto"/>
              <w:ind w:right="-1"/>
              <w:jc w:val="center"/>
              <w:rPr>
                <w:b/>
                <w:szCs w:val="24"/>
                <w:lang w:eastAsia="lt-LT"/>
              </w:rPr>
            </w:pPr>
            <w:r w:rsidRPr="008107C0">
              <w:rPr>
                <w:b/>
                <w:szCs w:val="24"/>
                <w:lang w:eastAsia="lt-LT"/>
              </w:rPr>
              <w:t>PARAIŠKOS KOKYBINIS VERTINIMAS</w:t>
            </w:r>
          </w:p>
        </w:tc>
        <w:tc>
          <w:tcPr>
            <w:tcW w:w="1559" w:type="dxa"/>
          </w:tcPr>
          <w:p w14:paraId="7F0803C7" w14:textId="77777777" w:rsidR="00605E6C" w:rsidRPr="008107C0" w:rsidRDefault="00605E6C" w:rsidP="004067F8">
            <w:pPr>
              <w:spacing w:line="276" w:lineRule="auto"/>
              <w:jc w:val="center"/>
              <w:rPr>
                <w:b/>
                <w:szCs w:val="24"/>
                <w:lang w:eastAsia="lt-LT"/>
              </w:rPr>
            </w:pPr>
            <w:r w:rsidRPr="008107C0">
              <w:rPr>
                <w:b/>
                <w:bCs/>
                <w:szCs w:val="24"/>
                <w:lang w:eastAsia="lt-LT"/>
              </w:rPr>
              <w:t>Maksimalus balas</w:t>
            </w:r>
          </w:p>
        </w:tc>
        <w:tc>
          <w:tcPr>
            <w:tcW w:w="1418" w:type="dxa"/>
          </w:tcPr>
          <w:p w14:paraId="7185EFDD" w14:textId="77777777" w:rsidR="00605E6C" w:rsidRPr="008107C0" w:rsidRDefault="00605E6C" w:rsidP="004067F8">
            <w:pPr>
              <w:spacing w:line="276" w:lineRule="auto"/>
              <w:jc w:val="center"/>
              <w:rPr>
                <w:b/>
                <w:szCs w:val="24"/>
                <w:lang w:eastAsia="lt-LT"/>
              </w:rPr>
            </w:pPr>
            <w:r w:rsidRPr="008107C0">
              <w:rPr>
                <w:b/>
                <w:bCs/>
                <w:szCs w:val="24"/>
                <w:lang w:eastAsia="lt-LT"/>
              </w:rPr>
              <w:t>Įvertinimas balais</w:t>
            </w:r>
          </w:p>
        </w:tc>
        <w:tc>
          <w:tcPr>
            <w:tcW w:w="1559" w:type="dxa"/>
          </w:tcPr>
          <w:p w14:paraId="3A4FD3D1" w14:textId="77777777" w:rsidR="00605E6C" w:rsidRPr="008107C0" w:rsidRDefault="00605E6C" w:rsidP="004067F8">
            <w:pPr>
              <w:spacing w:line="276" w:lineRule="auto"/>
              <w:jc w:val="center"/>
              <w:rPr>
                <w:b/>
                <w:bCs/>
                <w:szCs w:val="24"/>
                <w:lang w:eastAsia="lt-LT"/>
              </w:rPr>
            </w:pPr>
            <w:r w:rsidRPr="008107C0">
              <w:rPr>
                <w:b/>
                <w:bCs/>
                <w:szCs w:val="24"/>
                <w:lang w:eastAsia="lt-LT"/>
              </w:rPr>
              <w:t>Komentaras</w:t>
            </w:r>
          </w:p>
        </w:tc>
      </w:tr>
      <w:tr w:rsidR="00605E6C" w:rsidRPr="008107C0" w14:paraId="28A7F4A3" w14:textId="77777777" w:rsidTr="004067F8">
        <w:tblPrEx>
          <w:tblLook w:val="04A0" w:firstRow="1" w:lastRow="0" w:firstColumn="1" w:lastColumn="0" w:noHBand="0" w:noVBand="1"/>
        </w:tblPrEx>
        <w:tc>
          <w:tcPr>
            <w:tcW w:w="9810" w:type="dxa"/>
            <w:gridSpan w:val="4"/>
          </w:tcPr>
          <w:p w14:paraId="2C3C8430" w14:textId="77777777" w:rsidR="00605E6C" w:rsidRPr="008107C0" w:rsidRDefault="00605E6C" w:rsidP="004067F8">
            <w:pPr>
              <w:spacing w:line="276" w:lineRule="auto"/>
              <w:jc w:val="both"/>
              <w:rPr>
                <w:szCs w:val="24"/>
                <w:lang w:eastAsia="lt-LT"/>
              </w:rPr>
            </w:pPr>
            <w:r w:rsidRPr="008107C0">
              <w:rPr>
                <w:b/>
                <w:szCs w:val="24"/>
                <w:lang w:eastAsia="lt-LT"/>
              </w:rPr>
              <w:t xml:space="preserve">Vertinimo kriterijai </w:t>
            </w:r>
          </w:p>
        </w:tc>
      </w:tr>
      <w:tr w:rsidR="00605E6C" w:rsidRPr="008107C0" w14:paraId="7D06D5F6" w14:textId="77777777" w:rsidTr="004067F8">
        <w:tblPrEx>
          <w:tblLook w:val="04A0" w:firstRow="1" w:lastRow="0" w:firstColumn="1" w:lastColumn="0" w:noHBand="0" w:noVBand="1"/>
        </w:tblPrEx>
        <w:tc>
          <w:tcPr>
            <w:tcW w:w="5274" w:type="dxa"/>
          </w:tcPr>
          <w:p w14:paraId="4E60EAD4" w14:textId="77777777" w:rsidR="00605E6C" w:rsidRPr="00BB121C" w:rsidRDefault="00605E6C" w:rsidP="004067F8">
            <w:pPr>
              <w:spacing w:line="276" w:lineRule="auto"/>
              <w:jc w:val="both"/>
              <w:rPr>
                <w:szCs w:val="24"/>
                <w:shd w:val="clear" w:color="auto" w:fill="FFFFFF"/>
                <w:lang w:eastAsia="lt-LT"/>
              </w:rPr>
            </w:pPr>
            <w:r w:rsidRPr="00BB121C">
              <w:rPr>
                <w:bCs/>
                <w:szCs w:val="24"/>
                <w:lang w:eastAsia="lt-LT"/>
              </w:rPr>
              <w:t>1. Aktualumas / naujumas / naudingumas (</w:t>
            </w:r>
            <w:r w:rsidRPr="00BB121C">
              <w:rPr>
                <w:szCs w:val="24"/>
                <w:shd w:val="clear" w:color="auto" w:fill="FFFFFF"/>
                <w:lang w:eastAsia="lt-LT"/>
              </w:rPr>
              <w:t>aiškiai įvardyta problema, pagrįstas jos aktualumas, aprašyta, ko siekiama projekto veiklomis, kaip įgyvendinamas numatytas tikslas ir uždaviniai):</w:t>
            </w:r>
          </w:p>
          <w:p w14:paraId="771DAA25" w14:textId="77777777" w:rsidR="00605E6C" w:rsidRPr="00BB121C" w:rsidRDefault="00605E6C" w:rsidP="004067F8">
            <w:pPr>
              <w:spacing w:line="276" w:lineRule="auto"/>
              <w:jc w:val="center"/>
              <w:rPr>
                <w:i/>
                <w:sz w:val="22"/>
              </w:rPr>
            </w:pPr>
            <w:r w:rsidRPr="00BB121C">
              <w:rPr>
                <w:i/>
                <w:sz w:val="22"/>
              </w:rPr>
              <w:t>Informacija nepateikta – 0 balų</w:t>
            </w:r>
          </w:p>
          <w:p w14:paraId="48153332" w14:textId="77777777" w:rsidR="00605E6C" w:rsidRPr="00BB121C" w:rsidRDefault="00605E6C" w:rsidP="004067F8">
            <w:pPr>
              <w:spacing w:line="276" w:lineRule="auto"/>
              <w:jc w:val="center"/>
              <w:rPr>
                <w:i/>
                <w:sz w:val="22"/>
              </w:rPr>
            </w:pPr>
          </w:p>
          <w:p w14:paraId="7059D26A" w14:textId="77777777" w:rsidR="00605E6C" w:rsidRPr="00BB121C" w:rsidRDefault="00605E6C" w:rsidP="004067F8">
            <w:pPr>
              <w:spacing w:line="276" w:lineRule="auto"/>
              <w:jc w:val="center"/>
              <w:rPr>
                <w:i/>
                <w:sz w:val="22"/>
              </w:rPr>
            </w:pPr>
            <w:r w:rsidRPr="00BB121C">
              <w:rPr>
                <w:i/>
                <w:sz w:val="22"/>
              </w:rPr>
              <w:t>Pateikta informacija iš dalies pagrįsta, problema aprašyta paviršutiniškai – 5 balai</w:t>
            </w:r>
          </w:p>
          <w:p w14:paraId="40EA10C3" w14:textId="77777777" w:rsidR="00605E6C" w:rsidRPr="00BB121C" w:rsidRDefault="00605E6C" w:rsidP="004067F8">
            <w:pPr>
              <w:spacing w:line="276" w:lineRule="auto"/>
              <w:jc w:val="center"/>
              <w:rPr>
                <w:i/>
                <w:sz w:val="22"/>
              </w:rPr>
            </w:pPr>
          </w:p>
          <w:p w14:paraId="6E91E42D" w14:textId="77777777" w:rsidR="00605E6C" w:rsidRPr="00BB121C" w:rsidRDefault="00605E6C" w:rsidP="004067F8">
            <w:pPr>
              <w:spacing w:line="276" w:lineRule="auto"/>
              <w:jc w:val="center"/>
              <w:rPr>
                <w:i/>
                <w:sz w:val="22"/>
              </w:rPr>
            </w:pPr>
            <w:r w:rsidRPr="00BB121C">
              <w:rPr>
                <w:i/>
                <w:sz w:val="22"/>
              </w:rPr>
              <w:t>Problema ir jos aktualumas aprašyti gerai, veiklos tinkamai pagrįstos – 10 balų</w:t>
            </w:r>
          </w:p>
          <w:p w14:paraId="6DEB7C4B" w14:textId="77777777" w:rsidR="00605E6C" w:rsidRPr="00BB121C" w:rsidRDefault="00605E6C" w:rsidP="004067F8">
            <w:pPr>
              <w:spacing w:line="276" w:lineRule="auto"/>
              <w:jc w:val="center"/>
              <w:rPr>
                <w:i/>
                <w:sz w:val="22"/>
              </w:rPr>
            </w:pPr>
          </w:p>
          <w:p w14:paraId="7E0C4373" w14:textId="77777777" w:rsidR="00605E6C" w:rsidRPr="00BB121C" w:rsidRDefault="00605E6C" w:rsidP="004067F8">
            <w:pPr>
              <w:spacing w:line="276" w:lineRule="auto"/>
              <w:jc w:val="center"/>
              <w:rPr>
                <w:i/>
                <w:sz w:val="22"/>
              </w:rPr>
            </w:pPr>
            <w:r w:rsidRPr="00BB121C">
              <w:rPr>
                <w:i/>
                <w:sz w:val="22"/>
              </w:rPr>
              <w:t>Problema labai aiškiai identifikuota, nauda miestui pagrįsta detaliai – 15 balų</w:t>
            </w:r>
          </w:p>
          <w:p w14:paraId="37849CDF" w14:textId="77777777" w:rsidR="00605E6C" w:rsidRPr="00BB121C" w:rsidRDefault="00605E6C" w:rsidP="004067F8">
            <w:pPr>
              <w:spacing w:line="276" w:lineRule="auto"/>
              <w:jc w:val="center"/>
              <w:rPr>
                <w:i/>
                <w:sz w:val="22"/>
              </w:rPr>
            </w:pPr>
          </w:p>
          <w:p w14:paraId="7582E7DB" w14:textId="77777777" w:rsidR="00605E6C" w:rsidRPr="00B55F66" w:rsidRDefault="00605E6C" w:rsidP="004067F8">
            <w:pPr>
              <w:spacing w:line="276" w:lineRule="auto"/>
              <w:jc w:val="center"/>
              <w:rPr>
                <w:i/>
                <w:sz w:val="22"/>
              </w:rPr>
            </w:pPr>
            <w:r w:rsidRPr="00BB121C">
              <w:rPr>
                <w:i/>
                <w:sz w:val="22"/>
              </w:rPr>
              <w:t>Problema ir nauda pateiktos itin nuosekliai, puikiai argument</w:t>
            </w:r>
            <w:r>
              <w:rPr>
                <w:i/>
                <w:sz w:val="22"/>
              </w:rPr>
              <w:t>uotas</w:t>
            </w:r>
            <w:r w:rsidRPr="00BB121C">
              <w:rPr>
                <w:i/>
                <w:sz w:val="22"/>
              </w:rPr>
              <w:t xml:space="preserve"> projekto aktualum</w:t>
            </w:r>
            <w:r>
              <w:rPr>
                <w:i/>
                <w:sz w:val="22"/>
              </w:rPr>
              <w:t>as</w:t>
            </w:r>
            <w:r w:rsidRPr="00BB121C">
              <w:rPr>
                <w:i/>
                <w:sz w:val="22"/>
              </w:rPr>
              <w:t xml:space="preserve"> – 20</w:t>
            </w:r>
            <w:r>
              <w:rPr>
                <w:i/>
                <w:sz w:val="22"/>
              </w:rPr>
              <w:t> </w:t>
            </w:r>
            <w:r w:rsidRPr="00BB121C">
              <w:rPr>
                <w:i/>
                <w:sz w:val="22"/>
              </w:rPr>
              <w:t xml:space="preserve"> balų</w:t>
            </w:r>
          </w:p>
        </w:tc>
        <w:tc>
          <w:tcPr>
            <w:tcW w:w="1559" w:type="dxa"/>
          </w:tcPr>
          <w:p w14:paraId="3A05BC63" w14:textId="77777777" w:rsidR="00605E6C" w:rsidRDefault="00605E6C" w:rsidP="004067F8">
            <w:pPr>
              <w:spacing w:line="276" w:lineRule="auto"/>
              <w:jc w:val="center"/>
              <w:rPr>
                <w:bCs/>
                <w:szCs w:val="24"/>
                <w:lang w:eastAsia="lt-LT"/>
              </w:rPr>
            </w:pPr>
          </w:p>
          <w:p w14:paraId="0918F750" w14:textId="77777777" w:rsidR="00605E6C" w:rsidRDefault="00605E6C" w:rsidP="004067F8">
            <w:pPr>
              <w:spacing w:line="276" w:lineRule="auto"/>
              <w:jc w:val="center"/>
              <w:rPr>
                <w:bCs/>
                <w:szCs w:val="24"/>
                <w:lang w:eastAsia="lt-LT"/>
              </w:rPr>
            </w:pPr>
          </w:p>
          <w:p w14:paraId="1DD46745" w14:textId="77777777" w:rsidR="00605E6C" w:rsidRDefault="00605E6C" w:rsidP="004067F8">
            <w:pPr>
              <w:spacing w:line="276" w:lineRule="auto"/>
              <w:jc w:val="center"/>
              <w:rPr>
                <w:bCs/>
                <w:szCs w:val="24"/>
                <w:lang w:eastAsia="lt-LT"/>
              </w:rPr>
            </w:pPr>
          </w:p>
          <w:p w14:paraId="788A862C" w14:textId="77777777" w:rsidR="00605E6C" w:rsidRDefault="00605E6C" w:rsidP="004067F8">
            <w:pPr>
              <w:spacing w:line="276" w:lineRule="auto"/>
              <w:jc w:val="center"/>
              <w:rPr>
                <w:bCs/>
                <w:szCs w:val="24"/>
                <w:lang w:eastAsia="lt-LT"/>
              </w:rPr>
            </w:pPr>
          </w:p>
          <w:p w14:paraId="754A4A74" w14:textId="77777777" w:rsidR="00605E6C" w:rsidRPr="008107C0" w:rsidRDefault="00605E6C" w:rsidP="004067F8">
            <w:pPr>
              <w:spacing w:line="276" w:lineRule="auto"/>
              <w:jc w:val="center"/>
              <w:rPr>
                <w:bCs/>
                <w:szCs w:val="24"/>
                <w:lang w:eastAsia="lt-LT"/>
              </w:rPr>
            </w:pPr>
            <w:r w:rsidRPr="008107C0">
              <w:rPr>
                <w:bCs/>
                <w:szCs w:val="24"/>
                <w:lang w:eastAsia="lt-LT"/>
              </w:rPr>
              <w:t>0–20</w:t>
            </w:r>
          </w:p>
        </w:tc>
        <w:tc>
          <w:tcPr>
            <w:tcW w:w="1418" w:type="dxa"/>
          </w:tcPr>
          <w:p w14:paraId="3E1749BD" w14:textId="77777777" w:rsidR="00605E6C" w:rsidRPr="008107C0" w:rsidRDefault="00605E6C" w:rsidP="004067F8">
            <w:pPr>
              <w:spacing w:line="276" w:lineRule="auto"/>
              <w:jc w:val="center"/>
              <w:rPr>
                <w:bCs/>
                <w:szCs w:val="24"/>
                <w:lang w:eastAsia="lt-LT"/>
              </w:rPr>
            </w:pPr>
          </w:p>
        </w:tc>
        <w:tc>
          <w:tcPr>
            <w:tcW w:w="1559" w:type="dxa"/>
          </w:tcPr>
          <w:p w14:paraId="1E74AC68" w14:textId="77777777" w:rsidR="00605E6C" w:rsidRPr="008107C0" w:rsidRDefault="00605E6C" w:rsidP="004067F8">
            <w:pPr>
              <w:spacing w:line="276" w:lineRule="auto"/>
              <w:jc w:val="center"/>
              <w:rPr>
                <w:bCs/>
                <w:szCs w:val="24"/>
                <w:lang w:eastAsia="lt-LT"/>
              </w:rPr>
            </w:pPr>
          </w:p>
        </w:tc>
      </w:tr>
      <w:tr w:rsidR="00605E6C" w:rsidRPr="008107C0" w14:paraId="1B73A974" w14:textId="77777777" w:rsidTr="004067F8">
        <w:tblPrEx>
          <w:tblLook w:val="04A0" w:firstRow="1" w:lastRow="0" w:firstColumn="1" w:lastColumn="0" w:noHBand="0" w:noVBand="1"/>
        </w:tblPrEx>
        <w:tc>
          <w:tcPr>
            <w:tcW w:w="5274" w:type="dxa"/>
          </w:tcPr>
          <w:p w14:paraId="0A4B49D0" w14:textId="77777777" w:rsidR="00605E6C" w:rsidRPr="009B728F" w:rsidRDefault="00605E6C" w:rsidP="004067F8">
            <w:pPr>
              <w:spacing w:line="276" w:lineRule="auto"/>
              <w:jc w:val="both"/>
              <w:rPr>
                <w:szCs w:val="24"/>
                <w:lang w:eastAsia="lt-LT"/>
              </w:rPr>
            </w:pPr>
            <w:r w:rsidRPr="009B728F">
              <w:rPr>
                <w:szCs w:val="24"/>
                <w:lang w:eastAsia="lt-LT"/>
              </w:rPr>
              <w:t xml:space="preserve">2. Tikslas (aiškus, konkretus, realus, pasiekiamas, išmatuojamas, derantis su </w:t>
            </w:r>
            <w:r w:rsidRPr="009B728F">
              <w:rPr>
                <w:szCs w:val="24"/>
                <w:shd w:val="clear" w:color="auto" w:fill="FFFFFF"/>
                <w:lang w:eastAsia="lt-LT"/>
              </w:rPr>
              <w:t>programos</w:t>
            </w:r>
            <w:r w:rsidRPr="009B728F">
              <w:rPr>
                <w:szCs w:val="24"/>
                <w:lang w:eastAsia="lt-LT"/>
              </w:rPr>
              <w:t xml:space="preserve"> uždaviniais ir turiniu):</w:t>
            </w:r>
          </w:p>
          <w:p w14:paraId="055B6564" w14:textId="77777777" w:rsidR="00605E6C" w:rsidRPr="009B728F" w:rsidRDefault="00605E6C" w:rsidP="004067F8">
            <w:pPr>
              <w:spacing w:line="276" w:lineRule="auto"/>
              <w:jc w:val="center"/>
              <w:rPr>
                <w:i/>
                <w:sz w:val="22"/>
              </w:rPr>
            </w:pPr>
            <w:r w:rsidRPr="009B728F">
              <w:rPr>
                <w:i/>
                <w:sz w:val="22"/>
              </w:rPr>
              <w:t>Informacija nepateikta – 0 balų</w:t>
            </w:r>
          </w:p>
          <w:p w14:paraId="1E4D62FB" w14:textId="77777777" w:rsidR="00605E6C" w:rsidRPr="009B728F" w:rsidRDefault="00605E6C" w:rsidP="004067F8">
            <w:pPr>
              <w:spacing w:line="276" w:lineRule="auto"/>
              <w:jc w:val="center"/>
              <w:rPr>
                <w:i/>
                <w:sz w:val="22"/>
              </w:rPr>
            </w:pPr>
          </w:p>
          <w:p w14:paraId="19DAECC3" w14:textId="77777777" w:rsidR="00605E6C" w:rsidRPr="009B728F" w:rsidRDefault="00605E6C" w:rsidP="004067F8">
            <w:pPr>
              <w:spacing w:line="276" w:lineRule="auto"/>
              <w:jc w:val="center"/>
              <w:rPr>
                <w:i/>
                <w:sz w:val="22"/>
              </w:rPr>
            </w:pPr>
            <w:r w:rsidRPr="009B728F">
              <w:rPr>
                <w:i/>
                <w:sz w:val="22"/>
              </w:rPr>
              <w:t>Tikslas aprašytas abstrakčiai, nevisiškai aišku, kaip jis pasiekiamas – 3 balai</w:t>
            </w:r>
          </w:p>
          <w:p w14:paraId="7EB9A371" w14:textId="77777777" w:rsidR="00605E6C" w:rsidRPr="009B728F" w:rsidRDefault="00605E6C" w:rsidP="004067F8">
            <w:pPr>
              <w:spacing w:line="276" w:lineRule="auto"/>
              <w:jc w:val="center"/>
              <w:rPr>
                <w:i/>
                <w:sz w:val="22"/>
              </w:rPr>
            </w:pPr>
          </w:p>
          <w:p w14:paraId="32C02581" w14:textId="77777777" w:rsidR="00605E6C" w:rsidRPr="009B728F" w:rsidRDefault="00605E6C" w:rsidP="004067F8">
            <w:pPr>
              <w:spacing w:line="276" w:lineRule="auto"/>
              <w:jc w:val="center"/>
              <w:rPr>
                <w:i/>
                <w:sz w:val="22"/>
              </w:rPr>
            </w:pPr>
            <w:r w:rsidRPr="009B728F">
              <w:rPr>
                <w:i/>
                <w:sz w:val="22"/>
              </w:rPr>
              <w:t>Tikslas gerai apibrėžtas, bet trūksta detal</w:t>
            </w:r>
            <w:r>
              <w:rPr>
                <w:i/>
                <w:sz w:val="22"/>
              </w:rPr>
              <w:t>umo</w:t>
            </w:r>
            <w:r w:rsidRPr="009B728F">
              <w:rPr>
                <w:i/>
                <w:sz w:val="22"/>
              </w:rPr>
              <w:t xml:space="preserve"> – 5</w:t>
            </w:r>
            <w:r>
              <w:rPr>
                <w:i/>
                <w:sz w:val="22"/>
              </w:rPr>
              <w:t> </w:t>
            </w:r>
            <w:r w:rsidRPr="009B728F">
              <w:rPr>
                <w:i/>
                <w:sz w:val="22"/>
              </w:rPr>
              <w:t xml:space="preserve"> balai</w:t>
            </w:r>
          </w:p>
          <w:p w14:paraId="106B9EA8" w14:textId="77777777" w:rsidR="00605E6C" w:rsidRPr="009B728F" w:rsidRDefault="00605E6C" w:rsidP="004067F8">
            <w:pPr>
              <w:spacing w:line="276" w:lineRule="auto"/>
              <w:jc w:val="center"/>
              <w:rPr>
                <w:i/>
                <w:sz w:val="22"/>
              </w:rPr>
            </w:pPr>
          </w:p>
          <w:p w14:paraId="0BB24FE0" w14:textId="77777777" w:rsidR="00605E6C" w:rsidRPr="009B728F" w:rsidRDefault="00605E6C" w:rsidP="004067F8">
            <w:pPr>
              <w:spacing w:line="276" w:lineRule="auto"/>
              <w:jc w:val="center"/>
              <w:rPr>
                <w:i/>
                <w:sz w:val="22"/>
              </w:rPr>
            </w:pPr>
            <w:r w:rsidRPr="009B728F">
              <w:rPr>
                <w:i/>
                <w:sz w:val="22"/>
              </w:rPr>
              <w:t>Tikslas labai aiškus, suderintas su programos tikslais – 7</w:t>
            </w:r>
            <w:r>
              <w:rPr>
                <w:i/>
                <w:sz w:val="22"/>
              </w:rPr>
              <w:t> </w:t>
            </w:r>
            <w:r w:rsidRPr="009B728F">
              <w:rPr>
                <w:i/>
                <w:sz w:val="22"/>
              </w:rPr>
              <w:t xml:space="preserve"> balai</w:t>
            </w:r>
          </w:p>
          <w:p w14:paraId="52AF0ABB" w14:textId="77777777" w:rsidR="00605E6C" w:rsidRPr="009B728F" w:rsidRDefault="00605E6C" w:rsidP="004067F8">
            <w:pPr>
              <w:spacing w:line="276" w:lineRule="auto"/>
              <w:jc w:val="center"/>
              <w:rPr>
                <w:i/>
                <w:sz w:val="22"/>
              </w:rPr>
            </w:pPr>
          </w:p>
          <w:p w14:paraId="203B9748" w14:textId="77777777" w:rsidR="00605E6C" w:rsidRPr="009B728F" w:rsidRDefault="00605E6C" w:rsidP="004067F8">
            <w:pPr>
              <w:spacing w:line="276" w:lineRule="auto"/>
              <w:jc w:val="center"/>
              <w:rPr>
                <w:i/>
                <w:sz w:val="22"/>
              </w:rPr>
            </w:pPr>
            <w:r w:rsidRPr="009B728F">
              <w:rPr>
                <w:i/>
                <w:sz w:val="22"/>
              </w:rPr>
              <w:lastRenderedPageBreak/>
              <w:t>Tikslas aprašytas puikiai, visiškai atitinka programos reikalavimus – 10 balų</w:t>
            </w:r>
          </w:p>
        </w:tc>
        <w:tc>
          <w:tcPr>
            <w:tcW w:w="1559" w:type="dxa"/>
          </w:tcPr>
          <w:p w14:paraId="2927557D" w14:textId="77777777" w:rsidR="00605E6C" w:rsidRPr="009B728F" w:rsidRDefault="00605E6C" w:rsidP="004067F8">
            <w:pPr>
              <w:spacing w:line="276" w:lineRule="auto"/>
              <w:jc w:val="center"/>
              <w:rPr>
                <w:szCs w:val="24"/>
                <w:lang w:eastAsia="lt-LT"/>
              </w:rPr>
            </w:pPr>
          </w:p>
          <w:p w14:paraId="650755F4" w14:textId="77777777" w:rsidR="00605E6C" w:rsidRPr="009B728F" w:rsidRDefault="00605E6C" w:rsidP="004067F8">
            <w:pPr>
              <w:spacing w:line="276" w:lineRule="auto"/>
              <w:jc w:val="center"/>
              <w:rPr>
                <w:szCs w:val="24"/>
                <w:lang w:eastAsia="lt-LT"/>
              </w:rPr>
            </w:pPr>
          </w:p>
          <w:p w14:paraId="65795EA9" w14:textId="77777777" w:rsidR="00605E6C" w:rsidRPr="009B728F" w:rsidRDefault="00605E6C" w:rsidP="004067F8">
            <w:pPr>
              <w:spacing w:line="276" w:lineRule="auto"/>
              <w:jc w:val="center"/>
              <w:rPr>
                <w:szCs w:val="24"/>
                <w:lang w:eastAsia="lt-LT"/>
              </w:rPr>
            </w:pPr>
          </w:p>
          <w:p w14:paraId="7C315E3F" w14:textId="77777777" w:rsidR="00605E6C" w:rsidRPr="009B728F" w:rsidRDefault="00605E6C" w:rsidP="004067F8">
            <w:pPr>
              <w:spacing w:line="276" w:lineRule="auto"/>
              <w:jc w:val="center"/>
              <w:rPr>
                <w:szCs w:val="24"/>
                <w:lang w:eastAsia="lt-LT"/>
              </w:rPr>
            </w:pPr>
            <w:r w:rsidRPr="009B728F">
              <w:rPr>
                <w:szCs w:val="24"/>
                <w:lang w:eastAsia="lt-LT"/>
              </w:rPr>
              <w:t>0</w:t>
            </w:r>
            <w:r w:rsidRPr="009B728F">
              <w:rPr>
                <w:bCs/>
                <w:szCs w:val="24"/>
                <w:lang w:eastAsia="lt-LT"/>
              </w:rPr>
              <w:t>–</w:t>
            </w:r>
            <w:r w:rsidRPr="009B728F">
              <w:rPr>
                <w:szCs w:val="24"/>
                <w:lang w:eastAsia="lt-LT"/>
              </w:rPr>
              <w:t>10</w:t>
            </w:r>
          </w:p>
        </w:tc>
        <w:tc>
          <w:tcPr>
            <w:tcW w:w="1418" w:type="dxa"/>
          </w:tcPr>
          <w:p w14:paraId="0CF98376" w14:textId="77777777" w:rsidR="00605E6C" w:rsidRPr="008107C0" w:rsidRDefault="00605E6C" w:rsidP="004067F8">
            <w:pPr>
              <w:spacing w:line="276" w:lineRule="auto"/>
              <w:jc w:val="center"/>
              <w:rPr>
                <w:szCs w:val="24"/>
                <w:lang w:eastAsia="lt-LT"/>
              </w:rPr>
            </w:pPr>
          </w:p>
        </w:tc>
        <w:tc>
          <w:tcPr>
            <w:tcW w:w="1559" w:type="dxa"/>
          </w:tcPr>
          <w:p w14:paraId="5B3500FC" w14:textId="77777777" w:rsidR="00605E6C" w:rsidRPr="008107C0" w:rsidRDefault="00605E6C" w:rsidP="004067F8">
            <w:pPr>
              <w:spacing w:line="276" w:lineRule="auto"/>
              <w:jc w:val="center"/>
              <w:rPr>
                <w:szCs w:val="24"/>
                <w:lang w:eastAsia="lt-LT"/>
              </w:rPr>
            </w:pPr>
          </w:p>
        </w:tc>
      </w:tr>
      <w:tr w:rsidR="00605E6C" w:rsidRPr="008107C0" w14:paraId="3303A039" w14:textId="77777777" w:rsidTr="004067F8">
        <w:tblPrEx>
          <w:tblLook w:val="04A0" w:firstRow="1" w:lastRow="0" w:firstColumn="1" w:lastColumn="0" w:noHBand="0" w:noVBand="1"/>
        </w:tblPrEx>
        <w:tc>
          <w:tcPr>
            <w:tcW w:w="5274" w:type="dxa"/>
          </w:tcPr>
          <w:p w14:paraId="3F387BD1" w14:textId="77777777" w:rsidR="00605E6C" w:rsidRPr="009B728F" w:rsidRDefault="00605E6C" w:rsidP="004067F8">
            <w:pPr>
              <w:spacing w:line="276" w:lineRule="auto"/>
              <w:jc w:val="both"/>
              <w:rPr>
                <w:szCs w:val="24"/>
                <w:lang w:eastAsia="lt-LT"/>
              </w:rPr>
            </w:pPr>
            <w:r w:rsidRPr="009B728F">
              <w:rPr>
                <w:szCs w:val="24"/>
                <w:lang w:eastAsia="lt-LT"/>
              </w:rPr>
              <w:t xml:space="preserve">3. Uždaviniai (aiškūs, konkretūs, realūs, pasiekiami, išmatuojami, derantys su programos tikslu ir turiniu, programos veikla siejasi su programos uždaviniais): </w:t>
            </w:r>
          </w:p>
          <w:p w14:paraId="74F2CF00" w14:textId="77777777" w:rsidR="00605E6C" w:rsidRPr="009B728F" w:rsidRDefault="00605E6C" w:rsidP="004067F8">
            <w:pPr>
              <w:spacing w:line="276" w:lineRule="auto"/>
              <w:jc w:val="center"/>
              <w:rPr>
                <w:i/>
                <w:sz w:val="22"/>
              </w:rPr>
            </w:pPr>
            <w:r w:rsidRPr="009B728F">
              <w:rPr>
                <w:i/>
                <w:sz w:val="22"/>
              </w:rPr>
              <w:t>Informacija nepateikta – 0 balų</w:t>
            </w:r>
          </w:p>
          <w:p w14:paraId="21FC172E" w14:textId="77777777" w:rsidR="00605E6C" w:rsidRPr="009B728F" w:rsidRDefault="00605E6C" w:rsidP="004067F8">
            <w:pPr>
              <w:spacing w:line="276" w:lineRule="auto"/>
              <w:jc w:val="center"/>
              <w:rPr>
                <w:i/>
                <w:sz w:val="22"/>
              </w:rPr>
            </w:pPr>
          </w:p>
          <w:p w14:paraId="5F121401" w14:textId="77777777" w:rsidR="00605E6C" w:rsidRPr="009B728F" w:rsidRDefault="00605E6C" w:rsidP="004067F8">
            <w:pPr>
              <w:spacing w:line="276" w:lineRule="auto"/>
              <w:jc w:val="center"/>
              <w:rPr>
                <w:i/>
                <w:sz w:val="22"/>
              </w:rPr>
            </w:pPr>
            <w:r w:rsidRPr="009B728F">
              <w:rPr>
                <w:i/>
                <w:sz w:val="22"/>
              </w:rPr>
              <w:t>Uždaviniai abstraktūs, nevisiškai aišku, kaip jie siejasi su tikslu</w:t>
            </w:r>
            <w:r>
              <w:rPr>
                <w:i/>
                <w:sz w:val="22"/>
              </w:rPr>
              <w:t>,</w:t>
            </w:r>
            <w:r w:rsidRPr="009B728F">
              <w:rPr>
                <w:i/>
                <w:sz w:val="22"/>
              </w:rPr>
              <w:t xml:space="preserve"> – 3 balai</w:t>
            </w:r>
          </w:p>
          <w:p w14:paraId="53965177" w14:textId="77777777" w:rsidR="00605E6C" w:rsidRPr="009B728F" w:rsidRDefault="00605E6C" w:rsidP="004067F8">
            <w:pPr>
              <w:spacing w:line="276" w:lineRule="auto"/>
              <w:jc w:val="center"/>
              <w:rPr>
                <w:i/>
                <w:sz w:val="22"/>
              </w:rPr>
            </w:pPr>
          </w:p>
          <w:p w14:paraId="48C019AC" w14:textId="77777777" w:rsidR="00605E6C" w:rsidRPr="009B728F" w:rsidRDefault="00605E6C" w:rsidP="004067F8">
            <w:pPr>
              <w:spacing w:line="276" w:lineRule="auto"/>
              <w:jc w:val="center"/>
              <w:rPr>
                <w:i/>
                <w:sz w:val="22"/>
              </w:rPr>
            </w:pPr>
            <w:r w:rsidRPr="009B728F">
              <w:rPr>
                <w:i/>
                <w:sz w:val="22"/>
              </w:rPr>
              <w:t>Uždaviniai gerai apibrėžti, bet trūksta detalumo – 5</w:t>
            </w:r>
            <w:r>
              <w:rPr>
                <w:i/>
                <w:sz w:val="22"/>
              </w:rPr>
              <w:t> </w:t>
            </w:r>
            <w:r w:rsidRPr="009B728F">
              <w:rPr>
                <w:i/>
                <w:sz w:val="22"/>
              </w:rPr>
              <w:t xml:space="preserve"> balai</w:t>
            </w:r>
          </w:p>
          <w:p w14:paraId="0CA5B45A" w14:textId="77777777" w:rsidR="00605E6C" w:rsidRPr="009B728F" w:rsidRDefault="00605E6C" w:rsidP="004067F8">
            <w:pPr>
              <w:spacing w:line="276" w:lineRule="auto"/>
              <w:jc w:val="center"/>
              <w:rPr>
                <w:i/>
                <w:sz w:val="22"/>
              </w:rPr>
            </w:pPr>
          </w:p>
          <w:p w14:paraId="4C04A481" w14:textId="77777777" w:rsidR="00605E6C" w:rsidRPr="009B728F" w:rsidRDefault="00605E6C" w:rsidP="004067F8">
            <w:pPr>
              <w:spacing w:line="276" w:lineRule="auto"/>
              <w:jc w:val="center"/>
              <w:rPr>
                <w:i/>
                <w:sz w:val="22"/>
              </w:rPr>
            </w:pPr>
            <w:r w:rsidRPr="009B728F">
              <w:rPr>
                <w:i/>
                <w:sz w:val="22"/>
              </w:rPr>
              <w:t>Uždaviniai labai aiškūs ir išsamūs – 7 balai</w:t>
            </w:r>
          </w:p>
          <w:p w14:paraId="6927D176" w14:textId="77777777" w:rsidR="00605E6C" w:rsidRPr="009B728F" w:rsidRDefault="00605E6C" w:rsidP="004067F8">
            <w:pPr>
              <w:spacing w:line="276" w:lineRule="auto"/>
              <w:jc w:val="center"/>
              <w:rPr>
                <w:i/>
                <w:sz w:val="22"/>
              </w:rPr>
            </w:pPr>
          </w:p>
          <w:p w14:paraId="379B8B96" w14:textId="77777777" w:rsidR="00605E6C" w:rsidRPr="009B728F" w:rsidRDefault="00605E6C" w:rsidP="004067F8">
            <w:pPr>
              <w:spacing w:line="276" w:lineRule="auto"/>
              <w:jc w:val="center"/>
              <w:rPr>
                <w:i/>
                <w:sz w:val="22"/>
              </w:rPr>
            </w:pPr>
            <w:r w:rsidRPr="009B728F">
              <w:rPr>
                <w:i/>
                <w:sz w:val="22"/>
              </w:rPr>
              <w:t>Uždaviniai puikiai apibrėžti, visiškai susieti su tikslu ir veiklomis – 10 balų</w:t>
            </w:r>
          </w:p>
        </w:tc>
        <w:tc>
          <w:tcPr>
            <w:tcW w:w="1559" w:type="dxa"/>
          </w:tcPr>
          <w:p w14:paraId="6546CCA9" w14:textId="77777777" w:rsidR="00605E6C" w:rsidRPr="009B728F" w:rsidRDefault="00605E6C" w:rsidP="004067F8">
            <w:pPr>
              <w:spacing w:line="276" w:lineRule="auto"/>
              <w:jc w:val="center"/>
              <w:rPr>
                <w:szCs w:val="24"/>
                <w:lang w:eastAsia="lt-LT"/>
              </w:rPr>
            </w:pPr>
          </w:p>
          <w:p w14:paraId="6826610F" w14:textId="77777777" w:rsidR="00605E6C" w:rsidRPr="009B728F" w:rsidRDefault="00605E6C" w:rsidP="004067F8">
            <w:pPr>
              <w:spacing w:line="276" w:lineRule="auto"/>
              <w:jc w:val="center"/>
              <w:rPr>
                <w:szCs w:val="24"/>
                <w:lang w:eastAsia="lt-LT"/>
              </w:rPr>
            </w:pPr>
          </w:p>
          <w:p w14:paraId="23666B58" w14:textId="77777777" w:rsidR="00605E6C" w:rsidRPr="009B728F" w:rsidRDefault="00605E6C" w:rsidP="004067F8">
            <w:pPr>
              <w:spacing w:line="276" w:lineRule="auto"/>
              <w:jc w:val="center"/>
              <w:rPr>
                <w:szCs w:val="24"/>
                <w:lang w:eastAsia="lt-LT"/>
              </w:rPr>
            </w:pPr>
          </w:p>
          <w:p w14:paraId="2B30E237" w14:textId="77777777" w:rsidR="00605E6C" w:rsidRPr="009B728F" w:rsidRDefault="00605E6C" w:rsidP="004067F8">
            <w:pPr>
              <w:spacing w:line="276" w:lineRule="auto"/>
              <w:jc w:val="center"/>
              <w:rPr>
                <w:szCs w:val="24"/>
                <w:lang w:eastAsia="lt-LT"/>
              </w:rPr>
            </w:pPr>
          </w:p>
          <w:p w14:paraId="0D632A41" w14:textId="77777777" w:rsidR="00605E6C" w:rsidRPr="009B728F" w:rsidRDefault="00605E6C" w:rsidP="004067F8">
            <w:pPr>
              <w:spacing w:line="276" w:lineRule="auto"/>
              <w:jc w:val="center"/>
              <w:rPr>
                <w:szCs w:val="24"/>
                <w:lang w:eastAsia="lt-LT"/>
              </w:rPr>
            </w:pPr>
            <w:r w:rsidRPr="009B728F">
              <w:rPr>
                <w:szCs w:val="24"/>
                <w:lang w:eastAsia="lt-LT"/>
              </w:rPr>
              <w:t>0</w:t>
            </w:r>
            <w:r w:rsidRPr="009B728F">
              <w:rPr>
                <w:bCs/>
                <w:szCs w:val="24"/>
                <w:lang w:eastAsia="lt-LT"/>
              </w:rPr>
              <w:t>–1</w:t>
            </w:r>
            <w:r w:rsidRPr="009B728F">
              <w:rPr>
                <w:szCs w:val="24"/>
                <w:lang w:eastAsia="lt-LT"/>
              </w:rPr>
              <w:t>0</w:t>
            </w:r>
          </w:p>
        </w:tc>
        <w:tc>
          <w:tcPr>
            <w:tcW w:w="1418" w:type="dxa"/>
          </w:tcPr>
          <w:p w14:paraId="3058C406" w14:textId="77777777" w:rsidR="00605E6C" w:rsidRPr="008107C0" w:rsidRDefault="00605E6C" w:rsidP="004067F8">
            <w:pPr>
              <w:spacing w:line="276" w:lineRule="auto"/>
              <w:jc w:val="center"/>
              <w:rPr>
                <w:szCs w:val="24"/>
                <w:lang w:eastAsia="lt-LT"/>
              </w:rPr>
            </w:pPr>
          </w:p>
        </w:tc>
        <w:tc>
          <w:tcPr>
            <w:tcW w:w="1559" w:type="dxa"/>
          </w:tcPr>
          <w:p w14:paraId="5864EDCC" w14:textId="77777777" w:rsidR="00605E6C" w:rsidRPr="008107C0" w:rsidRDefault="00605E6C" w:rsidP="004067F8">
            <w:pPr>
              <w:spacing w:line="276" w:lineRule="auto"/>
              <w:jc w:val="center"/>
              <w:rPr>
                <w:iCs/>
                <w:szCs w:val="24"/>
                <w:lang w:eastAsia="lt-LT"/>
              </w:rPr>
            </w:pPr>
          </w:p>
        </w:tc>
      </w:tr>
      <w:tr w:rsidR="00605E6C" w:rsidRPr="008107C0" w14:paraId="10E011C7" w14:textId="77777777" w:rsidTr="004067F8">
        <w:tblPrEx>
          <w:tblLook w:val="04A0" w:firstRow="1" w:lastRow="0" w:firstColumn="1" w:lastColumn="0" w:noHBand="0" w:noVBand="1"/>
        </w:tblPrEx>
        <w:tc>
          <w:tcPr>
            <w:tcW w:w="5274" w:type="dxa"/>
          </w:tcPr>
          <w:p w14:paraId="2D2680E0" w14:textId="77777777" w:rsidR="00605E6C" w:rsidRDefault="00605E6C" w:rsidP="004067F8">
            <w:pPr>
              <w:spacing w:line="276" w:lineRule="auto"/>
              <w:jc w:val="both"/>
              <w:rPr>
                <w:szCs w:val="24"/>
                <w:lang w:eastAsia="lt-LT"/>
              </w:rPr>
            </w:pPr>
            <w:r w:rsidRPr="008107C0">
              <w:rPr>
                <w:szCs w:val="24"/>
                <w:lang w:eastAsia="lt-LT"/>
              </w:rPr>
              <w:t xml:space="preserve">4. Sąmatos racionalumas (sąmatoje numatytos išlaidos pagrįstos </w:t>
            </w:r>
            <w:r>
              <w:rPr>
                <w:szCs w:val="24"/>
                <w:shd w:val="clear" w:color="auto" w:fill="FFFFFF"/>
                <w:lang w:eastAsia="lt-LT"/>
              </w:rPr>
              <w:t>p</w:t>
            </w:r>
            <w:r w:rsidRPr="008107C0">
              <w:rPr>
                <w:szCs w:val="24"/>
                <w:shd w:val="clear" w:color="auto" w:fill="FFFFFF"/>
                <w:lang w:eastAsia="lt-LT"/>
              </w:rPr>
              <w:t>rogramos</w:t>
            </w:r>
            <w:r w:rsidRPr="008107C0">
              <w:rPr>
                <w:szCs w:val="24"/>
                <w:lang w:eastAsia="lt-LT"/>
              </w:rPr>
              <w:t xml:space="preserve"> įgyvendinimo eiga ir </w:t>
            </w:r>
            <w:r>
              <w:rPr>
                <w:szCs w:val="24"/>
                <w:shd w:val="clear" w:color="auto" w:fill="FFFFFF"/>
                <w:lang w:eastAsia="lt-LT"/>
              </w:rPr>
              <w:t>p</w:t>
            </w:r>
            <w:r w:rsidRPr="008107C0">
              <w:rPr>
                <w:szCs w:val="24"/>
                <w:shd w:val="clear" w:color="auto" w:fill="FFFFFF"/>
                <w:lang w:eastAsia="lt-LT"/>
              </w:rPr>
              <w:t>rogramos</w:t>
            </w:r>
            <w:r w:rsidRPr="008107C0">
              <w:rPr>
                <w:szCs w:val="24"/>
                <w:lang w:eastAsia="lt-LT"/>
              </w:rPr>
              <w:t xml:space="preserve"> įgyvendinimo veiklų planu, išlaidų pobūdžiu ir </w:t>
            </w:r>
            <w:r w:rsidRPr="00BB121C">
              <w:rPr>
                <w:szCs w:val="24"/>
                <w:lang w:eastAsia="lt-LT"/>
              </w:rPr>
              <w:t>kiekiu</w:t>
            </w:r>
            <w:r w:rsidRPr="008107C0">
              <w:rPr>
                <w:szCs w:val="24"/>
                <w:lang w:eastAsia="lt-LT"/>
              </w:rPr>
              <w:t>)</w:t>
            </w:r>
            <w:r>
              <w:rPr>
                <w:szCs w:val="24"/>
                <w:lang w:eastAsia="lt-LT"/>
              </w:rPr>
              <w:t>:</w:t>
            </w:r>
          </w:p>
          <w:p w14:paraId="392AE6DE" w14:textId="77777777" w:rsidR="00605E6C" w:rsidRPr="00BB121C" w:rsidRDefault="00605E6C" w:rsidP="004067F8">
            <w:pPr>
              <w:spacing w:line="276" w:lineRule="auto"/>
              <w:jc w:val="center"/>
              <w:rPr>
                <w:i/>
                <w:sz w:val="22"/>
              </w:rPr>
            </w:pPr>
            <w:r w:rsidRPr="00BB121C">
              <w:rPr>
                <w:i/>
                <w:sz w:val="22"/>
              </w:rPr>
              <w:t>Informacija nepateikta – 0 balų</w:t>
            </w:r>
          </w:p>
          <w:p w14:paraId="3DE7B627" w14:textId="77777777" w:rsidR="00605E6C" w:rsidRPr="00BB121C" w:rsidRDefault="00605E6C" w:rsidP="004067F8">
            <w:pPr>
              <w:spacing w:line="276" w:lineRule="auto"/>
              <w:jc w:val="center"/>
              <w:rPr>
                <w:i/>
                <w:sz w:val="22"/>
              </w:rPr>
            </w:pPr>
          </w:p>
          <w:p w14:paraId="7D43D865" w14:textId="77777777" w:rsidR="00605E6C" w:rsidRPr="00BB121C" w:rsidRDefault="00605E6C" w:rsidP="004067F8">
            <w:pPr>
              <w:spacing w:line="276" w:lineRule="auto"/>
              <w:jc w:val="center"/>
              <w:rPr>
                <w:i/>
                <w:sz w:val="22"/>
              </w:rPr>
            </w:pPr>
            <w:r w:rsidRPr="00BB121C">
              <w:rPr>
                <w:i/>
                <w:sz w:val="22"/>
              </w:rPr>
              <w:t>Sąmata pateikta, bet nėra aiškiai pagrįsta – 5 balai</w:t>
            </w:r>
          </w:p>
          <w:p w14:paraId="2ED19FEA" w14:textId="77777777" w:rsidR="00605E6C" w:rsidRPr="00BB121C" w:rsidRDefault="00605E6C" w:rsidP="004067F8">
            <w:pPr>
              <w:spacing w:line="276" w:lineRule="auto"/>
              <w:jc w:val="center"/>
              <w:rPr>
                <w:i/>
                <w:sz w:val="22"/>
              </w:rPr>
            </w:pPr>
          </w:p>
          <w:p w14:paraId="3AF0AC59" w14:textId="77777777" w:rsidR="00605E6C" w:rsidRPr="00BB121C" w:rsidRDefault="00605E6C" w:rsidP="004067F8">
            <w:pPr>
              <w:spacing w:line="276" w:lineRule="auto"/>
              <w:jc w:val="center"/>
              <w:rPr>
                <w:i/>
                <w:sz w:val="22"/>
              </w:rPr>
            </w:pPr>
            <w:r w:rsidRPr="00BB121C">
              <w:rPr>
                <w:i/>
                <w:sz w:val="22"/>
              </w:rPr>
              <w:t>Sąmata gerai pagrįsta, bet trūksta detal</w:t>
            </w:r>
            <w:r>
              <w:rPr>
                <w:i/>
                <w:sz w:val="22"/>
              </w:rPr>
              <w:t>umo</w:t>
            </w:r>
            <w:r w:rsidRPr="00BB121C">
              <w:rPr>
                <w:i/>
                <w:sz w:val="22"/>
              </w:rPr>
              <w:t xml:space="preserve"> – 10 balų</w:t>
            </w:r>
          </w:p>
          <w:p w14:paraId="3E10B217" w14:textId="77777777" w:rsidR="00605E6C" w:rsidRPr="00BB121C" w:rsidRDefault="00605E6C" w:rsidP="004067F8">
            <w:pPr>
              <w:spacing w:line="276" w:lineRule="auto"/>
              <w:jc w:val="center"/>
              <w:rPr>
                <w:i/>
                <w:sz w:val="22"/>
              </w:rPr>
            </w:pPr>
          </w:p>
          <w:p w14:paraId="218CFB71" w14:textId="77777777" w:rsidR="00605E6C" w:rsidRPr="00BB121C" w:rsidRDefault="00605E6C" w:rsidP="004067F8">
            <w:pPr>
              <w:spacing w:line="276" w:lineRule="auto"/>
              <w:jc w:val="center"/>
              <w:rPr>
                <w:i/>
                <w:sz w:val="22"/>
              </w:rPr>
            </w:pPr>
            <w:r w:rsidRPr="00BB121C">
              <w:rPr>
                <w:i/>
                <w:sz w:val="22"/>
              </w:rPr>
              <w:t>Sąmata išsami ir racionali –</w:t>
            </w:r>
            <w:r>
              <w:rPr>
                <w:i/>
                <w:sz w:val="22"/>
              </w:rPr>
              <w:t xml:space="preserve"> 1</w:t>
            </w:r>
            <w:r w:rsidRPr="00BB121C">
              <w:rPr>
                <w:i/>
                <w:sz w:val="22"/>
              </w:rPr>
              <w:t>5 balų</w:t>
            </w:r>
          </w:p>
          <w:p w14:paraId="3896E4C9" w14:textId="77777777" w:rsidR="00605E6C" w:rsidRPr="00BB121C" w:rsidRDefault="00605E6C" w:rsidP="004067F8">
            <w:pPr>
              <w:spacing w:line="276" w:lineRule="auto"/>
              <w:jc w:val="center"/>
              <w:rPr>
                <w:i/>
                <w:sz w:val="22"/>
              </w:rPr>
            </w:pPr>
          </w:p>
          <w:p w14:paraId="0FD3B87B" w14:textId="77777777" w:rsidR="00605E6C" w:rsidRPr="008107C0" w:rsidRDefault="00605E6C" w:rsidP="004067F8">
            <w:pPr>
              <w:spacing w:line="276" w:lineRule="auto"/>
              <w:jc w:val="center"/>
              <w:rPr>
                <w:szCs w:val="24"/>
                <w:lang w:eastAsia="lt-LT"/>
              </w:rPr>
            </w:pPr>
            <w:r w:rsidRPr="00BB121C">
              <w:rPr>
                <w:i/>
                <w:sz w:val="22"/>
              </w:rPr>
              <w:t>Sąmata pateikta puikiai, detaliai pagrįsta, atitinka veiklų planą –</w:t>
            </w:r>
            <w:r>
              <w:rPr>
                <w:i/>
                <w:sz w:val="22"/>
              </w:rPr>
              <w:t xml:space="preserve"> </w:t>
            </w:r>
            <w:r w:rsidRPr="00BB121C">
              <w:rPr>
                <w:i/>
                <w:sz w:val="22"/>
              </w:rPr>
              <w:t>20 balų</w:t>
            </w:r>
          </w:p>
        </w:tc>
        <w:tc>
          <w:tcPr>
            <w:tcW w:w="1559" w:type="dxa"/>
          </w:tcPr>
          <w:p w14:paraId="485908C5" w14:textId="77777777" w:rsidR="00605E6C" w:rsidRDefault="00605E6C" w:rsidP="004067F8">
            <w:pPr>
              <w:spacing w:line="276" w:lineRule="auto"/>
              <w:jc w:val="center"/>
              <w:rPr>
                <w:szCs w:val="24"/>
                <w:lang w:eastAsia="lt-LT"/>
              </w:rPr>
            </w:pPr>
          </w:p>
          <w:p w14:paraId="1AB24F5A" w14:textId="77777777" w:rsidR="00605E6C" w:rsidRDefault="00605E6C" w:rsidP="004067F8">
            <w:pPr>
              <w:spacing w:line="276" w:lineRule="auto"/>
              <w:jc w:val="center"/>
              <w:rPr>
                <w:szCs w:val="24"/>
                <w:lang w:eastAsia="lt-LT"/>
              </w:rPr>
            </w:pPr>
          </w:p>
          <w:p w14:paraId="459AE4BF" w14:textId="77777777" w:rsidR="00605E6C" w:rsidRDefault="00605E6C" w:rsidP="004067F8">
            <w:pPr>
              <w:spacing w:line="276" w:lineRule="auto"/>
              <w:jc w:val="center"/>
              <w:rPr>
                <w:szCs w:val="24"/>
                <w:lang w:eastAsia="lt-LT"/>
              </w:rPr>
            </w:pPr>
          </w:p>
          <w:p w14:paraId="62463DF0" w14:textId="77777777" w:rsidR="00605E6C" w:rsidRDefault="00605E6C" w:rsidP="004067F8">
            <w:pPr>
              <w:spacing w:line="276" w:lineRule="auto"/>
              <w:jc w:val="center"/>
              <w:rPr>
                <w:szCs w:val="24"/>
                <w:lang w:eastAsia="lt-LT"/>
              </w:rPr>
            </w:pPr>
          </w:p>
          <w:p w14:paraId="3BC31620" w14:textId="77777777" w:rsidR="00605E6C" w:rsidRPr="008107C0" w:rsidRDefault="00605E6C" w:rsidP="004067F8">
            <w:pPr>
              <w:spacing w:line="276" w:lineRule="auto"/>
              <w:jc w:val="center"/>
              <w:rPr>
                <w:szCs w:val="24"/>
                <w:lang w:eastAsia="lt-LT"/>
              </w:rPr>
            </w:pPr>
            <w:r w:rsidRPr="008107C0">
              <w:rPr>
                <w:szCs w:val="24"/>
                <w:lang w:eastAsia="lt-LT"/>
              </w:rPr>
              <w:t>0</w:t>
            </w:r>
            <w:r>
              <w:rPr>
                <w:szCs w:val="24"/>
                <w:lang w:eastAsia="lt-LT"/>
              </w:rPr>
              <w:t>–</w:t>
            </w:r>
            <w:r w:rsidRPr="008107C0">
              <w:rPr>
                <w:szCs w:val="24"/>
                <w:lang w:eastAsia="lt-LT"/>
              </w:rPr>
              <w:t>20</w:t>
            </w:r>
          </w:p>
        </w:tc>
        <w:tc>
          <w:tcPr>
            <w:tcW w:w="1418" w:type="dxa"/>
          </w:tcPr>
          <w:p w14:paraId="46349FB8" w14:textId="77777777" w:rsidR="00605E6C" w:rsidRPr="008107C0" w:rsidRDefault="00605E6C" w:rsidP="004067F8">
            <w:pPr>
              <w:spacing w:line="276" w:lineRule="auto"/>
              <w:jc w:val="center"/>
              <w:rPr>
                <w:szCs w:val="24"/>
                <w:lang w:eastAsia="lt-LT"/>
              </w:rPr>
            </w:pPr>
          </w:p>
        </w:tc>
        <w:tc>
          <w:tcPr>
            <w:tcW w:w="1559" w:type="dxa"/>
          </w:tcPr>
          <w:p w14:paraId="6BE0245E" w14:textId="77777777" w:rsidR="00605E6C" w:rsidRPr="008107C0" w:rsidRDefault="00605E6C" w:rsidP="004067F8">
            <w:pPr>
              <w:spacing w:line="276" w:lineRule="auto"/>
              <w:jc w:val="center"/>
              <w:rPr>
                <w:szCs w:val="24"/>
                <w:lang w:eastAsia="lt-LT"/>
              </w:rPr>
            </w:pPr>
          </w:p>
        </w:tc>
      </w:tr>
      <w:tr w:rsidR="00605E6C" w:rsidRPr="008107C0" w14:paraId="5A733BE4" w14:textId="77777777" w:rsidTr="004067F8">
        <w:tblPrEx>
          <w:tblLook w:val="04A0" w:firstRow="1" w:lastRow="0" w:firstColumn="1" w:lastColumn="0" w:noHBand="0" w:noVBand="1"/>
        </w:tblPrEx>
        <w:tc>
          <w:tcPr>
            <w:tcW w:w="5274" w:type="dxa"/>
          </w:tcPr>
          <w:p w14:paraId="7F16BADC" w14:textId="77777777" w:rsidR="00605E6C" w:rsidRPr="00B55F66" w:rsidRDefault="00605E6C" w:rsidP="004067F8">
            <w:pPr>
              <w:jc w:val="both"/>
            </w:pPr>
            <w:bookmarkStart w:id="2" w:name="_Hlk190852156"/>
            <w:bookmarkStart w:id="3" w:name="_Hlk190854659"/>
            <w:r w:rsidRPr="00B55F66">
              <w:rPr>
                <w:bCs/>
              </w:rPr>
              <w:t>5. Programos rezultat</w:t>
            </w:r>
            <w:r>
              <w:rPr>
                <w:bCs/>
              </w:rPr>
              <w:t>ų</w:t>
            </w:r>
            <w:r w:rsidRPr="00B55F66">
              <w:rPr>
                <w:bCs/>
              </w:rPr>
              <w:t xml:space="preserve"> pagrįstumas ir įgyvendinamumas </w:t>
            </w:r>
            <w:r w:rsidRPr="00B55F66">
              <w:rPr>
                <w:iCs/>
              </w:rPr>
              <w:t>(siekiami rezultatai, jų pasiekimo kriterijai, numatyti rodikliai ir jų reikšmės aiškiai apibrėžti</w:t>
            </w:r>
            <w:r>
              <w:rPr>
                <w:iCs/>
              </w:rPr>
              <w:t xml:space="preserve">, </w:t>
            </w:r>
            <w:r w:rsidRPr="00B55F66">
              <w:rPr>
                <w:iCs/>
              </w:rPr>
              <w:t xml:space="preserve">pagal pateiktą veiklų planą ir finansavimą rezultatai </w:t>
            </w:r>
            <w:r>
              <w:rPr>
                <w:iCs/>
              </w:rPr>
              <w:t xml:space="preserve">yra </w:t>
            </w:r>
            <w:r w:rsidRPr="00B55F66">
              <w:rPr>
                <w:iCs/>
              </w:rPr>
              <w:t>pasiekiami)</w:t>
            </w:r>
          </w:p>
          <w:bookmarkEnd w:id="2"/>
          <w:p w14:paraId="260B7346" w14:textId="77777777" w:rsidR="00605E6C" w:rsidRPr="00B55F66" w:rsidRDefault="00605E6C" w:rsidP="004067F8">
            <w:pPr>
              <w:ind w:left="720"/>
              <w:jc w:val="center"/>
              <w:rPr>
                <w:i/>
                <w:sz w:val="22"/>
                <w:szCs w:val="24"/>
                <w:lang w:eastAsia="lt-LT"/>
              </w:rPr>
            </w:pPr>
            <w:r w:rsidRPr="00B55F66">
              <w:rPr>
                <w:i/>
                <w:sz w:val="22"/>
                <w:szCs w:val="24"/>
                <w:lang w:eastAsia="lt-LT"/>
              </w:rPr>
              <w:t>Informacija nepateikta. Nėra duomenų apie rezultat</w:t>
            </w:r>
            <w:r>
              <w:rPr>
                <w:i/>
                <w:sz w:val="22"/>
                <w:szCs w:val="24"/>
                <w:lang w:eastAsia="lt-LT"/>
              </w:rPr>
              <w:t>us</w:t>
            </w:r>
            <w:r w:rsidRPr="00B55F66">
              <w:rPr>
                <w:i/>
                <w:sz w:val="22"/>
                <w:szCs w:val="24"/>
                <w:lang w:eastAsia="lt-LT"/>
              </w:rPr>
              <w:t>, kriterijus ar</w:t>
            </w:r>
            <w:r>
              <w:rPr>
                <w:i/>
                <w:sz w:val="22"/>
                <w:szCs w:val="24"/>
                <w:lang w:eastAsia="lt-LT"/>
              </w:rPr>
              <w:t xml:space="preserve"> jų</w:t>
            </w:r>
            <w:r w:rsidRPr="00B55F66">
              <w:rPr>
                <w:i/>
                <w:sz w:val="22"/>
                <w:szCs w:val="24"/>
                <w:lang w:eastAsia="lt-LT"/>
              </w:rPr>
              <w:t xml:space="preserve"> įgyvendinamumą – 0</w:t>
            </w:r>
            <w:r>
              <w:rPr>
                <w:i/>
                <w:sz w:val="22"/>
                <w:szCs w:val="24"/>
                <w:lang w:eastAsia="lt-LT"/>
              </w:rPr>
              <w:t> </w:t>
            </w:r>
            <w:r w:rsidRPr="00B55F66">
              <w:rPr>
                <w:i/>
                <w:sz w:val="22"/>
                <w:szCs w:val="24"/>
                <w:lang w:eastAsia="lt-LT"/>
              </w:rPr>
              <w:t xml:space="preserve"> balų</w:t>
            </w:r>
          </w:p>
          <w:p w14:paraId="205206E5" w14:textId="77777777" w:rsidR="00605E6C" w:rsidRPr="00B55F66" w:rsidRDefault="00605E6C" w:rsidP="004067F8">
            <w:pPr>
              <w:ind w:left="720"/>
              <w:jc w:val="center"/>
              <w:rPr>
                <w:i/>
                <w:sz w:val="22"/>
                <w:szCs w:val="24"/>
                <w:lang w:eastAsia="lt-LT"/>
              </w:rPr>
            </w:pPr>
          </w:p>
          <w:p w14:paraId="05DF3717" w14:textId="77777777" w:rsidR="00605E6C" w:rsidRPr="00B55F66" w:rsidRDefault="00605E6C" w:rsidP="004067F8">
            <w:pPr>
              <w:ind w:left="720"/>
              <w:jc w:val="center"/>
              <w:rPr>
                <w:i/>
                <w:sz w:val="22"/>
                <w:szCs w:val="24"/>
                <w:lang w:eastAsia="lt-LT"/>
              </w:rPr>
            </w:pPr>
            <w:r w:rsidRPr="00B55F66">
              <w:rPr>
                <w:i/>
                <w:sz w:val="22"/>
                <w:szCs w:val="24"/>
                <w:lang w:eastAsia="lt-LT"/>
              </w:rPr>
              <w:t>Patenkinamai. Informacija paviršutiniška, trūksta aiškumo rodikliams ar veiklų planui. Finansavimas nepakankamai pagrįstas – 5 balai</w:t>
            </w:r>
          </w:p>
          <w:p w14:paraId="5F513429" w14:textId="77777777" w:rsidR="00605E6C" w:rsidRPr="00B55F66" w:rsidRDefault="00605E6C" w:rsidP="004067F8">
            <w:pPr>
              <w:ind w:left="720"/>
              <w:jc w:val="center"/>
              <w:rPr>
                <w:i/>
                <w:sz w:val="22"/>
                <w:szCs w:val="24"/>
                <w:lang w:eastAsia="lt-LT"/>
              </w:rPr>
            </w:pPr>
          </w:p>
          <w:p w14:paraId="494AFBAF" w14:textId="77777777" w:rsidR="00605E6C" w:rsidRPr="00B55F66" w:rsidRDefault="00605E6C" w:rsidP="004067F8">
            <w:pPr>
              <w:ind w:left="720"/>
              <w:jc w:val="center"/>
              <w:rPr>
                <w:i/>
                <w:sz w:val="22"/>
                <w:szCs w:val="24"/>
                <w:lang w:eastAsia="lt-LT"/>
              </w:rPr>
            </w:pPr>
            <w:r w:rsidRPr="00B55F66">
              <w:rPr>
                <w:i/>
                <w:sz w:val="22"/>
                <w:szCs w:val="24"/>
                <w:lang w:eastAsia="lt-LT"/>
              </w:rPr>
              <w:t xml:space="preserve">Gerai. Rezultatai ir rodikliai aiškūs, tačiau </w:t>
            </w:r>
            <w:r w:rsidRPr="00B55F66">
              <w:rPr>
                <w:i/>
                <w:szCs w:val="24"/>
                <w:lang w:eastAsia="lt-LT"/>
              </w:rPr>
              <w:t xml:space="preserve">trūksta </w:t>
            </w:r>
            <w:r w:rsidRPr="00B55F66">
              <w:rPr>
                <w:i/>
                <w:sz w:val="22"/>
                <w:szCs w:val="24"/>
                <w:lang w:eastAsia="lt-LT"/>
              </w:rPr>
              <w:t>detalumo. Veiklų planas ir finansavimas iš esmės atitinka tikslus – 10 balų</w:t>
            </w:r>
          </w:p>
          <w:p w14:paraId="5CA64CE7" w14:textId="77777777" w:rsidR="00605E6C" w:rsidRPr="00B55F66" w:rsidRDefault="00605E6C" w:rsidP="004067F8">
            <w:pPr>
              <w:ind w:left="720"/>
              <w:jc w:val="center"/>
              <w:rPr>
                <w:i/>
                <w:sz w:val="22"/>
                <w:szCs w:val="24"/>
                <w:lang w:eastAsia="lt-LT"/>
              </w:rPr>
            </w:pPr>
          </w:p>
          <w:p w14:paraId="72E11C12" w14:textId="77777777" w:rsidR="00605E6C" w:rsidRPr="00B55F66" w:rsidRDefault="00605E6C" w:rsidP="004067F8">
            <w:pPr>
              <w:ind w:left="720"/>
              <w:jc w:val="center"/>
              <w:rPr>
                <w:i/>
                <w:sz w:val="22"/>
                <w:szCs w:val="24"/>
                <w:lang w:eastAsia="lt-LT"/>
              </w:rPr>
            </w:pPr>
            <w:r w:rsidRPr="00B55F66">
              <w:rPr>
                <w:i/>
                <w:sz w:val="22"/>
                <w:szCs w:val="24"/>
                <w:lang w:eastAsia="lt-LT"/>
              </w:rPr>
              <w:t xml:space="preserve">Labai gerai. Išsamiai aprašyti rezultatai, jų pasiekimo kriterijai ir rodikliai. Veiklų planas ir </w:t>
            </w:r>
            <w:r w:rsidRPr="00B55F66">
              <w:rPr>
                <w:i/>
                <w:sz w:val="22"/>
                <w:szCs w:val="24"/>
                <w:lang w:eastAsia="lt-LT"/>
              </w:rPr>
              <w:lastRenderedPageBreak/>
              <w:t>finansavimas realistiški, tačiau galima</w:t>
            </w:r>
            <w:r>
              <w:rPr>
                <w:i/>
                <w:sz w:val="22"/>
                <w:szCs w:val="24"/>
                <w:lang w:eastAsia="lt-LT"/>
              </w:rPr>
              <w:t>s</w:t>
            </w:r>
            <w:r w:rsidRPr="00B55F66">
              <w:rPr>
                <w:i/>
                <w:sz w:val="22"/>
                <w:szCs w:val="24"/>
                <w:lang w:eastAsia="lt-LT"/>
              </w:rPr>
              <w:t xml:space="preserve"> dar </w:t>
            </w:r>
            <w:r>
              <w:rPr>
                <w:i/>
                <w:sz w:val="22"/>
                <w:szCs w:val="24"/>
                <w:lang w:eastAsia="lt-LT"/>
              </w:rPr>
              <w:t>išsamesnis</w:t>
            </w:r>
            <w:r w:rsidRPr="00B55F66">
              <w:rPr>
                <w:i/>
                <w:sz w:val="22"/>
                <w:szCs w:val="24"/>
                <w:lang w:eastAsia="lt-LT"/>
              </w:rPr>
              <w:t xml:space="preserve"> argumenta</w:t>
            </w:r>
            <w:r>
              <w:rPr>
                <w:i/>
                <w:sz w:val="22"/>
                <w:szCs w:val="24"/>
                <w:lang w:eastAsia="lt-LT"/>
              </w:rPr>
              <w:t>vimas</w:t>
            </w:r>
            <w:r w:rsidRPr="00B55F66">
              <w:rPr>
                <w:i/>
                <w:sz w:val="22"/>
                <w:szCs w:val="24"/>
                <w:lang w:eastAsia="lt-LT"/>
              </w:rPr>
              <w:t xml:space="preserve"> –15 balų</w:t>
            </w:r>
          </w:p>
          <w:p w14:paraId="40FEDCCB" w14:textId="77777777" w:rsidR="00605E6C" w:rsidRPr="00B55F66" w:rsidRDefault="00605E6C" w:rsidP="004067F8">
            <w:pPr>
              <w:ind w:left="720"/>
              <w:jc w:val="center"/>
              <w:rPr>
                <w:i/>
                <w:sz w:val="22"/>
                <w:szCs w:val="24"/>
                <w:lang w:eastAsia="lt-LT"/>
              </w:rPr>
            </w:pPr>
          </w:p>
          <w:p w14:paraId="0C693423" w14:textId="77777777" w:rsidR="00605E6C" w:rsidRPr="00B55F66" w:rsidRDefault="00605E6C" w:rsidP="004067F8">
            <w:pPr>
              <w:ind w:left="720"/>
              <w:jc w:val="center"/>
              <w:rPr>
                <w:b/>
                <w:szCs w:val="24"/>
                <w:lang w:eastAsia="lt-LT"/>
              </w:rPr>
            </w:pPr>
            <w:r w:rsidRPr="00B55F66">
              <w:rPr>
                <w:i/>
                <w:sz w:val="22"/>
                <w:szCs w:val="24"/>
                <w:lang w:eastAsia="lt-LT"/>
              </w:rPr>
              <w:t>Puikiai. Visiškai aiškūs, pagrįsti ir realistiški rezultatai, veiklų planas ir finansavimas. Pateikt</w:t>
            </w:r>
            <w:r>
              <w:rPr>
                <w:i/>
                <w:sz w:val="22"/>
                <w:szCs w:val="24"/>
                <w:lang w:eastAsia="lt-LT"/>
              </w:rPr>
              <w:t>i</w:t>
            </w:r>
            <w:r w:rsidRPr="00B55F66">
              <w:rPr>
                <w:i/>
                <w:sz w:val="22"/>
                <w:szCs w:val="24"/>
                <w:lang w:eastAsia="lt-LT"/>
              </w:rPr>
              <w:t xml:space="preserve"> įtikinam</w:t>
            </w:r>
            <w:r>
              <w:rPr>
                <w:i/>
                <w:sz w:val="22"/>
                <w:szCs w:val="24"/>
                <w:lang w:eastAsia="lt-LT"/>
              </w:rPr>
              <w:t>i</w:t>
            </w:r>
            <w:r w:rsidRPr="00B55F66">
              <w:rPr>
                <w:i/>
                <w:sz w:val="22"/>
                <w:szCs w:val="24"/>
                <w:lang w:eastAsia="lt-LT"/>
              </w:rPr>
              <w:t xml:space="preserve"> argumenta</w:t>
            </w:r>
            <w:r>
              <w:rPr>
                <w:i/>
                <w:sz w:val="22"/>
                <w:szCs w:val="24"/>
                <w:lang w:eastAsia="lt-LT"/>
              </w:rPr>
              <w:t>i</w:t>
            </w:r>
            <w:r w:rsidRPr="00B55F66">
              <w:rPr>
                <w:i/>
                <w:sz w:val="22"/>
                <w:szCs w:val="24"/>
                <w:lang w:eastAsia="lt-LT"/>
              </w:rPr>
              <w:t>, taikomos gerosios praktikos – 20 balų</w:t>
            </w:r>
            <w:bookmarkEnd w:id="3"/>
          </w:p>
        </w:tc>
        <w:tc>
          <w:tcPr>
            <w:tcW w:w="1559" w:type="dxa"/>
          </w:tcPr>
          <w:p w14:paraId="3B01D4C4" w14:textId="77777777" w:rsidR="00605E6C" w:rsidRPr="00B55F66" w:rsidRDefault="00605E6C" w:rsidP="004067F8">
            <w:pPr>
              <w:spacing w:line="276" w:lineRule="auto"/>
              <w:jc w:val="center"/>
              <w:rPr>
                <w:b/>
                <w:szCs w:val="24"/>
                <w:lang w:eastAsia="lt-LT"/>
              </w:rPr>
            </w:pPr>
          </w:p>
          <w:p w14:paraId="504C49EE" w14:textId="77777777" w:rsidR="00605E6C" w:rsidRPr="00B55F66" w:rsidRDefault="00605E6C" w:rsidP="004067F8">
            <w:pPr>
              <w:spacing w:line="276" w:lineRule="auto"/>
              <w:rPr>
                <w:b/>
                <w:szCs w:val="24"/>
                <w:lang w:eastAsia="lt-LT"/>
              </w:rPr>
            </w:pPr>
          </w:p>
          <w:p w14:paraId="19BD0A6D" w14:textId="77777777" w:rsidR="00605E6C" w:rsidRPr="00B55F66" w:rsidRDefault="00605E6C" w:rsidP="004067F8">
            <w:pPr>
              <w:spacing w:line="276" w:lineRule="auto"/>
              <w:rPr>
                <w:b/>
                <w:szCs w:val="24"/>
                <w:lang w:eastAsia="lt-LT"/>
              </w:rPr>
            </w:pPr>
          </w:p>
          <w:p w14:paraId="0445BEB5" w14:textId="77777777" w:rsidR="00605E6C" w:rsidRPr="00B55F66" w:rsidRDefault="00605E6C" w:rsidP="004067F8">
            <w:pPr>
              <w:spacing w:line="276" w:lineRule="auto"/>
              <w:rPr>
                <w:b/>
                <w:szCs w:val="24"/>
                <w:lang w:eastAsia="lt-LT"/>
              </w:rPr>
            </w:pPr>
          </w:p>
          <w:p w14:paraId="02B1E7B2" w14:textId="77777777" w:rsidR="00605E6C" w:rsidRPr="00B55F66" w:rsidRDefault="00605E6C" w:rsidP="004067F8">
            <w:pPr>
              <w:spacing w:line="276" w:lineRule="auto"/>
              <w:rPr>
                <w:b/>
                <w:szCs w:val="24"/>
                <w:lang w:eastAsia="lt-LT"/>
              </w:rPr>
            </w:pPr>
          </w:p>
          <w:p w14:paraId="7E124524" w14:textId="77777777" w:rsidR="00605E6C" w:rsidRPr="00B55F66" w:rsidRDefault="00605E6C" w:rsidP="004067F8">
            <w:pPr>
              <w:spacing w:line="276" w:lineRule="auto"/>
              <w:rPr>
                <w:b/>
                <w:szCs w:val="24"/>
                <w:lang w:eastAsia="lt-LT"/>
              </w:rPr>
            </w:pPr>
          </w:p>
          <w:p w14:paraId="1DF3801A" w14:textId="77777777" w:rsidR="00605E6C" w:rsidRPr="00B55F66" w:rsidRDefault="00605E6C" w:rsidP="004067F8">
            <w:pPr>
              <w:spacing w:line="276" w:lineRule="auto"/>
              <w:jc w:val="center"/>
              <w:rPr>
                <w:szCs w:val="24"/>
                <w:lang w:eastAsia="lt-LT"/>
              </w:rPr>
            </w:pPr>
            <w:r w:rsidRPr="00B55F66">
              <w:rPr>
                <w:szCs w:val="24"/>
                <w:lang w:eastAsia="lt-LT"/>
              </w:rPr>
              <w:t>0</w:t>
            </w:r>
            <w:r w:rsidRPr="00B55F66">
              <w:rPr>
                <w:bCs/>
                <w:szCs w:val="24"/>
                <w:lang w:eastAsia="lt-LT"/>
              </w:rPr>
              <w:t>–20</w:t>
            </w:r>
          </w:p>
        </w:tc>
        <w:tc>
          <w:tcPr>
            <w:tcW w:w="1418" w:type="dxa"/>
          </w:tcPr>
          <w:p w14:paraId="21861FF7" w14:textId="77777777" w:rsidR="00605E6C" w:rsidRPr="00B55F66" w:rsidRDefault="00605E6C" w:rsidP="004067F8">
            <w:pPr>
              <w:spacing w:line="276" w:lineRule="auto"/>
              <w:jc w:val="center"/>
              <w:rPr>
                <w:b/>
                <w:szCs w:val="24"/>
                <w:lang w:eastAsia="lt-LT"/>
              </w:rPr>
            </w:pPr>
          </w:p>
        </w:tc>
        <w:tc>
          <w:tcPr>
            <w:tcW w:w="1559" w:type="dxa"/>
          </w:tcPr>
          <w:p w14:paraId="31851B40" w14:textId="77777777" w:rsidR="00605E6C" w:rsidRPr="007C6363" w:rsidRDefault="00605E6C" w:rsidP="004067F8">
            <w:pPr>
              <w:spacing w:line="276" w:lineRule="auto"/>
              <w:jc w:val="center"/>
              <w:rPr>
                <w:b/>
                <w:color w:val="FF0000"/>
                <w:szCs w:val="24"/>
                <w:lang w:eastAsia="lt-LT"/>
              </w:rPr>
            </w:pPr>
          </w:p>
        </w:tc>
      </w:tr>
      <w:tr w:rsidR="00605E6C" w:rsidRPr="008107C0" w14:paraId="60A4AF04" w14:textId="77777777" w:rsidTr="004067F8">
        <w:tblPrEx>
          <w:tblLook w:val="04A0" w:firstRow="1" w:lastRow="0" w:firstColumn="1" w:lastColumn="0" w:noHBand="0" w:noVBand="1"/>
        </w:tblPrEx>
        <w:tc>
          <w:tcPr>
            <w:tcW w:w="5274" w:type="dxa"/>
          </w:tcPr>
          <w:p w14:paraId="11CD8B46" w14:textId="77777777" w:rsidR="00605E6C" w:rsidRDefault="00605E6C" w:rsidP="004067F8">
            <w:pPr>
              <w:spacing w:line="276" w:lineRule="auto"/>
              <w:jc w:val="both"/>
              <w:rPr>
                <w:szCs w:val="24"/>
                <w:lang w:eastAsia="lt-LT"/>
              </w:rPr>
            </w:pPr>
            <w:r>
              <w:rPr>
                <w:szCs w:val="24"/>
                <w:lang w:eastAsia="lt-LT"/>
              </w:rPr>
              <w:t>6</w:t>
            </w:r>
            <w:r w:rsidRPr="008107C0">
              <w:rPr>
                <w:szCs w:val="24"/>
                <w:lang w:eastAsia="lt-LT"/>
              </w:rPr>
              <w:t xml:space="preserve">. Programos vykdytojas užtikrina, kad </w:t>
            </w:r>
            <w:r>
              <w:rPr>
                <w:szCs w:val="24"/>
                <w:lang w:eastAsia="lt-LT"/>
              </w:rPr>
              <w:t>p</w:t>
            </w:r>
            <w:r w:rsidRPr="008107C0">
              <w:rPr>
                <w:szCs w:val="24"/>
                <w:lang w:eastAsia="lt-LT"/>
              </w:rPr>
              <w:t xml:space="preserve">rogramai įgyvendinti reikalinga lėšų dalis, kurios nepadengia savivaldybės biudžeto skirtos lėšos, sudaro ne mažiau kaip 10 procentų visos </w:t>
            </w:r>
            <w:r>
              <w:rPr>
                <w:szCs w:val="24"/>
                <w:lang w:eastAsia="lt-LT"/>
              </w:rPr>
              <w:t>p</w:t>
            </w:r>
            <w:r w:rsidRPr="008107C0">
              <w:rPr>
                <w:szCs w:val="24"/>
                <w:lang w:eastAsia="lt-LT"/>
              </w:rPr>
              <w:t>rogramos poreikio (veiklų išlaidų)</w:t>
            </w:r>
            <w:r>
              <w:rPr>
                <w:szCs w:val="24"/>
                <w:lang w:eastAsia="lt-LT"/>
              </w:rPr>
              <w:t>:</w:t>
            </w:r>
          </w:p>
          <w:p w14:paraId="1A65C5D0" w14:textId="2EA653CC" w:rsidR="00605E6C" w:rsidRDefault="00605E6C" w:rsidP="004067F8">
            <w:pPr>
              <w:spacing w:line="276" w:lineRule="auto"/>
              <w:jc w:val="center"/>
              <w:rPr>
                <w:i/>
                <w:iCs/>
                <w:sz w:val="22"/>
                <w:szCs w:val="24"/>
                <w:shd w:val="clear" w:color="auto" w:fill="FFFFFF"/>
                <w:lang w:eastAsia="lt-LT"/>
              </w:rPr>
            </w:pPr>
            <w:r w:rsidRPr="00BB121C">
              <w:rPr>
                <w:i/>
                <w:sz w:val="22"/>
              </w:rPr>
              <w:t xml:space="preserve">Papildomas finansavimas sudaro </w:t>
            </w:r>
            <w:r w:rsidRPr="00BB121C">
              <w:rPr>
                <w:i/>
                <w:iCs/>
                <w:sz w:val="22"/>
                <w:szCs w:val="24"/>
                <w:lang w:eastAsia="lt-LT"/>
              </w:rPr>
              <w:t xml:space="preserve">10 proc. – </w:t>
            </w:r>
            <w:r w:rsidR="007F2FE3">
              <w:rPr>
                <w:i/>
                <w:iCs/>
                <w:sz w:val="22"/>
                <w:szCs w:val="24"/>
                <w:shd w:val="clear" w:color="auto" w:fill="FFFFFF"/>
                <w:lang w:eastAsia="lt-LT"/>
              </w:rPr>
              <w:t>0</w:t>
            </w:r>
            <w:r w:rsidRPr="00BB121C">
              <w:rPr>
                <w:i/>
                <w:iCs/>
                <w:sz w:val="22"/>
                <w:szCs w:val="24"/>
                <w:shd w:val="clear" w:color="auto" w:fill="FFFFFF"/>
                <w:lang w:eastAsia="lt-LT"/>
              </w:rPr>
              <w:t xml:space="preserve"> balų</w:t>
            </w:r>
          </w:p>
          <w:p w14:paraId="3DE983E3" w14:textId="77777777" w:rsidR="007F2FE3" w:rsidRDefault="007F2FE3" w:rsidP="004067F8">
            <w:pPr>
              <w:spacing w:line="276" w:lineRule="auto"/>
              <w:jc w:val="center"/>
              <w:rPr>
                <w:i/>
                <w:iCs/>
                <w:sz w:val="22"/>
                <w:szCs w:val="24"/>
                <w:shd w:val="clear" w:color="auto" w:fill="FFFFFF"/>
                <w:lang w:eastAsia="lt-LT"/>
              </w:rPr>
            </w:pPr>
          </w:p>
          <w:p w14:paraId="249D2A4D" w14:textId="0264C2EE" w:rsidR="007F2FE3" w:rsidRDefault="007F2FE3" w:rsidP="004067F8">
            <w:pPr>
              <w:spacing w:line="276" w:lineRule="auto"/>
              <w:jc w:val="center"/>
              <w:rPr>
                <w:i/>
                <w:iCs/>
                <w:sz w:val="22"/>
                <w:szCs w:val="24"/>
                <w:lang w:eastAsia="lt-LT"/>
              </w:rPr>
            </w:pPr>
            <w:r w:rsidRPr="00BB121C">
              <w:rPr>
                <w:i/>
                <w:sz w:val="22"/>
              </w:rPr>
              <w:t xml:space="preserve">Papildomas finansavimas sudaro </w:t>
            </w:r>
            <w:r>
              <w:rPr>
                <w:i/>
                <w:iCs/>
                <w:sz w:val="22"/>
                <w:szCs w:val="24"/>
                <w:lang w:eastAsia="lt-LT"/>
              </w:rPr>
              <w:t>11</w:t>
            </w:r>
            <w:r w:rsidRPr="00BB121C">
              <w:rPr>
                <w:i/>
                <w:iCs/>
                <w:sz w:val="22"/>
                <w:szCs w:val="24"/>
                <w:lang w:eastAsia="lt-LT"/>
              </w:rPr>
              <w:t>–</w:t>
            </w:r>
            <w:r>
              <w:rPr>
                <w:i/>
                <w:iCs/>
                <w:sz w:val="22"/>
                <w:szCs w:val="24"/>
                <w:lang w:eastAsia="lt-LT"/>
              </w:rPr>
              <w:t>15</w:t>
            </w:r>
            <w:r w:rsidRPr="00BB121C">
              <w:rPr>
                <w:i/>
                <w:iCs/>
                <w:sz w:val="22"/>
                <w:szCs w:val="24"/>
                <w:lang w:eastAsia="lt-LT"/>
              </w:rPr>
              <w:t xml:space="preserve"> proc</w:t>
            </w:r>
            <w:r>
              <w:rPr>
                <w:i/>
                <w:iCs/>
                <w:sz w:val="22"/>
                <w:szCs w:val="24"/>
                <w:lang w:eastAsia="lt-LT"/>
              </w:rPr>
              <w:t>. – 10 balų</w:t>
            </w:r>
          </w:p>
          <w:p w14:paraId="4D628B89" w14:textId="77777777" w:rsidR="00605E6C" w:rsidRPr="00BB121C" w:rsidRDefault="00605E6C" w:rsidP="004067F8">
            <w:pPr>
              <w:spacing w:line="276" w:lineRule="auto"/>
              <w:jc w:val="center"/>
              <w:rPr>
                <w:i/>
                <w:iCs/>
                <w:sz w:val="22"/>
                <w:szCs w:val="24"/>
                <w:lang w:eastAsia="lt-LT"/>
              </w:rPr>
            </w:pPr>
          </w:p>
          <w:p w14:paraId="588FF1D7" w14:textId="0A6576E9" w:rsidR="00605E6C" w:rsidRPr="00BB121C" w:rsidRDefault="00605E6C" w:rsidP="004067F8">
            <w:pPr>
              <w:spacing w:line="276" w:lineRule="auto"/>
              <w:jc w:val="center"/>
              <w:rPr>
                <w:i/>
                <w:iCs/>
                <w:sz w:val="22"/>
                <w:szCs w:val="24"/>
                <w:lang w:eastAsia="lt-LT"/>
              </w:rPr>
            </w:pPr>
            <w:r w:rsidRPr="00BB121C">
              <w:rPr>
                <w:i/>
                <w:sz w:val="22"/>
              </w:rPr>
              <w:t xml:space="preserve">Papildomas finansavimas sudaro </w:t>
            </w:r>
            <w:r w:rsidRPr="00BB121C">
              <w:rPr>
                <w:i/>
                <w:iCs/>
                <w:sz w:val="22"/>
                <w:szCs w:val="24"/>
                <w:lang w:eastAsia="lt-LT"/>
              </w:rPr>
              <w:t>1</w:t>
            </w:r>
            <w:r w:rsidR="007F2FE3">
              <w:rPr>
                <w:i/>
                <w:iCs/>
                <w:sz w:val="22"/>
                <w:szCs w:val="24"/>
                <w:lang w:eastAsia="lt-LT"/>
              </w:rPr>
              <w:t>6</w:t>
            </w:r>
            <w:r w:rsidRPr="00BB121C">
              <w:rPr>
                <w:i/>
                <w:iCs/>
                <w:sz w:val="22"/>
                <w:szCs w:val="24"/>
                <w:lang w:eastAsia="lt-LT"/>
              </w:rPr>
              <w:t xml:space="preserve">–20 proc. – </w:t>
            </w:r>
          </w:p>
          <w:p w14:paraId="253DB49A" w14:textId="77777777" w:rsidR="00605E6C" w:rsidRDefault="00605E6C" w:rsidP="004067F8">
            <w:pPr>
              <w:spacing w:line="276" w:lineRule="auto"/>
              <w:jc w:val="center"/>
              <w:rPr>
                <w:i/>
                <w:iCs/>
                <w:sz w:val="22"/>
                <w:szCs w:val="24"/>
                <w:lang w:eastAsia="lt-LT"/>
              </w:rPr>
            </w:pPr>
            <w:r w:rsidRPr="00BB121C">
              <w:rPr>
                <w:i/>
                <w:iCs/>
                <w:sz w:val="22"/>
                <w:szCs w:val="24"/>
                <w:shd w:val="clear" w:color="auto" w:fill="FFFFFF"/>
                <w:lang w:eastAsia="lt-LT"/>
              </w:rPr>
              <w:t>15 balų</w:t>
            </w:r>
          </w:p>
          <w:p w14:paraId="4B463636" w14:textId="77777777" w:rsidR="00605E6C" w:rsidRPr="00BB121C" w:rsidRDefault="00605E6C" w:rsidP="004067F8">
            <w:pPr>
              <w:spacing w:line="276" w:lineRule="auto"/>
              <w:jc w:val="center"/>
              <w:rPr>
                <w:i/>
                <w:iCs/>
                <w:sz w:val="22"/>
                <w:szCs w:val="24"/>
                <w:lang w:eastAsia="lt-LT"/>
              </w:rPr>
            </w:pPr>
          </w:p>
          <w:p w14:paraId="5F9A8D48" w14:textId="77777777" w:rsidR="00605E6C" w:rsidRPr="008107C0" w:rsidRDefault="00605E6C" w:rsidP="004067F8">
            <w:pPr>
              <w:spacing w:line="276" w:lineRule="auto"/>
              <w:jc w:val="center"/>
              <w:rPr>
                <w:szCs w:val="24"/>
                <w:lang w:eastAsia="lt-LT"/>
              </w:rPr>
            </w:pPr>
            <w:r w:rsidRPr="00BB121C">
              <w:rPr>
                <w:i/>
                <w:sz w:val="22"/>
              </w:rPr>
              <w:t xml:space="preserve">Papildomas finansavimas sudaro </w:t>
            </w:r>
            <w:r w:rsidRPr="00BB121C">
              <w:rPr>
                <w:i/>
                <w:iCs/>
                <w:sz w:val="22"/>
                <w:szCs w:val="24"/>
                <w:lang w:eastAsia="lt-LT"/>
              </w:rPr>
              <w:t>daugiau kaip 20</w:t>
            </w:r>
            <w:r>
              <w:rPr>
                <w:i/>
                <w:iCs/>
                <w:sz w:val="22"/>
                <w:szCs w:val="24"/>
                <w:lang w:eastAsia="lt-LT"/>
              </w:rPr>
              <w:t> </w:t>
            </w:r>
            <w:r w:rsidRPr="00BB121C">
              <w:rPr>
                <w:i/>
                <w:iCs/>
                <w:sz w:val="22"/>
                <w:szCs w:val="24"/>
                <w:lang w:eastAsia="lt-LT"/>
              </w:rPr>
              <w:t xml:space="preserve"> proc.</w:t>
            </w:r>
            <w:r>
              <w:rPr>
                <w:i/>
                <w:iCs/>
                <w:sz w:val="22"/>
                <w:szCs w:val="24"/>
                <w:lang w:eastAsia="lt-LT"/>
              </w:rPr>
              <w:t> </w:t>
            </w:r>
            <w:r w:rsidRPr="00BB121C">
              <w:rPr>
                <w:i/>
                <w:iCs/>
                <w:sz w:val="22"/>
                <w:szCs w:val="24"/>
                <w:lang w:eastAsia="lt-LT"/>
              </w:rPr>
              <w:t xml:space="preserve"> – 20 balų</w:t>
            </w:r>
          </w:p>
        </w:tc>
        <w:tc>
          <w:tcPr>
            <w:tcW w:w="1559" w:type="dxa"/>
          </w:tcPr>
          <w:p w14:paraId="472AF0ED" w14:textId="77777777" w:rsidR="00605E6C" w:rsidRDefault="00605E6C" w:rsidP="004067F8">
            <w:pPr>
              <w:spacing w:line="276" w:lineRule="auto"/>
              <w:jc w:val="center"/>
              <w:rPr>
                <w:szCs w:val="24"/>
                <w:lang w:eastAsia="lt-LT"/>
              </w:rPr>
            </w:pPr>
          </w:p>
          <w:p w14:paraId="556991E8" w14:textId="77777777" w:rsidR="00605E6C" w:rsidRDefault="00605E6C" w:rsidP="004067F8">
            <w:pPr>
              <w:spacing w:line="276" w:lineRule="auto"/>
              <w:jc w:val="center"/>
              <w:rPr>
                <w:szCs w:val="24"/>
                <w:lang w:eastAsia="lt-LT"/>
              </w:rPr>
            </w:pPr>
          </w:p>
          <w:p w14:paraId="4E0F5B01" w14:textId="77777777" w:rsidR="00605E6C" w:rsidRDefault="00605E6C" w:rsidP="004067F8">
            <w:pPr>
              <w:spacing w:line="276" w:lineRule="auto"/>
              <w:jc w:val="center"/>
              <w:rPr>
                <w:szCs w:val="24"/>
                <w:lang w:eastAsia="lt-LT"/>
              </w:rPr>
            </w:pPr>
          </w:p>
          <w:p w14:paraId="3E231A84" w14:textId="77777777" w:rsidR="00605E6C" w:rsidRDefault="00605E6C" w:rsidP="004067F8">
            <w:pPr>
              <w:spacing w:line="276" w:lineRule="auto"/>
              <w:jc w:val="center"/>
              <w:rPr>
                <w:szCs w:val="24"/>
                <w:lang w:eastAsia="lt-LT"/>
              </w:rPr>
            </w:pPr>
          </w:p>
          <w:p w14:paraId="63BD1C08" w14:textId="77777777" w:rsidR="00605E6C" w:rsidRDefault="00605E6C" w:rsidP="004067F8">
            <w:pPr>
              <w:spacing w:line="276" w:lineRule="auto"/>
              <w:jc w:val="center"/>
              <w:rPr>
                <w:szCs w:val="24"/>
                <w:lang w:eastAsia="lt-LT"/>
              </w:rPr>
            </w:pPr>
          </w:p>
          <w:p w14:paraId="68E95631" w14:textId="77777777" w:rsidR="00605E6C" w:rsidRPr="008107C0" w:rsidRDefault="00605E6C" w:rsidP="004067F8">
            <w:pPr>
              <w:spacing w:line="276" w:lineRule="auto"/>
              <w:jc w:val="center"/>
              <w:rPr>
                <w:szCs w:val="24"/>
                <w:lang w:eastAsia="lt-LT"/>
              </w:rPr>
            </w:pPr>
            <w:r w:rsidRPr="008107C0">
              <w:rPr>
                <w:szCs w:val="24"/>
                <w:lang w:eastAsia="lt-LT"/>
              </w:rPr>
              <w:t>0</w:t>
            </w:r>
            <w:r>
              <w:rPr>
                <w:szCs w:val="24"/>
                <w:lang w:eastAsia="lt-LT"/>
              </w:rPr>
              <w:t>–</w:t>
            </w:r>
            <w:r w:rsidRPr="008107C0">
              <w:rPr>
                <w:szCs w:val="24"/>
                <w:lang w:eastAsia="lt-LT"/>
              </w:rPr>
              <w:t>20</w:t>
            </w:r>
          </w:p>
        </w:tc>
        <w:tc>
          <w:tcPr>
            <w:tcW w:w="1418" w:type="dxa"/>
          </w:tcPr>
          <w:p w14:paraId="5A9C763B" w14:textId="6E96E832" w:rsidR="007F2FE3" w:rsidRPr="008107C0" w:rsidRDefault="007F2FE3" w:rsidP="004067F8">
            <w:pPr>
              <w:spacing w:line="276" w:lineRule="auto"/>
              <w:jc w:val="center"/>
              <w:rPr>
                <w:szCs w:val="24"/>
                <w:lang w:eastAsia="lt-LT"/>
              </w:rPr>
            </w:pPr>
          </w:p>
        </w:tc>
        <w:tc>
          <w:tcPr>
            <w:tcW w:w="1559" w:type="dxa"/>
          </w:tcPr>
          <w:p w14:paraId="3F70ACDF" w14:textId="77777777" w:rsidR="00605E6C" w:rsidRPr="008107C0" w:rsidRDefault="00605E6C" w:rsidP="004067F8">
            <w:pPr>
              <w:spacing w:line="276" w:lineRule="auto"/>
              <w:jc w:val="center"/>
              <w:rPr>
                <w:szCs w:val="24"/>
                <w:lang w:eastAsia="lt-LT"/>
              </w:rPr>
            </w:pPr>
          </w:p>
        </w:tc>
      </w:tr>
      <w:tr w:rsidR="00605E6C" w:rsidRPr="008107C0" w14:paraId="72A222D5" w14:textId="77777777" w:rsidTr="004067F8">
        <w:tblPrEx>
          <w:tblLook w:val="04A0" w:firstRow="1" w:lastRow="0" w:firstColumn="1" w:lastColumn="0" w:noHBand="0" w:noVBand="1"/>
        </w:tblPrEx>
        <w:tc>
          <w:tcPr>
            <w:tcW w:w="5274" w:type="dxa"/>
          </w:tcPr>
          <w:p w14:paraId="28DB1BA6" w14:textId="77777777" w:rsidR="00605E6C" w:rsidRPr="00DB0FCF" w:rsidRDefault="00605E6C" w:rsidP="004067F8">
            <w:pPr>
              <w:spacing w:line="276" w:lineRule="auto"/>
              <w:jc w:val="both"/>
              <w:rPr>
                <w:szCs w:val="24"/>
                <w:lang w:eastAsia="lt-LT"/>
              </w:rPr>
            </w:pPr>
          </w:p>
        </w:tc>
        <w:tc>
          <w:tcPr>
            <w:tcW w:w="1559" w:type="dxa"/>
          </w:tcPr>
          <w:p w14:paraId="78C0780F" w14:textId="77777777" w:rsidR="00605E6C" w:rsidRDefault="00605E6C" w:rsidP="004067F8">
            <w:pPr>
              <w:spacing w:line="276" w:lineRule="auto"/>
              <w:jc w:val="center"/>
              <w:rPr>
                <w:szCs w:val="24"/>
                <w:lang w:eastAsia="lt-LT"/>
              </w:rPr>
            </w:pPr>
          </w:p>
        </w:tc>
        <w:tc>
          <w:tcPr>
            <w:tcW w:w="1418" w:type="dxa"/>
          </w:tcPr>
          <w:p w14:paraId="0ACABF9A" w14:textId="77777777" w:rsidR="00605E6C" w:rsidRPr="008107C0" w:rsidRDefault="00605E6C" w:rsidP="004067F8">
            <w:pPr>
              <w:spacing w:line="276" w:lineRule="auto"/>
              <w:jc w:val="center"/>
              <w:rPr>
                <w:szCs w:val="24"/>
                <w:lang w:eastAsia="lt-LT"/>
              </w:rPr>
            </w:pPr>
          </w:p>
        </w:tc>
        <w:tc>
          <w:tcPr>
            <w:tcW w:w="1559" w:type="dxa"/>
          </w:tcPr>
          <w:p w14:paraId="1F253D01" w14:textId="77777777" w:rsidR="00605E6C" w:rsidRPr="008107C0" w:rsidRDefault="00605E6C" w:rsidP="004067F8">
            <w:pPr>
              <w:spacing w:line="276" w:lineRule="auto"/>
              <w:jc w:val="center"/>
              <w:rPr>
                <w:szCs w:val="24"/>
                <w:lang w:eastAsia="lt-LT"/>
              </w:rPr>
            </w:pPr>
          </w:p>
        </w:tc>
      </w:tr>
      <w:tr w:rsidR="00605E6C" w:rsidRPr="008107C0" w14:paraId="426E634D" w14:textId="77777777" w:rsidTr="004067F8">
        <w:tblPrEx>
          <w:tblLook w:val="04A0" w:firstRow="1" w:lastRow="0" w:firstColumn="1" w:lastColumn="0" w:noHBand="0" w:noVBand="1"/>
        </w:tblPrEx>
        <w:trPr>
          <w:trHeight w:val="319"/>
        </w:trPr>
        <w:tc>
          <w:tcPr>
            <w:tcW w:w="5274" w:type="dxa"/>
            <w:shd w:val="clear" w:color="auto" w:fill="auto"/>
          </w:tcPr>
          <w:p w14:paraId="511F2C8E" w14:textId="77777777" w:rsidR="00605E6C" w:rsidRPr="008107C0" w:rsidRDefault="00605E6C" w:rsidP="004067F8">
            <w:pPr>
              <w:spacing w:line="276" w:lineRule="auto"/>
              <w:jc w:val="right"/>
              <w:rPr>
                <w:b/>
                <w:szCs w:val="24"/>
                <w:lang w:eastAsia="lt-LT"/>
              </w:rPr>
            </w:pPr>
            <w:r w:rsidRPr="008107C0">
              <w:rPr>
                <w:b/>
                <w:szCs w:val="24"/>
                <w:lang w:eastAsia="lt-LT"/>
              </w:rPr>
              <w:t>Iš viso:</w:t>
            </w:r>
          </w:p>
        </w:tc>
        <w:tc>
          <w:tcPr>
            <w:tcW w:w="1559" w:type="dxa"/>
            <w:shd w:val="clear" w:color="auto" w:fill="auto"/>
          </w:tcPr>
          <w:p w14:paraId="33FD2212" w14:textId="77777777" w:rsidR="00605E6C" w:rsidRPr="008107C0" w:rsidRDefault="00605E6C" w:rsidP="004067F8">
            <w:pPr>
              <w:spacing w:line="276" w:lineRule="auto"/>
              <w:jc w:val="center"/>
              <w:rPr>
                <w:b/>
                <w:szCs w:val="24"/>
                <w:lang w:eastAsia="lt-LT"/>
              </w:rPr>
            </w:pPr>
            <w:r w:rsidRPr="008107C0">
              <w:rPr>
                <w:b/>
                <w:szCs w:val="24"/>
                <w:lang w:eastAsia="lt-LT"/>
              </w:rPr>
              <w:t>0</w:t>
            </w:r>
            <w:r w:rsidRPr="008107C0">
              <w:rPr>
                <w:bCs/>
                <w:szCs w:val="24"/>
                <w:lang w:eastAsia="lt-LT"/>
              </w:rPr>
              <w:t>–</w:t>
            </w:r>
            <w:r w:rsidRPr="008107C0">
              <w:rPr>
                <w:b/>
                <w:szCs w:val="24"/>
                <w:lang w:eastAsia="lt-LT"/>
              </w:rPr>
              <w:t>100</w:t>
            </w:r>
          </w:p>
        </w:tc>
        <w:tc>
          <w:tcPr>
            <w:tcW w:w="1418" w:type="dxa"/>
            <w:shd w:val="clear" w:color="auto" w:fill="auto"/>
          </w:tcPr>
          <w:p w14:paraId="1110E841" w14:textId="77777777" w:rsidR="00605E6C" w:rsidRPr="008107C0" w:rsidRDefault="00605E6C" w:rsidP="004067F8">
            <w:pPr>
              <w:spacing w:line="276" w:lineRule="auto"/>
              <w:jc w:val="center"/>
              <w:rPr>
                <w:szCs w:val="24"/>
                <w:lang w:eastAsia="lt-LT"/>
              </w:rPr>
            </w:pPr>
          </w:p>
        </w:tc>
        <w:tc>
          <w:tcPr>
            <w:tcW w:w="1559" w:type="dxa"/>
          </w:tcPr>
          <w:p w14:paraId="50AAC5AD" w14:textId="77777777" w:rsidR="00605E6C" w:rsidRPr="008107C0" w:rsidRDefault="00605E6C" w:rsidP="004067F8">
            <w:pPr>
              <w:spacing w:line="276" w:lineRule="auto"/>
              <w:jc w:val="center"/>
              <w:rPr>
                <w:szCs w:val="24"/>
                <w:lang w:eastAsia="lt-LT"/>
              </w:rPr>
            </w:pPr>
          </w:p>
        </w:tc>
      </w:tr>
      <w:tr w:rsidR="00605E6C" w:rsidRPr="008107C0" w14:paraId="13141B95" w14:textId="77777777" w:rsidTr="004067F8">
        <w:tblPrEx>
          <w:tblLook w:val="04A0" w:firstRow="1" w:lastRow="0" w:firstColumn="1" w:lastColumn="0" w:noHBand="0" w:noVBand="1"/>
        </w:tblPrEx>
        <w:trPr>
          <w:trHeight w:val="319"/>
        </w:trPr>
        <w:tc>
          <w:tcPr>
            <w:tcW w:w="6833" w:type="dxa"/>
            <w:gridSpan w:val="2"/>
            <w:shd w:val="clear" w:color="auto" w:fill="auto"/>
          </w:tcPr>
          <w:p w14:paraId="1FE45891" w14:textId="77777777" w:rsidR="00605E6C" w:rsidRPr="008107C0" w:rsidRDefault="00605E6C" w:rsidP="004067F8">
            <w:pPr>
              <w:spacing w:line="276" w:lineRule="auto"/>
              <w:ind w:firstLine="4278"/>
              <w:jc w:val="center"/>
              <w:rPr>
                <w:b/>
                <w:szCs w:val="24"/>
                <w:lang w:eastAsia="lt-LT"/>
              </w:rPr>
            </w:pPr>
            <w:r w:rsidRPr="008107C0">
              <w:rPr>
                <w:b/>
                <w:szCs w:val="24"/>
                <w:lang w:eastAsia="lt-LT"/>
              </w:rPr>
              <w:t>Praeinamasis balas:</w:t>
            </w:r>
          </w:p>
        </w:tc>
        <w:tc>
          <w:tcPr>
            <w:tcW w:w="1418" w:type="dxa"/>
            <w:shd w:val="clear" w:color="auto" w:fill="auto"/>
          </w:tcPr>
          <w:p w14:paraId="1626731E" w14:textId="77777777" w:rsidR="00605E6C" w:rsidRPr="008107C0" w:rsidRDefault="00605E6C" w:rsidP="004067F8">
            <w:pPr>
              <w:spacing w:line="276" w:lineRule="auto"/>
              <w:jc w:val="center"/>
              <w:rPr>
                <w:szCs w:val="24"/>
                <w:lang w:eastAsia="lt-LT"/>
              </w:rPr>
            </w:pPr>
            <w:r w:rsidRPr="008107C0">
              <w:rPr>
                <w:szCs w:val="24"/>
                <w:lang w:eastAsia="lt-LT"/>
              </w:rPr>
              <w:t>60</w:t>
            </w:r>
          </w:p>
        </w:tc>
        <w:tc>
          <w:tcPr>
            <w:tcW w:w="1559" w:type="dxa"/>
          </w:tcPr>
          <w:p w14:paraId="5C1B0177" w14:textId="77777777" w:rsidR="00605E6C" w:rsidRPr="008107C0" w:rsidRDefault="00605E6C" w:rsidP="004067F8">
            <w:pPr>
              <w:spacing w:line="276" w:lineRule="auto"/>
              <w:rPr>
                <w:szCs w:val="24"/>
                <w:lang w:eastAsia="lt-LT"/>
              </w:rPr>
            </w:pPr>
          </w:p>
        </w:tc>
      </w:tr>
    </w:tbl>
    <w:p w14:paraId="0572E572" w14:textId="77777777" w:rsidR="00605E6C" w:rsidRPr="008107C0" w:rsidRDefault="00605E6C" w:rsidP="00605E6C">
      <w:pPr>
        <w:jc w:val="both"/>
        <w:rPr>
          <w:szCs w:val="24"/>
          <w:lang w:eastAsia="lt-LT"/>
        </w:rPr>
      </w:pPr>
    </w:p>
    <w:tbl>
      <w:tblPr>
        <w:tblW w:w="9810" w:type="dxa"/>
        <w:tblInd w:w="-34" w:type="dxa"/>
        <w:tblCellMar>
          <w:left w:w="10" w:type="dxa"/>
          <w:right w:w="10" w:type="dxa"/>
        </w:tblCellMar>
        <w:tblLook w:val="04A0" w:firstRow="1" w:lastRow="0" w:firstColumn="1" w:lastColumn="0" w:noHBand="0" w:noVBand="1"/>
      </w:tblPr>
      <w:tblGrid>
        <w:gridCol w:w="4969"/>
        <w:gridCol w:w="2660"/>
        <w:gridCol w:w="2181"/>
      </w:tblGrid>
      <w:tr w:rsidR="00605E6C" w:rsidRPr="008107C0" w14:paraId="548A61EC" w14:textId="77777777" w:rsidTr="004067F8">
        <w:trPr>
          <w:trHeight w:val="490"/>
        </w:trPr>
        <w:tc>
          <w:tcPr>
            <w:tcW w:w="9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14:paraId="23D8F060" w14:textId="77777777" w:rsidR="00605E6C" w:rsidRPr="008107C0" w:rsidRDefault="00605E6C" w:rsidP="004067F8">
            <w:pPr>
              <w:suppressAutoHyphens/>
              <w:rPr>
                <w:i/>
                <w:iCs/>
                <w:szCs w:val="24"/>
                <w:lang w:eastAsia="lt-LT"/>
              </w:rPr>
            </w:pPr>
            <w:r w:rsidRPr="008107C0">
              <w:rPr>
                <w:b/>
                <w:bCs/>
                <w:szCs w:val="24"/>
                <w:lang w:eastAsia="lt-LT"/>
              </w:rPr>
              <w:t>KOMISIJOS NARIŲ IŠVADA:</w:t>
            </w:r>
          </w:p>
        </w:tc>
      </w:tr>
      <w:tr w:rsidR="00605E6C" w:rsidRPr="008107C0" w14:paraId="79161FBE" w14:textId="77777777" w:rsidTr="004067F8">
        <w:trPr>
          <w:trHeight w:val="1"/>
        </w:trPr>
        <w:tc>
          <w:tcPr>
            <w:tcW w:w="9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BDB8CC6" w14:textId="77777777" w:rsidR="00605E6C" w:rsidRPr="008107C0" w:rsidRDefault="00605E6C" w:rsidP="004067F8">
            <w:pPr>
              <w:rPr>
                <w:szCs w:val="24"/>
                <w:lang w:eastAsia="lt-LT"/>
              </w:rPr>
            </w:pPr>
            <w:r w:rsidRPr="00B801B1">
              <w:rPr>
                <w:szCs w:val="24"/>
                <w:lang w:eastAsia="lt-LT"/>
              </w:rPr>
              <w:t>Siūloma</w:t>
            </w:r>
            <w:r w:rsidRPr="008107C0">
              <w:rPr>
                <w:szCs w:val="24"/>
                <w:lang w:eastAsia="lt-LT"/>
              </w:rPr>
              <w:t xml:space="preserve"> / nesiūloma </w:t>
            </w:r>
            <w:r w:rsidRPr="001C0FC1">
              <w:rPr>
                <w:i/>
                <w:iCs/>
                <w:szCs w:val="24"/>
                <w:lang w:eastAsia="lt-LT"/>
              </w:rPr>
              <w:t>(reikalingą žodį pabraukti</w:t>
            </w:r>
            <w:r w:rsidRPr="008107C0">
              <w:rPr>
                <w:szCs w:val="24"/>
                <w:lang w:eastAsia="lt-LT"/>
              </w:rPr>
              <w:t xml:space="preserve">) finansuoti </w:t>
            </w:r>
            <w:r>
              <w:rPr>
                <w:szCs w:val="24"/>
                <w:lang w:eastAsia="lt-LT"/>
              </w:rPr>
              <w:t>p</w:t>
            </w:r>
            <w:r w:rsidRPr="008107C0">
              <w:rPr>
                <w:szCs w:val="24"/>
                <w:lang w:eastAsia="lt-LT"/>
              </w:rPr>
              <w:t xml:space="preserve">rogramą. </w:t>
            </w:r>
          </w:p>
          <w:p w14:paraId="10B4734E" w14:textId="77777777" w:rsidR="00605E6C" w:rsidRPr="008107C0" w:rsidRDefault="00605E6C" w:rsidP="004067F8"/>
          <w:p w14:paraId="75B835F9" w14:textId="77777777" w:rsidR="00605E6C" w:rsidRPr="008107C0" w:rsidRDefault="00605E6C" w:rsidP="004067F8">
            <w:pPr>
              <w:rPr>
                <w:szCs w:val="24"/>
                <w:lang w:eastAsia="lt-LT"/>
              </w:rPr>
            </w:pPr>
          </w:p>
          <w:p w14:paraId="36FB8BF7" w14:textId="77777777" w:rsidR="00605E6C" w:rsidRPr="008107C0" w:rsidRDefault="00605E6C" w:rsidP="004067F8">
            <w:pPr>
              <w:rPr>
                <w:szCs w:val="24"/>
                <w:lang w:eastAsia="lt-LT"/>
              </w:rPr>
            </w:pPr>
          </w:p>
          <w:p w14:paraId="6B355BF8" w14:textId="77777777" w:rsidR="00605E6C" w:rsidRPr="008107C0" w:rsidRDefault="00605E6C" w:rsidP="004067F8">
            <w:pPr>
              <w:ind w:firstLine="62"/>
              <w:rPr>
                <w:b/>
                <w:szCs w:val="24"/>
                <w:lang w:eastAsia="lt-LT"/>
              </w:rPr>
            </w:pPr>
            <w:r w:rsidRPr="008107C0">
              <w:rPr>
                <w:b/>
                <w:szCs w:val="24"/>
                <w:lang w:eastAsia="lt-LT"/>
              </w:rPr>
              <w:t xml:space="preserve">Iš viso balų </w:t>
            </w:r>
            <w:r w:rsidRPr="008107C0">
              <w:rPr>
                <w:b/>
                <w:szCs w:val="24"/>
                <w:u w:val="single"/>
                <w:lang w:eastAsia="lt-LT"/>
              </w:rPr>
              <w:t xml:space="preserve">      </w:t>
            </w:r>
            <w:r w:rsidRPr="008107C0">
              <w:rPr>
                <w:b/>
                <w:szCs w:val="24"/>
                <w:lang w:eastAsia="lt-LT"/>
              </w:rPr>
              <w:t xml:space="preserve"> (nurodyti)</w:t>
            </w:r>
          </w:p>
        </w:tc>
      </w:tr>
      <w:tr w:rsidR="00605E6C" w:rsidRPr="008107C0" w14:paraId="391FC114" w14:textId="77777777" w:rsidTr="004067F8">
        <w:trPr>
          <w:trHeight w:val="1"/>
        </w:trPr>
        <w:tc>
          <w:tcPr>
            <w:tcW w:w="9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0CCB688" w14:textId="77777777" w:rsidR="00605E6C" w:rsidRPr="008107C0" w:rsidRDefault="00605E6C" w:rsidP="004067F8">
            <w:pPr>
              <w:snapToGrid w:val="0"/>
              <w:jc w:val="both"/>
              <w:rPr>
                <w:bCs/>
                <w:szCs w:val="24"/>
                <w:lang w:eastAsia="ar-SA"/>
              </w:rPr>
            </w:pPr>
            <w:r w:rsidRPr="008107C0">
              <w:rPr>
                <w:bCs/>
                <w:szCs w:val="24"/>
                <w:lang w:eastAsia="lt-LT"/>
              </w:rPr>
              <w:t xml:space="preserve">Pirmo </w:t>
            </w:r>
            <w:r>
              <w:rPr>
                <w:bCs/>
                <w:szCs w:val="24"/>
                <w:lang w:eastAsia="lt-LT"/>
              </w:rPr>
              <w:t>k</w:t>
            </w:r>
            <w:r w:rsidRPr="008107C0">
              <w:rPr>
                <w:bCs/>
                <w:szCs w:val="24"/>
                <w:lang w:eastAsia="lt-LT"/>
              </w:rPr>
              <w:t>omisijos nario siūlymas</w:t>
            </w:r>
            <w:r>
              <w:rPr>
                <w:bCs/>
                <w:szCs w:val="24"/>
                <w:lang w:eastAsia="lt-LT"/>
              </w:rPr>
              <w:t>,</w:t>
            </w:r>
            <w:r w:rsidRPr="008107C0">
              <w:rPr>
                <w:bCs/>
                <w:szCs w:val="24"/>
                <w:lang w:eastAsia="lt-LT"/>
              </w:rPr>
              <w:t xml:space="preserve"> komentarai, rekomendacijos, </w:t>
            </w:r>
            <w:r>
              <w:rPr>
                <w:bCs/>
                <w:szCs w:val="24"/>
                <w:lang w:eastAsia="lt-LT"/>
              </w:rPr>
              <w:t>pa</w:t>
            </w:r>
            <w:r w:rsidRPr="008107C0">
              <w:rPr>
                <w:bCs/>
                <w:szCs w:val="24"/>
                <w:lang w:eastAsia="lt-LT"/>
              </w:rPr>
              <w:t xml:space="preserve">siūlymai: </w:t>
            </w:r>
          </w:p>
          <w:p w14:paraId="288358A6" w14:textId="77777777" w:rsidR="00605E6C" w:rsidRPr="008107C0" w:rsidRDefault="00605E6C" w:rsidP="004067F8">
            <w:pPr>
              <w:jc w:val="both"/>
              <w:rPr>
                <w:bCs/>
                <w:szCs w:val="24"/>
                <w:lang w:eastAsia="lt-LT"/>
              </w:rPr>
            </w:pPr>
          </w:p>
          <w:p w14:paraId="51EC9898" w14:textId="77777777" w:rsidR="00605E6C" w:rsidRPr="008107C0" w:rsidRDefault="00605E6C" w:rsidP="004067F8">
            <w:pPr>
              <w:jc w:val="both"/>
              <w:rPr>
                <w:bCs/>
                <w:szCs w:val="24"/>
                <w:lang w:eastAsia="lt-LT"/>
              </w:rPr>
            </w:pPr>
          </w:p>
          <w:p w14:paraId="7CA6D336" w14:textId="77777777" w:rsidR="00605E6C" w:rsidRPr="008107C0" w:rsidRDefault="00605E6C" w:rsidP="004067F8">
            <w:pPr>
              <w:jc w:val="both"/>
              <w:rPr>
                <w:bCs/>
                <w:szCs w:val="24"/>
                <w:lang w:eastAsia="lt-LT"/>
              </w:rPr>
            </w:pPr>
            <w:r w:rsidRPr="008107C0">
              <w:rPr>
                <w:bCs/>
                <w:szCs w:val="24"/>
                <w:lang w:eastAsia="lt-LT"/>
              </w:rPr>
              <w:t xml:space="preserve">Antro </w:t>
            </w:r>
            <w:r>
              <w:rPr>
                <w:bCs/>
                <w:szCs w:val="24"/>
                <w:lang w:eastAsia="lt-LT"/>
              </w:rPr>
              <w:t>k</w:t>
            </w:r>
            <w:r w:rsidRPr="008107C0">
              <w:rPr>
                <w:bCs/>
                <w:szCs w:val="24"/>
                <w:lang w:eastAsia="lt-LT"/>
              </w:rPr>
              <w:t>omisijos nario siūlymas</w:t>
            </w:r>
            <w:r>
              <w:rPr>
                <w:bCs/>
                <w:szCs w:val="24"/>
                <w:lang w:eastAsia="lt-LT"/>
              </w:rPr>
              <w:t>,</w:t>
            </w:r>
            <w:r w:rsidRPr="008107C0">
              <w:rPr>
                <w:bCs/>
                <w:szCs w:val="24"/>
                <w:lang w:eastAsia="lt-LT"/>
              </w:rPr>
              <w:t xml:space="preserve"> komentarai, rekomendacijos, </w:t>
            </w:r>
            <w:r>
              <w:rPr>
                <w:bCs/>
                <w:szCs w:val="24"/>
                <w:lang w:eastAsia="lt-LT"/>
              </w:rPr>
              <w:t>pa</w:t>
            </w:r>
            <w:r w:rsidRPr="008107C0">
              <w:rPr>
                <w:bCs/>
                <w:szCs w:val="24"/>
                <w:lang w:eastAsia="lt-LT"/>
              </w:rPr>
              <w:t>siūlymai:</w:t>
            </w:r>
          </w:p>
          <w:p w14:paraId="2701B036" w14:textId="77777777" w:rsidR="00605E6C" w:rsidRPr="008107C0" w:rsidRDefault="00605E6C" w:rsidP="004067F8">
            <w:pPr>
              <w:jc w:val="both"/>
              <w:rPr>
                <w:b/>
                <w:bCs/>
                <w:szCs w:val="24"/>
                <w:lang w:eastAsia="lt-LT"/>
              </w:rPr>
            </w:pPr>
          </w:p>
          <w:p w14:paraId="06D1C92F" w14:textId="77777777" w:rsidR="00605E6C" w:rsidRPr="008107C0" w:rsidRDefault="00605E6C" w:rsidP="004067F8">
            <w:pPr>
              <w:jc w:val="both"/>
              <w:rPr>
                <w:b/>
                <w:bCs/>
                <w:szCs w:val="24"/>
                <w:lang w:eastAsia="lt-LT"/>
              </w:rPr>
            </w:pPr>
          </w:p>
        </w:tc>
      </w:tr>
      <w:tr w:rsidR="00605E6C" w14:paraId="2054ECA3" w14:textId="77777777" w:rsidTr="004067F8">
        <w:trPr>
          <w:trHeight w:val="1"/>
        </w:trPr>
        <w:tc>
          <w:tcPr>
            <w:tcW w:w="4969" w:type="dxa"/>
            <w:tcBorders>
              <w:top w:val="single" w:sz="4" w:space="0" w:color="000000" w:themeColor="text1"/>
              <w:left w:val="single" w:sz="4" w:space="0" w:color="000000" w:themeColor="text1"/>
              <w:bottom w:val="single" w:sz="4" w:space="0" w:color="000000" w:themeColor="text1"/>
              <w:right w:val="single" w:sz="0" w:space="0" w:color="000000" w:themeColor="text1"/>
            </w:tcBorders>
            <w:shd w:val="clear" w:color="auto" w:fill="auto"/>
            <w:tcMar>
              <w:left w:w="108" w:type="dxa"/>
              <w:right w:w="108" w:type="dxa"/>
            </w:tcMar>
          </w:tcPr>
          <w:p w14:paraId="123EEE2A" w14:textId="77777777" w:rsidR="00605E6C" w:rsidRPr="008107C0" w:rsidRDefault="00605E6C" w:rsidP="004067F8">
            <w:pPr>
              <w:suppressAutoHyphens/>
              <w:rPr>
                <w:bCs/>
                <w:szCs w:val="24"/>
                <w:lang w:eastAsia="lt-LT"/>
              </w:rPr>
            </w:pPr>
            <w:r w:rsidRPr="008107C0">
              <w:rPr>
                <w:bCs/>
                <w:szCs w:val="24"/>
                <w:lang w:eastAsia="lt-LT"/>
              </w:rPr>
              <w:t>Komisijos nario vardas, pavardė</w:t>
            </w:r>
          </w:p>
        </w:tc>
        <w:tc>
          <w:tcPr>
            <w:tcW w:w="2660" w:type="dxa"/>
            <w:tcBorders>
              <w:top w:val="single" w:sz="4" w:space="0" w:color="000000" w:themeColor="text1"/>
              <w:left w:val="single" w:sz="4" w:space="0" w:color="000000" w:themeColor="text1"/>
              <w:bottom w:val="single" w:sz="4" w:space="0" w:color="000000" w:themeColor="text1"/>
              <w:right w:val="single" w:sz="0" w:space="0" w:color="000000" w:themeColor="text1"/>
            </w:tcBorders>
            <w:shd w:val="clear" w:color="auto" w:fill="auto"/>
            <w:tcMar>
              <w:left w:w="108" w:type="dxa"/>
              <w:right w:w="108" w:type="dxa"/>
            </w:tcMar>
          </w:tcPr>
          <w:p w14:paraId="13438931" w14:textId="77777777" w:rsidR="00605E6C" w:rsidRPr="008107C0" w:rsidRDefault="00605E6C" w:rsidP="004067F8">
            <w:pPr>
              <w:suppressAutoHyphens/>
              <w:rPr>
                <w:bCs/>
                <w:szCs w:val="24"/>
                <w:lang w:eastAsia="lt-LT"/>
              </w:rPr>
            </w:pPr>
            <w:r w:rsidRPr="008107C0">
              <w:rPr>
                <w:bCs/>
                <w:szCs w:val="24"/>
                <w:lang w:eastAsia="lt-LT"/>
              </w:rPr>
              <w:t xml:space="preserve">Parašas </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20F2DEAA" w14:textId="77777777" w:rsidR="00605E6C" w:rsidRDefault="00605E6C" w:rsidP="004067F8">
            <w:pPr>
              <w:suppressAutoHyphens/>
              <w:rPr>
                <w:bCs/>
                <w:szCs w:val="24"/>
                <w:lang w:eastAsia="lt-LT"/>
              </w:rPr>
            </w:pPr>
            <w:r w:rsidRPr="008107C0">
              <w:rPr>
                <w:bCs/>
                <w:szCs w:val="24"/>
                <w:lang w:eastAsia="lt-LT"/>
              </w:rPr>
              <w:t>Data</w:t>
            </w:r>
            <w:r>
              <w:rPr>
                <w:bCs/>
                <w:szCs w:val="24"/>
                <w:lang w:eastAsia="lt-LT"/>
              </w:rPr>
              <w:t xml:space="preserve"> </w:t>
            </w:r>
          </w:p>
        </w:tc>
      </w:tr>
      <w:tr w:rsidR="00605E6C" w14:paraId="130F18C6" w14:textId="77777777" w:rsidTr="004067F8">
        <w:trPr>
          <w:trHeight w:val="1"/>
        </w:trPr>
        <w:tc>
          <w:tcPr>
            <w:tcW w:w="4969" w:type="dxa"/>
            <w:tcBorders>
              <w:top w:val="single" w:sz="0" w:space="0" w:color="000000" w:themeColor="text1"/>
              <w:left w:val="single" w:sz="4"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7506EAA0" w14:textId="77777777" w:rsidR="00605E6C" w:rsidRDefault="00605E6C" w:rsidP="004067F8">
            <w:pPr>
              <w:suppressAutoHyphens/>
              <w:rPr>
                <w:rFonts w:eastAsia="Calibri"/>
                <w:bCs/>
                <w:szCs w:val="24"/>
                <w:lang w:eastAsia="lt-LT"/>
              </w:rPr>
            </w:pPr>
          </w:p>
        </w:tc>
        <w:tc>
          <w:tcPr>
            <w:tcW w:w="2660" w:type="dxa"/>
            <w:tcBorders>
              <w:top w:val="single" w:sz="0" w:space="0" w:color="000000" w:themeColor="text1"/>
              <w:left w:val="single" w:sz="4"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2563EBEC" w14:textId="77777777" w:rsidR="00605E6C" w:rsidRDefault="00605E6C" w:rsidP="004067F8">
            <w:pPr>
              <w:suppressAutoHyphens/>
              <w:rPr>
                <w:rFonts w:eastAsia="Calibri"/>
                <w:bCs/>
                <w:szCs w:val="24"/>
                <w:lang w:eastAsia="lt-LT"/>
              </w:rPr>
            </w:pPr>
          </w:p>
        </w:tc>
        <w:tc>
          <w:tcPr>
            <w:tcW w:w="2181" w:type="dxa"/>
            <w:tcBorders>
              <w:top w:val="single" w:sz="0" w:space="0" w:color="000000" w:themeColor="text1"/>
              <w:left w:val="single" w:sz="4" w:space="0" w:color="000000" w:themeColor="text1"/>
              <w:bottom w:val="single" w:sz="0" w:space="0" w:color="000000" w:themeColor="text1"/>
              <w:right w:val="single" w:sz="4" w:space="0" w:color="000000" w:themeColor="text1"/>
            </w:tcBorders>
            <w:shd w:val="clear" w:color="auto" w:fill="auto"/>
            <w:tcMar>
              <w:left w:w="108" w:type="dxa"/>
              <w:right w:w="108" w:type="dxa"/>
            </w:tcMar>
          </w:tcPr>
          <w:p w14:paraId="055E7084" w14:textId="77777777" w:rsidR="00605E6C" w:rsidRDefault="00605E6C" w:rsidP="004067F8">
            <w:pPr>
              <w:suppressAutoHyphens/>
              <w:rPr>
                <w:rFonts w:eastAsia="Calibri"/>
                <w:bCs/>
                <w:szCs w:val="24"/>
                <w:lang w:eastAsia="lt-LT"/>
              </w:rPr>
            </w:pPr>
          </w:p>
        </w:tc>
      </w:tr>
      <w:tr w:rsidR="00605E6C" w14:paraId="4C7E8A9F" w14:textId="77777777" w:rsidTr="004067F8">
        <w:trPr>
          <w:trHeight w:val="1"/>
        </w:trPr>
        <w:tc>
          <w:tcPr>
            <w:tcW w:w="4969" w:type="dxa"/>
            <w:tcBorders>
              <w:top w:val="single" w:sz="0" w:space="0" w:color="000000" w:themeColor="text1"/>
              <w:left w:val="single" w:sz="4" w:space="0" w:color="000000" w:themeColor="text1"/>
              <w:bottom w:val="single" w:sz="4" w:space="0" w:color="000000" w:themeColor="text1"/>
              <w:right w:val="single" w:sz="0" w:space="0" w:color="000000" w:themeColor="text1"/>
            </w:tcBorders>
            <w:shd w:val="clear" w:color="auto" w:fill="auto"/>
            <w:tcMar>
              <w:left w:w="108" w:type="dxa"/>
              <w:right w:w="108" w:type="dxa"/>
            </w:tcMar>
          </w:tcPr>
          <w:p w14:paraId="45362CD6" w14:textId="77777777" w:rsidR="00605E6C" w:rsidRDefault="00605E6C" w:rsidP="004067F8">
            <w:pPr>
              <w:suppressAutoHyphens/>
              <w:rPr>
                <w:rFonts w:eastAsia="Calibri"/>
                <w:bCs/>
                <w:szCs w:val="24"/>
                <w:lang w:eastAsia="lt-LT"/>
              </w:rPr>
            </w:pPr>
          </w:p>
        </w:tc>
        <w:tc>
          <w:tcPr>
            <w:tcW w:w="2660" w:type="dxa"/>
            <w:tcBorders>
              <w:top w:val="single" w:sz="0" w:space="0" w:color="000000" w:themeColor="text1"/>
              <w:left w:val="single" w:sz="4" w:space="0" w:color="000000" w:themeColor="text1"/>
              <w:bottom w:val="single" w:sz="4" w:space="0" w:color="000000" w:themeColor="text1"/>
              <w:right w:val="single" w:sz="0" w:space="0" w:color="000000" w:themeColor="text1"/>
            </w:tcBorders>
            <w:shd w:val="clear" w:color="auto" w:fill="auto"/>
            <w:tcMar>
              <w:left w:w="108" w:type="dxa"/>
              <w:right w:w="108" w:type="dxa"/>
            </w:tcMar>
          </w:tcPr>
          <w:p w14:paraId="4A62DD77" w14:textId="77777777" w:rsidR="00605E6C" w:rsidRDefault="00605E6C" w:rsidP="004067F8">
            <w:pPr>
              <w:suppressAutoHyphens/>
              <w:rPr>
                <w:rFonts w:eastAsia="Calibri"/>
                <w:bCs/>
                <w:szCs w:val="24"/>
                <w:lang w:eastAsia="lt-LT"/>
              </w:rPr>
            </w:pPr>
          </w:p>
        </w:tc>
        <w:tc>
          <w:tcPr>
            <w:tcW w:w="2181" w:type="dxa"/>
            <w:tcBorders>
              <w:top w:val="single" w:sz="0"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DD70242" w14:textId="77777777" w:rsidR="00605E6C" w:rsidRDefault="00605E6C" w:rsidP="004067F8">
            <w:pPr>
              <w:suppressAutoHyphens/>
              <w:rPr>
                <w:rFonts w:eastAsia="Calibri"/>
                <w:bCs/>
                <w:szCs w:val="24"/>
                <w:lang w:eastAsia="lt-LT"/>
              </w:rPr>
            </w:pPr>
          </w:p>
        </w:tc>
      </w:tr>
    </w:tbl>
    <w:p w14:paraId="2D98DE23" w14:textId="77777777" w:rsidR="00605E6C" w:rsidRPr="00A562AA" w:rsidRDefault="00605E6C" w:rsidP="00605E6C">
      <w:pPr>
        <w:spacing w:line="276" w:lineRule="auto"/>
        <w:rPr>
          <w:szCs w:val="24"/>
        </w:rPr>
      </w:pPr>
    </w:p>
    <w:p w14:paraId="18286461" w14:textId="77777777" w:rsidR="0062551B" w:rsidRPr="00A562AA" w:rsidRDefault="0062551B" w:rsidP="00571BF3">
      <w:pPr>
        <w:jc w:val="both"/>
      </w:pPr>
    </w:p>
    <w:sectPr w:rsidR="0062551B"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2CE1D" w14:textId="77777777" w:rsidR="00E83F29" w:rsidRDefault="00E83F29">
      <w:r>
        <w:separator/>
      </w:r>
    </w:p>
  </w:endnote>
  <w:endnote w:type="continuationSeparator" w:id="0">
    <w:p w14:paraId="49043BA4" w14:textId="77777777" w:rsidR="00E83F29" w:rsidRDefault="00E8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86472" w14:textId="77777777" w:rsidR="0062551B" w:rsidRDefault="0062551B" w:rsidP="00BE4566">
    <w:pPr>
      <w:tabs>
        <w:tab w:val="left" w:pos="8445"/>
      </w:tabs>
    </w:pPr>
    <w:r>
      <w:tab/>
    </w:r>
  </w:p>
  <w:p w14:paraId="18286473" w14:textId="77777777" w:rsidR="0062551B" w:rsidRDefault="0062551B"/>
  <w:p w14:paraId="1828647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86475" w14:textId="77777777" w:rsidR="0062551B" w:rsidRDefault="0062551B" w:rsidP="00DD20B8">
    <w:pPr>
      <w:pStyle w:val="Porat"/>
    </w:pPr>
  </w:p>
  <w:p w14:paraId="18286476" w14:textId="77777777" w:rsidR="0062551B" w:rsidRDefault="0062551B" w:rsidP="00DD20B8">
    <w:pPr>
      <w:pStyle w:val="Porat"/>
    </w:pPr>
  </w:p>
  <w:p w14:paraId="18286477" w14:textId="77777777" w:rsidR="0062551B" w:rsidRDefault="0062551B" w:rsidP="00DD20B8">
    <w:pPr>
      <w:pStyle w:val="Porat"/>
    </w:pPr>
  </w:p>
  <w:p w14:paraId="18286478"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4846D" w14:textId="77777777" w:rsidR="00E83F29" w:rsidRDefault="00E83F29">
      <w:r>
        <w:separator/>
      </w:r>
    </w:p>
  </w:footnote>
  <w:footnote w:type="continuationSeparator" w:id="0">
    <w:p w14:paraId="590197D3" w14:textId="77777777" w:rsidR="00E83F29" w:rsidRDefault="00E83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8646E" w14:textId="77777777" w:rsidR="0062551B" w:rsidRDefault="0062551B">
    <w:pPr>
      <w:pStyle w:val="Antrats"/>
      <w:jc w:val="center"/>
    </w:pPr>
  </w:p>
  <w:p w14:paraId="1828646F" w14:textId="77777777" w:rsidR="0062551B" w:rsidRDefault="0062551B">
    <w:pPr>
      <w:pStyle w:val="Antrats"/>
      <w:jc w:val="center"/>
    </w:pPr>
  </w:p>
  <w:p w14:paraId="18286470"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8286471"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8637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D35D5"/>
    <w:rsid w:val="000E5933"/>
    <w:rsid w:val="000E7131"/>
    <w:rsid w:val="000E73D7"/>
    <w:rsid w:val="00101F07"/>
    <w:rsid w:val="001115C6"/>
    <w:rsid w:val="00124B60"/>
    <w:rsid w:val="00132ABE"/>
    <w:rsid w:val="00153B94"/>
    <w:rsid w:val="001B1FE3"/>
    <w:rsid w:val="001D1AC1"/>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2DCA"/>
    <w:rsid w:val="002E4357"/>
    <w:rsid w:val="002F7001"/>
    <w:rsid w:val="00303346"/>
    <w:rsid w:val="00325CF1"/>
    <w:rsid w:val="00337555"/>
    <w:rsid w:val="00355495"/>
    <w:rsid w:val="00355EE8"/>
    <w:rsid w:val="00391CE0"/>
    <w:rsid w:val="00392558"/>
    <w:rsid w:val="0039707D"/>
    <w:rsid w:val="003A3559"/>
    <w:rsid w:val="003D113C"/>
    <w:rsid w:val="003D6535"/>
    <w:rsid w:val="003E58F0"/>
    <w:rsid w:val="003F3684"/>
    <w:rsid w:val="004014AB"/>
    <w:rsid w:val="004100D4"/>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605B"/>
    <w:rsid w:val="005F44E3"/>
    <w:rsid w:val="005F6353"/>
    <w:rsid w:val="00605E6C"/>
    <w:rsid w:val="0060717D"/>
    <w:rsid w:val="00611EE0"/>
    <w:rsid w:val="006128BC"/>
    <w:rsid w:val="0061401B"/>
    <w:rsid w:val="006244B6"/>
    <w:rsid w:val="0062551B"/>
    <w:rsid w:val="00625C86"/>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78F3"/>
    <w:rsid w:val="007A38DC"/>
    <w:rsid w:val="007D3F07"/>
    <w:rsid w:val="007E2B12"/>
    <w:rsid w:val="007F1F9E"/>
    <w:rsid w:val="007F2ABF"/>
    <w:rsid w:val="007F2FE3"/>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02C8C"/>
    <w:rsid w:val="00907F25"/>
    <w:rsid w:val="009111D4"/>
    <w:rsid w:val="00916D5D"/>
    <w:rsid w:val="00931ACB"/>
    <w:rsid w:val="00942B11"/>
    <w:rsid w:val="00952D6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3474A"/>
    <w:rsid w:val="00A36213"/>
    <w:rsid w:val="00A37460"/>
    <w:rsid w:val="00A562AA"/>
    <w:rsid w:val="00A57683"/>
    <w:rsid w:val="00A72F74"/>
    <w:rsid w:val="00A81759"/>
    <w:rsid w:val="00A84DDD"/>
    <w:rsid w:val="00A90AC8"/>
    <w:rsid w:val="00A97838"/>
    <w:rsid w:val="00AB02B7"/>
    <w:rsid w:val="00AB0E39"/>
    <w:rsid w:val="00AD3E4E"/>
    <w:rsid w:val="00AD778C"/>
    <w:rsid w:val="00AF2F63"/>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60459"/>
    <w:rsid w:val="00C72861"/>
    <w:rsid w:val="00C72CB4"/>
    <w:rsid w:val="00C75F05"/>
    <w:rsid w:val="00C8360A"/>
    <w:rsid w:val="00C9091E"/>
    <w:rsid w:val="00CC23E4"/>
    <w:rsid w:val="00CC5B6A"/>
    <w:rsid w:val="00CD5CCA"/>
    <w:rsid w:val="00CE1C5C"/>
    <w:rsid w:val="00CF4026"/>
    <w:rsid w:val="00D16849"/>
    <w:rsid w:val="00D25AF1"/>
    <w:rsid w:val="00D25F2C"/>
    <w:rsid w:val="00D33742"/>
    <w:rsid w:val="00D625ED"/>
    <w:rsid w:val="00D679FC"/>
    <w:rsid w:val="00DB5818"/>
    <w:rsid w:val="00DC59CF"/>
    <w:rsid w:val="00DC75E0"/>
    <w:rsid w:val="00DD20B8"/>
    <w:rsid w:val="00DE69D4"/>
    <w:rsid w:val="00E00B4D"/>
    <w:rsid w:val="00E21A77"/>
    <w:rsid w:val="00E34BFA"/>
    <w:rsid w:val="00E429EE"/>
    <w:rsid w:val="00E60928"/>
    <w:rsid w:val="00E6329A"/>
    <w:rsid w:val="00E73C7C"/>
    <w:rsid w:val="00E81C99"/>
    <w:rsid w:val="00E83F29"/>
    <w:rsid w:val="00E874D4"/>
    <w:rsid w:val="00E9055A"/>
    <w:rsid w:val="00E94693"/>
    <w:rsid w:val="00E94E7A"/>
    <w:rsid w:val="00EA2453"/>
    <w:rsid w:val="00EA6A5E"/>
    <w:rsid w:val="00EB01E1"/>
    <w:rsid w:val="00EC4E26"/>
    <w:rsid w:val="00ED6339"/>
    <w:rsid w:val="00F0681D"/>
    <w:rsid w:val="00F43577"/>
    <w:rsid w:val="00F47074"/>
    <w:rsid w:val="00F51B6C"/>
    <w:rsid w:val="00F5772C"/>
    <w:rsid w:val="00F83894"/>
    <w:rsid w:val="00F86B18"/>
    <w:rsid w:val="00F9348D"/>
    <w:rsid w:val="00F953AB"/>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28645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qFormat/>
    <w:rsid w:val="00605E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703804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4</Pages>
  <Words>792</Words>
  <Characters>5633</Characters>
  <Application>Microsoft Office Word</Application>
  <DocSecurity>4</DocSecurity>
  <Lines>46</Lines>
  <Paragraphs>12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Samanta Krivickienė</cp:lastModifiedBy>
  <cp:revision>2</cp:revision>
  <cp:lastPrinted>2016-01-28T10:29:00Z</cp:lastPrinted>
  <dcterms:created xsi:type="dcterms:W3CDTF">2025-02-21T08:59:00Z</dcterms:created>
  <dcterms:modified xsi:type="dcterms:W3CDTF">2025-02-21T08:59:00Z</dcterms:modified>
</cp:coreProperties>
</file>