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F9" w:rsidRDefault="00FA66F9" w:rsidP="00FA66F9">
      <w:pPr>
        <w:pStyle w:val="Pagrindinistekstas2"/>
        <w:ind w:left="5400"/>
        <w:rPr>
          <w:sz w:val="22"/>
          <w:szCs w:val="22"/>
        </w:rPr>
      </w:pPr>
      <w:r>
        <w:rPr>
          <w:sz w:val="22"/>
          <w:szCs w:val="22"/>
        </w:rPr>
        <w:t>Panevėžio miesto savivaldybės teisės aktų ar jų projektų antikorupcinio vertinimo metodikos</w:t>
      </w:r>
    </w:p>
    <w:p w:rsidR="00FA66F9" w:rsidRDefault="00FA66F9" w:rsidP="00FA66F9">
      <w:pPr>
        <w:spacing w:before="100" w:beforeAutospacing="1" w:after="100" w:afterAutospacing="1"/>
        <w:ind w:left="5400"/>
        <w:rPr>
          <w:sz w:val="22"/>
          <w:szCs w:val="22"/>
        </w:rPr>
      </w:pPr>
      <w:r>
        <w:rPr>
          <w:sz w:val="22"/>
          <w:szCs w:val="22"/>
        </w:rPr>
        <w:t>1 priedas</w:t>
      </w:r>
    </w:p>
    <w:tbl>
      <w:tblPr>
        <w:tblpPr w:leftFromText="180" w:rightFromText="180" w:vertAnchor="text" w:horzAnchor="margin" w:tblpY="2797"/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372DD8" w:rsidTr="00372DD8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Eil.</w:t>
            </w:r>
          </w:p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pStyle w:val="Antrat1"/>
              <w:jc w:val="center"/>
              <w:rPr>
                <w:rFonts w:eastAsia="Arial Unicode MS"/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Vertinimas balais</w:t>
            </w:r>
          </w:p>
        </w:tc>
      </w:tr>
      <w:tr w:rsidR="00372DD8" w:rsidTr="00372DD8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PAPRASTUMAS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Pr="005E59B0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5E59B0"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Pr="005E59B0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5E59B0">
              <w:rPr>
                <w:b/>
                <w:sz w:val="22"/>
                <w:szCs w:val="22"/>
              </w:rPr>
              <w:t>Ne (0)</w:t>
            </w:r>
          </w:p>
        </w:tc>
      </w:tr>
      <w:tr w:rsidR="00372DD8" w:rsidTr="00372DD8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NUOSEKLUMAS</w:t>
            </w:r>
          </w:p>
        </w:tc>
      </w:tr>
      <w:tr w:rsidR="00372DD8" w:rsidTr="00372DD8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372DD8" w:rsidTr="00372DD8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STRUKTŪRA</w:t>
            </w:r>
          </w:p>
        </w:tc>
      </w:tr>
      <w:tr w:rsidR="00372DD8" w:rsidTr="00372DD8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372DD8" w:rsidTr="00372DD8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372DD8" w:rsidRPr="00FA66F9" w:rsidTr="00372DD8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DD8" w:rsidRP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372DD8">
              <w:rPr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DD8" w:rsidRP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372DD8">
              <w:rPr>
                <w:b/>
                <w:sz w:val="22"/>
                <w:szCs w:val="22"/>
              </w:rPr>
              <w:t>Ne (1)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372DD8" w:rsidTr="00372DD8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ĮGYVENDINAMUMAS</w:t>
            </w:r>
          </w:p>
        </w:tc>
      </w:tr>
      <w:tr w:rsidR="00372DD8" w:rsidTr="00372DD8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372DD8" w:rsidTr="00372DD8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372DD8" w:rsidTr="00372DD8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</w:pPr>
          </w:p>
        </w:tc>
      </w:tr>
      <w:tr w:rsidR="00372DD8" w:rsidTr="00372DD8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2DD8" w:rsidRDefault="00372DD8" w:rsidP="00372DD8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2DD8" w:rsidRDefault="00372DD8" w:rsidP="00372DD8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,08</w:t>
            </w:r>
          </w:p>
        </w:tc>
      </w:tr>
    </w:tbl>
    <w:p w:rsidR="00372DD8" w:rsidRDefault="00FA66F9" w:rsidP="00372DD8">
      <w:pPr>
        <w:pStyle w:val="Pagrindinistekstas"/>
        <w:ind w:right="638" w:firstLine="1296"/>
        <w:jc w:val="center"/>
        <w:rPr>
          <w:szCs w:val="20"/>
          <w:lang w:eastAsia="en-US"/>
        </w:rPr>
      </w:pPr>
      <w:r w:rsidRPr="00FA66F9">
        <w:rPr>
          <w:sz w:val="22"/>
          <w:szCs w:val="22"/>
        </w:rPr>
        <w:t xml:space="preserve">TEISĖS AKTŲ AR JŲ PROJEKTŲ KOKYBĖS VERTINIMO KLAUSIMYNAS </w:t>
      </w:r>
      <w:bookmarkStart w:id="0" w:name="Pavadinimas"/>
      <w:r w:rsidR="00372DD8">
        <w:rPr>
          <w:b/>
        </w:rPr>
        <w:t xml:space="preserve">DĖL DIDŽIAUSIO LEISTINO DARBUOTOJŲ, DIRBANČIŲ PAGAL DARBO SUTARTIS SAVIVALDYBĖS </w:t>
      </w:r>
      <w:r w:rsidR="00372DD8">
        <w:rPr>
          <w:b/>
          <w:color w:val="000000"/>
        </w:rPr>
        <w:t>IKIMOKYKLINIO, BENDROJO UGDYMO, NEFORMALIOJO VAIKŲ ŠVIETIMO MOKYKLOSE IR FORMALŲJĮ ŠVIETIMĄ PAPILDANČIO UGDYMO MOKYKLOSE, ŠVIETIMO PAGALBOS ĮSTAIGOSE, PAREIGYBIŲ SKAIČIAUS</w:t>
      </w:r>
      <w:r w:rsidR="00372DD8">
        <w:rPr>
          <w:b/>
        </w:rPr>
        <w:t xml:space="preserve"> PATVIRTINIMO IR SAVIVALDYBĖS TARYBOS SPRENDIMŲ (2013 M. SPALIO 10 D. SPRENDIMO NR. 1</w:t>
      </w:r>
      <w:proofErr w:type="gramStart"/>
      <w:r w:rsidR="00372DD8">
        <w:rPr>
          <w:b/>
        </w:rPr>
        <w:t>-</w:t>
      </w:r>
      <w:proofErr w:type="gramEnd"/>
      <w:r w:rsidR="00372DD8">
        <w:rPr>
          <w:b/>
        </w:rPr>
        <w:t xml:space="preserve">288, 2014 M. KOVO 27 D. SPRENDIMO NR. 1-81 6 PUNKTO, </w:t>
      </w:r>
      <w:r w:rsidR="00372DD8">
        <w:rPr>
          <w:b/>
          <w:color w:val="000000"/>
        </w:rPr>
        <w:t xml:space="preserve">2014 M. GEGUŽĖS 29 D. SPRENDIMO NR. 1-168 5 PUNKTO, </w:t>
      </w:r>
      <w:r w:rsidR="00372DD8">
        <w:rPr>
          <w:b/>
        </w:rPr>
        <w:t>2014 M. RUGPJŪČIO 28 D. SPRENDIMO NR. 1-235 IR 2014 M. RUGSĖJO 25 D. SPRENDIMO NR. 1-257) PRIPAŽINIMO NETEKUSIAIS GALIOS</w:t>
      </w:r>
    </w:p>
    <w:bookmarkEnd w:id="0"/>
    <w:p w:rsidR="00FA66F9" w:rsidRDefault="00FA66F9" w:rsidP="00FA66F9">
      <w:pPr>
        <w:tabs>
          <w:tab w:val="left" w:pos="7560"/>
        </w:tabs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FA66F9" w:rsidRDefault="00FA66F9" w:rsidP="00FA66F9">
      <w:pPr>
        <w:pStyle w:val="Pagrindinistekstas2"/>
        <w:ind w:left="3888"/>
      </w:pPr>
      <w:r>
        <w:lastRenderedPageBreak/>
        <w:t xml:space="preserve">                                   2 priedas</w:t>
      </w:r>
    </w:p>
    <w:p w:rsidR="00FA66F9" w:rsidRDefault="00FA66F9" w:rsidP="00FA66F9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TEISĖS AKTŲ ARBA TEISĖS AKTŲ PROJEKTŲ TURINIO VERTINIMO KLAUSIMYNAS</w:t>
      </w:r>
    </w:p>
    <w:tbl>
      <w:tblPr>
        <w:tblW w:w="9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FA66F9" w:rsidTr="00A7357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sz w:val="22"/>
                <w:szCs w:val="22"/>
              </w:rPr>
              <w:t>Eil.</w:t>
            </w:r>
          </w:p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Vertinimas balais</w:t>
            </w:r>
          </w:p>
        </w:tc>
      </w:tr>
      <w:tr w:rsidR="00FA66F9" w:rsidTr="00A7357A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NAUDINGUMAS</w:t>
            </w:r>
          </w:p>
        </w:tc>
      </w:tr>
      <w:tr w:rsidR="00FA66F9" w:rsidTr="00A7357A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9D78FF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9D78FF"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9D78FF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9D78FF"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5E59B0"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5E59B0"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RPr="0089764A" w:rsidTr="00A7357A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0D5B34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0D5B34">
              <w:rPr>
                <w:sz w:val="22"/>
                <w:szCs w:val="22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0D5B34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0D5B34">
              <w:rPr>
                <w:b/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PRIEINAMUMAS</w:t>
            </w:r>
          </w:p>
        </w:tc>
      </w:tr>
      <w:tr w:rsidR="00FA66F9" w:rsidTr="00A7357A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372DD8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372DD8"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372DD8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372DD8"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0D5B34" w:rsidP="00A735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0,06</w:t>
            </w:r>
            <w:bookmarkStart w:id="1" w:name="_GoBack"/>
            <w:bookmarkEnd w:id="1"/>
          </w:p>
        </w:tc>
      </w:tr>
    </w:tbl>
    <w:p w:rsidR="00B915B9" w:rsidRDefault="00B915B9"/>
    <w:sectPr w:rsidR="00B915B9" w:rsidSect="000B5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F9"/>
    <w:rsid w:val="000D5B34"/>
    <w:rsid w:val="00372DD8"/>
    <w:rsid w:val="00B30BE8"/>
    <w:rsid w:val="00B915B9"/>
    <w:rsid w:val="00C24F0B"/>
    <w:rsid w:val="00E00F22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B1BFF-9181-494A-9F66-90865C15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6F9"/>
    <w:rPr>
      <w:rFonts w:eastAsia="Times New Roman" w:cs="Times New Roman"/>
      <w:szCs w:val="24"/>
      <w:lang w:val="lt-LT" w:eastAsia="lt-LT"/>
    </w:rPr>
  </w:style>
  <w:style w:type="paragraph" w:styleId="Antrat1">
    <w:name w:val="heading 1"/>
    <w:basedOn w:val="prastasis"/>
    <w:link w:val="Antrat1Diagrama"/>
    <w:qFormat/>
    <w:rsid w:val="00FA66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A66F9"/>
    <w:rPr>
      <w:rFonts w:eastAsia="Times New Roman" w:cs="Times New Roman"/>
      <w:b/>
      <w:bCs/>
      <w:kern w:val="36"/>
      <w:sz w:val="48"/>
      <w:szCs w:val="48"/>
      <w:lang w:val="lt-LT" w:eastAsia="lt-LT"/>
    </w:rPr>
  </w:style>
  <w:style w:type="paragraph" w:styleId="Pagrindinistekstas">
    <w:name w:val="Body Text"/>
    <w:basedOn w:val="prastasis"/>
    <w:link w:val="PagrindinistekstasDiagrama"/>
    <w:rsid w:val="00FA66F9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A66F9"/>
    <w:rPr>
      <w:rFonts w:eastAsia="Times New Roman" w:cs="Times New Roman"/>
      <w:szCs w:val="24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FA66F9"/>
    <w:pPr>
      <w:spacing w:before="100" w:beforeAutospacing="1" w:after="100" w:afterAutospacing="1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A66F9"/>
    <w:rPr>
      <w:rFonts w:eastAsia="Times New Roman" w:cs="Times New Roman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0F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0F22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2</cp:revision>
  <cp:lastPrinted>2014-10-30T10:31:00Z</cp:lastPrinted>
  <dcterms:created xsi:type="dcterms:W3CDTF">2014-10-30T10:32:00Z</dcterms:created>
  <dcterms:modified xsi:type="dcterms:W3CDTF">2014-10-30T10:32:00Z</dcterms:modified>
</cp:coreProperties>
</file>