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B404F6" w:rsidRDefault="00B404F6" w:rsidP="00B404F6">
      <w:pPr>
        <w:rPr>
          <w:b/>
        </w:rPr>
      </w:pPr>
      <w:bookmarkStart w:id="0" w:name="Pavadinimas"/>
      <w:r w:rsidRPr="00621815">
        <w:rPr>
          <w:b/>
        </w:rPr>
        <w:t xml:space="preserve">DĖL </w:t>
      </w:r>
      <w:r>
        <w:rPr>
          <w:b/>
        </w:rPr>
        <w:t>KOMUNALINIŲ ATLIEKŲ TVARKYMO KAINOS, SUSIDARYMO NORMOS IR DVINARĖS ĮMOKOS UŽ KOMUNALINIŲ ATLIEKŲ SURINKIMĄ</w:t>
      </w:r>
      <w:r w:rsidR="0020356B">
        <w:rPr>
          <w:b/>
        </w:rPr>
        <w:t xml:space="preserve"> IŠ ATLIEKŲ TURĖTOJŲ</w:t>
      </w:r>
      <w:r>
        <w:rPr>
          <w:b/>
        </w:rPr>
        <w:t xml:space="preserve"> IR</w:t>
      </w:r>
      <w:r w:rsidR="0020356B">
        <w:rPr>
          <w:b/>
        </w:rPr>
        <w:t xml:space="preserve"> ATLIEKŲ</w:t>
      </w:r>
      <w:r>
        <w:rPr>
          <w:b/>
        </w:rPr>
        <w:t xml:space="preserve"> TVARKYMĄ DYDŽIŲ PATVIRTINIMO, SAVIVALDYBĖS TARYBOS 2014 M. SAUSIO 30 D. SPRENDIMO Nr. 1</w:t>
      </w:r>
      <w:proofErr w:type="gramStart"/>
      <w:r>
        <w:rPr>
          <w:b/>
        </w:rPr>
        <w:t>-</w:t>
      </w:r>
      <w:proofErr w:type="gramEnd"/>
      <w:r>
        <w:rPr>
          <w:b/>
        </w:rPr>
        <w:t>1 (SU VĖLESNIU PAKEITIMU) PRIPAŽINIMO NETEKUSIU GALIOS</w:t>
      </w:r>
    </w:p>
    <w:bookmarkEnd w:id="0"/>
    <w:p w:rsidR="00B404F6" w:rsidRDefault="00B404F6">
      <w:r w:rsidRPr="00B404F6">
        <w:t xml:space="preserve">2016 </w:t>
      </w:r>
      <w:r>
        <w:t>m. gruodžio 12 d.</w:t>
      </w:r>
    </w:p>
    <w:p w:rsidR="00B404F6" w:rsidRDefault="00B404F6">
      <w:r>
        <w:t>Panevėžys</w:t>
      </w:r>
    </w:p>
    <w:p w:rsidR="00B404F6" w:rsidRDefault="00B404F6"/>
    <w:p w:rsidR="00B404F6" w:rsidRDefault="00B404F6" w:rsidP="00B404F6">
      <w:pPr>
        <w:jc w:val="both"/>
        <w:rPr>
          <w:b/>
        </w:rPr>
      </w:pPr>
      <w:r w:rsidRPr="00B404F6">
        <w:rPr>
          <w:b/>
        </w:rPr>
        <w:t>1. Problemos esmė:</w:t>
      </w:r>
    </w:p>
    <w:p w:rsidR="00B404F6" w:rsidRDefault="00ED4EAE" w:rsidP="007B19C6">
      <w:pPr>
        <w:spacing w:line="276" w:lineRule="auto"/>
        <w:ind w:firstLine="851"/>
        <w:jc w:val="both"/>
      </w:pPr>
      <w:r w:rsidRPr="00ED4EAE">
        <w:t xml:space="preserve">Šiuo metu galiojantys komunalinių atliekų surinkimo ir tvarkymo tarifai </w:t>
      </w:r>
      <w:r>
        <w:t>buvo patvirtinti 2014 m. sausio 30 d. savivaldybės tarybos sprendimu Nr. 1</w:t>
      </w:r>
      <w:proofErr w:type="gramStart"/>
      <w:r>
        <w:t>-</w:t>
      </w:r>
      <w:proofErr w:type="gramEnd"/>
      <w:r>
        <w:t xml:space="preserve">1 (kartu su 2014 m. rugsėjo 25 d. sprendimu Nr. 1-272) ir sudaro: gyventojams, naudojantiems kolektyvinius 1,1 </w:t>
      </w:r>
      <w:proofErr w:type="spellStart"/>
      <w:r>
        <w:t>mᶾ</w:t>
      </w:r>
      <w:proofErr w:type="spellEnd"/>
      <w:r>
        <w:t xml:space="preserve"> talpos </w:t>
      </w:r>
      <w:r w:rsidR="002B7356">
        <w:t xml:space="preserve">konteinerius – 1,91 </w:t>
      </w:r>
      <w:proofErr w:type="spellStart"/>
      <w:r w:rsidR="002B7356">
        <w:t>Eur</w:t>
      </w:r>
      <w:proofErr w:type="spellEnd"/>
      <w:r w:rsidR="002B7356">
        <w:t xml:space="preserve"> (su PVM) per mėnesį, o gyventojams naudojantiems </w:t>
      </w:r>
      <w:r>
        <w:t xml:space="preserve">individualius </w:t>
      </w:r>
      <w:r w:rsidR="002B7356">
        <w:t xml:space="preserve">0,12 arba 0,24 </w:t>
      </w:r>
      <w:proofErr w:type="spellStart"/>
      <w:r w:rsidR="002B7356">
        <w:t>mᶾ</w:t>
      </w:r>
      <w:proofErr w:type="spellEnd"/>
      <w:r w:rsidR="002B7356">
        <w:t xml:space="preserve"> talpos konteinerius, atitinkamai – 1,92 ir 3,84 </w:t>
      </w:r>
      <w:proofErr w:type="spellStart"/>
      <w:r w:rsidR="002B7356">
        <w:t>Eur</w:t>
      </w:r>
      <w:proofErr w:type="spellEnd"/>
      <w:r w:rsidR="002B7356">
        <w:t xml:space="preserve"> (su PVM) už konteinerio ištuštinimą.</w:t>
      </w:r>
    </w:p>
    <w:p w:rsidR="002B7356" w:rsidRPr="00ED4EAE" w:rsidRDefault="002B7356" w:rsidP="007B19C6">
      <w:pPr>
        <w:spacing w:line="276" w:lineRule="auto"/>
        <w:ind w:firstLine="851"/>
        <w:jc w:val="both"/>
      </w:pPr>
      <w:r>
        <w:t xml:space="preserve">2016 m. balandžio 20 d. Lietuvos Respublikos Vyriausybė nutarimu Nr. 384 </w:t>
      </w:r>
      <w:r w:rsidR="00362021">
        <w:t xml:space="preserve">pakeitė </w:t>
      </w:r>
      <w:r>
        <w:t xml:space="preserve">Lietuvos Respublikos </w:t>
      </w:r>
      <w:r w:rsidR="008819CC">
        <w:t>V</w:t>
      </w:r>
      <w:r>
        <w:t>yriausybės 2013 m. liepos 24 d. nutarim</w:t>
      </w:r>
      <w:r w:rsidR="00362021">
        <w:t>ą</w:t>
      </w:r>
      <w:r>
        <w:t xml:space="preserve"> Nr. 711 „Dėl rinkliavos ar kitos įmokos už komunalinių atliekų surinkimą iš atliekų turėtojų ir atliekų tvarkymą dydžio nustatym</w:t>
      </w:r>
      <w:r w:rsidR="008819CC">
        <w:t>o</w:t>
      </w:r>
      <w:r>
        <w:t xml:space="preserve"> metodikos patvirtinimo“</w:t>
      </w:r>
      <w:r w:rsidR="00362021">
        <w:t xml:space="preserve"> ir jį išdėstė nauja redakcija „Dėl v</w:t>
      </w:r>
      <w:r w:rsidR="008819CC">
        <w:t>ietinės rinkliavos ar kitos įmokos už komunalinių atliekų surinkimą iš atliekų turėtojų ir atliekų tvarkymą dydžio nustatymo taisykl</w:t>
      </w:r>
      <w:r w:rsidR="00362021">
        <w:t>ių patvirtinimo</w:t>
      </w:r>
      <w:r w:rsidR="00E72028">
        <w:t>“</w:t>
      </w:r>
      <w:r w:rsidR="00D947DA">
        <w:t xml:space="preserve">. </w:t>
      </w:r>
      <w:r w:rsidR="0008588E">
        <w:t>Š</w:t>
      </w:r>
      <w:r w:rsidR="008819CC">
        <w:t>ios</w:t>
      </w:r>
      <w:r w:rsidR="00D947DA">
        <w:t xml:space="preserve"> taisyklės</w:t>
      </w:r>
      <w:r w:rsidR="008819CC">
        <w:t xml:space="preserve"> iš esmės pakeitė kainos skaičiavimo metodiką.</w:t>
      </w:r>
      <w:r w:rsidR="00A7794F">
        <w:t xml:space="preserve"> Įmoka, už atliekų tvarkymą iš vienanarės tapo dvinare. </w:t>
      </w:r>
    </w:p>
    <w:p w:rsidR="00B404F6" w:rsidRDefault="00B404F6" w:rsidP="00B404F6">
      <w:pPr>
        <w:jc w:val="both"/>
        <w:rPr>
          <w:b/>
        </w:rPr>
      </w:pPr>
      <w:r>
        <w:rPr>
          <w:b/>
        </w:rPr>
        <w:t>2. Kaip šiuo metu sprendžiami sprendimo projekte aptarti klausimai:</w:t>
      </w:r>
    </w:p>
    <w:p w:rsidR="00B404F6" w:rsidRPr="000F0524" w:rsidRDefault="000F0524" w:rsidP="000F0524">
      <w:pPr>
        <w:ind w:firstLine="851"/>
        <w:jc w:val="both"/>
      </w:pPr>
      <w:r w:rsidRPr="000F0524">
        <w:t xml:space="preserve">Teikiamas sprendimo </w:t>
      </w:r>
      <w:r>
        <w:t>projektas, kuriuo</w:t>
      </w:r>
      <w:r w:rsidR="005B4C35">
        <w:t xml:space="preserve"> siūloma patvirtinti komunalinių atliekų tvarkymo kainas, susidarymo normas ir dvinarės įmokos už komunalinių atliekų surinkimą</w:t>
      </w:r>
      <w:r w:rsidR="0020356B">
        <w:t xml:space="preserve"> iš atliekų turėtojų</w:t>
      </w:r>
      <w:r w:rsidR="005B4C35">
        <w:t xml:space="preserve"> ir </w:t>
      </w:r>
      <w:r w:rsidR="0020356B">
        <w:t xml:space="preserve">atliekų </w:t>
      </w:r>
      <w:r w:rsidR="005B4C35">
        <w:t>tvarkymą dydžius.</w:t>
      </w:r>
    </w:p>
    <w:p w:rsidR="00B404F6" w:rsidRDefault="00B404F6" w:rsidP="00B404F6">
      <w:pPr>
        <w:jc w:val="both"/>
        <w:rPr>
          <w:b/>
        </w:rPr>
      </w:pPr>
      <w:r>
        <w:rPr>
          <w:b/>
        </w:rPr>
        <w:t>3. Sprendimo priėmimo būtinumo pagrindimas, kokių pozityvių rezultatų laukiama:</w:t>
      </w:r>
    </w:p>
    <w:p w:rsidR="00B404F6" w:rsidRDefault="00A7794F" w:rsidP="00D5658F">
      <w:pPr>
        <w:spacing w:line="276" w:lineRule="auto"/>
        <w:ind w:firstLine="851"/>
        <w:jc w:val="both"/>
        <w:rPr>
          <w:b/>
        </w:rPr>
      </w:pPr>
      <w:r>
        <w:t>Vadovau</w:t>
      </w:r>
      <w:r w:rsidR="00D5658F">
        <w:t>damasi Lietuvos Respublikos atliekų tvarkymo įstatymo 30²</w:t>
      </w:r>
      <w:r w:rsidR="0008588E">
        <w:t xml:space="preserve"> </w:t>
      </w:r>
      <w:r w:rsidR="00D5658F">
        <w:t xml:space="preserve">straipsnio 3 dalimi Vyriausybė patvirtino Vietinės rinkliavos ar kitos įmokos už komunalinių atliekų surinkimą iš atliekų turėtojų ir atliekų tvarkymą dydžio nustatymo taisykles ir rekomendavo savivaldybėms vadovaujantis taisyklėmis pasitvirtinti įmokos už komunalinių atliekų surinkimą iš atliekų turėtojų ir atliekų tvarkymą dydžio nustatymo metodikas, o </w:t>
      </w:r>
      <w:r w:rsidR="000D1DCC">
        <w:t xml:space="preserve">įmokos </w:t>
      </w:r>
      <w:r w:rsidR="00D5658F">
        <w:t>dydžius taikyti nuo artimiausių finansinių metų pradžios, t.y. nuo 2017 m. sausio 1 dienos.</w:t>
      </w:r>
    </w:p>
    <w:p w:rsidR="00B404F6" w:rsidRDefault="00B404F6" w:rsidP="00B404F6">
      <w:pPr>
        <w:jc w:val="both"/>
        <w:rPr>
          <w:b/>
        </w:rPr>
      </w:pPr>
      <w:r>
        <w:rPr>
          <w:b/>
        </w:rPr>
        <w:t>4. Skaičiavimai, išlaidų sąmatos, finansavimo šaltiniai:</w:t>
      </w:r>
    </w:p>
    <w:p w:rsidR="00856683" w:rsidRDefault="00856683" w:rsidP="00DD0E2D">
      <w:pPr>
        <w:spacing w:line="276" w:lineRule="auto"/>
        <w:ind w:firstLine="720"/>
        <w:jc w:val="both"/>
      </w:pPr>
      <w:r w:rsidRPr="00856683">
        <w:t xml:space="preserve">Vadovaujantis </w:t>
      </w:r>
      <w:r>
        <w:t xml:space="preserve">patvirtinta </w:t>
      </w:r>
      <w:r w:rsidRPr="00856683">
        <w:t xml:space="preserve">Panevėžio miesto savivaldybės dvinarės įmokos už komunalinių atliekų </w:t>
      </w:r>
      <w:r>
        <w:t>surinkimą</w:t>
      </w:r>
      <w:r w:rsidR="0020356B">
        <w:t xml:space="preserve"> iš atliekų turėtojų</w:t>
      </w:r>
      <w:r>
        <w:t xml:space="preserve"> ir </w:t>
      </w:r>
      <w:r w:rsidR="0020356B">
        <w:t xml:space="preserve">atliekų </w:t>
      </w:r>
      <w:r>
        <w:t>tvarkymą dydžio nustatymo metodika</w:t>
      </w:r>
      <w:r w:rsidR="000574C5">
        <w:t xml:space="preserve"> (toliau – Metodika)</w:t>
      </w:r>
      <w:r>
        <w:t xml:space="preserve"> visi komunalinių atliekų turėtojai </w:t>
      </w:r>
      <w:r w:rsidR="0020356B">
        <w:t>bus</w:t>
      </w:r>
      <w:r>
        <w:t xml:space="preserve"> apmokestinti dvinare įmoka (toliau – DVĮ), kurios pastovioji dalis gyventojams skaičiuojama nekilnojamojo turto (toliau – NT) vienetui, o kintamoji – pagal atliekų susikaupimo normą vienam gyventojui arba valdai (</w:t>
      </w:r>
      <w:proofErr w:type="spellStart"/>
      <w:r>
        <w:t>kolekt</w:t>
      </w:r>
      <w:proofErr w:type="spellEnd"/>
      <w:r>
        <w:t>. sodai, garažai). Juridiniams asmenims pastovioji įmokos dalis turi būti skaičiuojama pagal NT plotą, kintamoji</w:t>
      </w:r>
      <w:r w:rsidR="000574C5">
        <w:t xml:space="preserve"> </w:t>
      </w:r>
      <w:r>
        <w:t>– pagal konteinerių skaičių, tūrį, ištuštinimo dažnį.</w:t>
      </w:r>
    </w:p>
    <w:p w:rsidR="00F52566" w:rsidRPr="00825295" w:rsidRDefault="006E5039" w:rsidP="00825295">
      <w:pPr>
        <w:spacing w:line="276" w:lineRule="auto"/>
        <w:ind w:firstLine="720"/>
        <w:jc w:val="both"/>
        <w:rPr>
          <w:bCs/>
        </w:rPr>
      </w:pPr>
      <w:r>
        <w:t xml:space="preserve">Komunalinių atliekų tvarkymo sistemos administratorius vadovaudamasis Metodikos projektu </w:t>
      </w:r>
      <w:r w:rsidR="00036E5B">
        <w:t xml:space="preserve">atliko </w:t>
      </w:r>
      <w:r w:rsidR="00EF2AD4">
        <w:t>planinių (2017 m.) ir faktinių (2015 m.) būtinųjų su komunaliniu atliekų tvarkymu susijusių sąnaudų palyginimą.</w:t>
      </w:r>
      <w:r w:rsidR="00825295">
        <w:t xml:space="preserve"> </w:t>
      </w:r>
      <w:r w:rsidR="00F52566">
        <w:t xml:space="preserve">Skaičiuojant būtinąsias su komunalinių atliekų tvarkymu susijusias sąnaudas </w:t>
      </w:r>
      <w:r w:rsidR="00F52566" w:rsidRPr="00825295">
        <w:t>2017 metams</w:t>
      </w:r>
      <w:r w:rsidR="00D92C4E" w:rsidRPr="00825295">
        <w:rPr>
          <w:bCs/>
        </w:rPr>
        <w:t xml:space="preserve"> </w:t>
      </w:r>
      <w:r w:rsidR="00F52566" w:rsidRPr="00825295">
        <w:t>įvertin</w:t>
      </w:r>
      <w:r w:rsidR="00D92C4E" w:rsidRPr="00825295">
        <w:rPr>
          <w:bCs/>
        </w:rPr>
        <w:t>ti</w:t>
      </w:r>
      <w:r w:rsidR="00F52566" w:rsidRPr="00825295">
        <w:t xml:space="preserve"> </w:t>
      </w:r>
      <w:r w:rsidR="00825295" w:rsidRPr="00825295">
        <w:rPr>
          <w:bCs/>
        </w:rPr>
        <w:t>1 lentelėje</w:t>
      </w:r>
      <w:r w:rsidR="00825295" w:rsidRPr="00825295">
        <w:t xml:space="preserve"> </w:t>
      </w:r>
      <w:r w:rsidR="00825295" w:rsidRPr="00825295">
        <w:rPr>
          <w:bCs/>
        </w:rPr>
        <w:t>nurodyti</w:t>
      </w:r>
      <w:r w:rsidR="00825295" w:rsidRPr="00825295">
        <w:t xml:space="preserve"> </w:t>
      </w:r>
      <w:r w:rsidR="00F52566" w:rsidRPr="00825295">
        <w:t>veiksni</w:t>
      </w:r>
      <w:r w:rsidR="00D92C4E" w:rsidRPr="00825295">
        <w:rPr>
          <w:bCs/>
        </w:rPr>
        <w:t>ai.</w:t>
      </w:r>
    </w:p>
    <w:p w:rsidR="00825295" w:rsidRDefault="00825295" w:rsidP="00F52566">
      <w:pPr>
        <w:pStyle w:val="Pagrindiniotekstotrauka2"/>
        <w:jc w:val="right"/>
        <w:rPr>
          <w:b w:val="0"/>
          <w:bCs w:val="0"/>
        </w:rPr>
      </w:pPr>
    </w:p>
    <w:p w:rsidR="00B16F32" w:rsidRDefault="00B16F32" w:rsidP="00F52566">
      <w:pPr>
        <w:pStyle w:val="Pagrindiniotekstotrauka2"/>
        <w:jc w:val="right"/>
        <w:rPr>
          <w:b w:val="0"/>
          <w:bCs w:val="0"/>
        </w:rPr>
      </w:pPr>
    </w:p>
    <w:p w:rsidR="00F52566" w:rsidRDefault="00F52566" w:rsidP="00F52566">
      <w:pPr>
        <w:pStyle w:val="Pagrindiniotekstotrauka2"/>
        <w:jc w:val="right"/>
        <w:rPr>
          <w:b w:val="0"/>
          <w:bCs w:val="0"/>
        </w:rPr>
      </w:pPr>
      <w:r>
        <w:rPr>
          <w:b w:val="0"/>
          <w:bCs w:val="0"/>
        </w:rPr>
        <w:t>1 lentelė</w:t>
      </w:r>
    </w:p>
    <w:p w:rsidR="00F52566" w:rsidRDefault="00F52566" w:rsidP="00D92C4E">
      <w:pPr>
        <w:pStyle w:val="Pagrindiniotekstotrauka2"/>
      </w:pPr>
      <w:r>
        <w:t>Veiksniai, turintys įtaką būtinųjų sąnaudų pokyčiui 2017 metais</w:t>
      </w:r>
    </w:p>
    <w:p w:rsidR="00F52566" w:rsidRDefault="00F52566" w:rsidP="00F52566">
      <w:pPr>
        <w:pStyle w:val="Pagrindiniotekstotrauka2"/>
        <w:ind w:firstLine="0"/>
        <w:jc w:val="left"/>
        <w:rPr>
          <w:b w:val="0"/>
          <w:bCs w:val="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872"/>
        <w:gridCol w:w="996"/>
        <w:gridCol w:w="1090"/>
        <w:gridCol w:w="1135"/>
        <w:gridCol w:w="1701"/>
      </w:tblGrid>
      <w:tr w:rsidR="00F52566" w:rsidTr="006E5039">
        <w:trPr>
          <w:cantSplit/>
        </w:trPr>
        <w:tc>
          <w:tcPr>
            <w:tcW w:w="556" w:type="dxa"/>
            <w:vMerge w:val="restart"/>
          </w:tcPr>
          <w:p w:rsidR="00F52566" w:rsidRDefault="00F52566" w:rsidP="0077725D">
            <w:pPr>
              <w:pStyle w:val="Pagrindiniotekstotrauka2"/>
              <w:ind w:firstLine="0"/>
              <w:jc w:val="both"/>
              <w:rPr>
                <w:b w:val="0"/>
                <w:bCs w:val="0"/>
              </w:rPr>
            </w:pPr>
            <w:r>
              <w:rPr>
                <w:b w:val="0"/>
                <w:bCs w:val="0"/>
              </w:rPr>
              <w:t>Eil. Nr.</w:t>
            </w:r>
          </w:p>
        </w:tc>
        <w:tc>
          <w:tcPr>
            <w:tcW w:w="3872" w:type="dxa"/>
            <w:vMerge w:val="restart"/>
          </w:tcPr>
          <w:p w:rsidR="00F52566" w:rsidRDefault="00F52566" w:rsidP="0077725D">
            <w:pPr>
              <w:pStyle w:val="Pagrindiniotekstotrauka2"/>
              <w:ind w:firstLine="0"/>
              <w:jc w:val="both"/>
              <w:rPr>
                <w:b w:val="0"/>
                <w:bCs w:val="0"/>
              </w:rPr>
            </w:pPr>
          </w:p>
        </w:tc>
        <w:tc>
          <w:tcPr>
            <w:tcW w:w="996" w:type="dxa"/>
            <w:vMerge w:val="restart"/>
          </w:tcPr>
          <w:p w:rsidR="00F52566" w:rsidRDefault="00F52566" w:rsidP="0077725D">
            <w:pPr>
              <w:pStyle w:val="Pagrindiniotekstotrauka2"/>
              <w:ind w:firstLine="0"/>
              <w:rPr>
                <w:b w:val="0"/>
                <w:bCs w:val="0"/>
              </w:rPr>
            </w:pPr>
            <w:r>
              <w:rPr>
                <w:b w:val="0"/>
                <w:bCs w:val="0"/>
              </w:rPr>
              <w:t xml:space="preserve">2015 m. tūkst. </w:t>
            </w:r>
            <w:proofErr w:type="spellStart"/>
            <w:r>
              <w:rPr>
                <w:b w:val="0"/>
                <w:bCs w:val="0"/>
              </w:rPr>
              <w:t>Eur</w:t>
            </w:r>
            <w:proofErr w:type="spellEnd"/>
          </w:p>
        </w:tc>
        <w:tc>
          <w:tcPr>
            <w:tcW w:w="1090" w:type="dxa"/>
            <w:vMerge w:val="restart"/>
          </w:tcPr>
          <w:p w:rsidR="00F52566" w:rsidRDefault="00F52566" w:rsidP="0077725D">
            <w:pPr>
              <w:pStyle w:val="Pagrindiniotekstotrauka2"/>
              <w:ind w:firstLine="0"/>
              <w:rPr>
                <w:b w:val="0"/>
                <w:bCs w:val="0"/>
              </w:rPr>
            </w:pPr>
            <w:r>
              <w:rPr>
                <w:b w:val="0"/>
                <w:bCs w:val="0"/>
              </w:rPr>
              <w:t xml:space="preserve">2017 m. tūkst. </w:t>
            </w:r>
            <w:proofErr w:type="spellStart"/>
            <w:r>
              <w:rPr>
                <w:b w:val="0"/>
                <w:bCs w:val="0"/>
              </w:rPr>
              <w:t>Eur</w:t>
            </w:r>
            <w:proofErr w:type="spellEnd"/>
          </w:p>
        </w:tc>
        <w:tc>
          <w:tcPr>
            <w:tcW w:w="2836" w:type="dxa"/>
            <w:gridSpan w:val="2"/>
          </w:tcPr>
          <w:p w:rsidR="00F52566" w:rsidRDefault="00F52566" w:rsidP="0077725D">
            <w:pPr>
              <w:pStyle w:val="Pagrindiniotekstotrauka2"/>
              <w:ind w:firstLine="0"/>
              <w:rPr>
                <w:b w:val="0"/>
                <w:bCs w:val="0"/>
              </w:rPr>
            </w:pPr>
            <w:r>
              <w:rPr>
                <w:b w:val="0"/>
                <w:bCs w:val="0"/>
              </w:rPr>
              <w:t>Pokytis</w:t>
            </w:r>
          </w:p>
        </w:tc>
      </w:tr>
      <w:tr w:rsidR="00F52566" w:rsidTr="006E5039">
        <w:trPr>
          <w:cantSplit/>
        </w:trPr>
        <w:tc>
          <w:tcPr>
            <w:tcW w:w="556" w:type="dxa"/>
            <w:vMerge/>
          </w:tcPr>
          <w:p w:rsidR="00F52566" w:rsidRDefault="00F52566" w:rsidP="0077725D">
            <w:pPr>
              <w:pStyle w:val="Pagrindiniotekstotrauka2"/>
              <w:ind w:firstLine="0"/>
              <w:jc w:val="both"/>
              <w:rPr>
                <w:b w:val="0"/>
                <w:bCs w:val="0"/>
              </w:rPr>
            </w:pPr>
          </w:p>
        </w:tc>
        <w:tc>
          <w:tcPr>
            <w:tcW w:w="3872" w:type="dxa"/>
            <w:vMerge/>
          </w:tcPr>
          <w:p w:rsidR="00F52566" w:rsidRDefault="00F52566" w:rsidP="0077725D">
            <w:pPr>
              <w:pStyle w:val="Pagrindiniotekstotrauka2"/>
              <w:ind w:firstLine="0"/>
              <w:jc w:val="both"/>
              <w:rPr>
                <w:b w:val="0"/>
                <w:bCs w:val="0"/>
              </w:rPr>
            </w:pPr>
          </w:p>
        </w:tc>
        <w:tc>
          <w:tcPr>
            <w:tcW w:w="996" w:type="dxa"/>
            <w:vMerge/>
          </w:tcPr>
          <w:p w:rsidR="00F52566" w:rsidRDefault="00F52566" w:rsidP="0077725D">
            <w:pPr>
              <w:pStyle w:val="Pagrindiniotekstotrauka2"/>
              <w:ind w:firstLine="0"/>
              <w:jc w:val="both"/>
              <w:rPr>
                <w:b w:val="0"/>
                <w:bCs w:val="0"/>
              </w:rPr>
            </w:pPr>
          </w:p>
        </w:tc>
        <w:tc>
          <w:tcPr>
            <w:tcW w:w="1090" w:type="dxa"/>
            <w:vMerge/>
          </w:tcPr>
          <w:p w:rsidR="00F52566" w:rsidRDefault="00F52566" w:rsidP="0077725D">
            <w:pPr>
              <w:pStyle w:val="Pagrindiniotekstotrauka2"/>
              <w:ind w:firstLine="0"/>
              <w:jc w:val="both"/>
              <w:rPr>
                <w:b w:val="0"/>
                <w:bCs w:val="0"/>
              </w:rPr>
            </w:pPr>
          </w:p>
        </w:tc>
        <w:tc>
          <w:tcPr>
            <w:tcW w:w="1135" w:type="dxa"/>
          </w:tcPr>
          <w:p w:rsidR="00F52566" w:rsidRDefault="00F52566" w:rsidP="0077725D">
            <w:pPr>
              <w:pStyle w:val="Pagrindiniotekstotrauka2"/>
              <w:ind w:firstLine="0"/>
              <w:rPr>
                <w:b w:val="0"/>
                <w:bCs w:val="0"/>
              </w:rPr>
            </w:pPr>
            <w:r>
              <w:rPr>
                <w:b w:val="0"/>
                <w:bCs w:val="0"/>
              </w:rPr>
              <w:t xml:space="preserve">Suma tūkst. </w:t>
            </w:r>
            <w:proofErr w:type="spellStart"/>
            <w:r>
              <w:rPr>
                <w:b w:val="0"/>
                <w:bCs w:val="0"/>
              </w:rPr>
              <w:t>Eur</w:t>
            </w:r>
            <w:proofErr w:type="spellEnd"/>
          </w:p>
        </w:tc>
        <w:tc>
          <w:tcPr>
            <w:tcW w:w="1701" w:type="dxa"/>
            <w:vAlign w:val="center"/>
          </w:tcPr>
          <w:p w:rsidR="00F52566" w:rsidRDefault="00F52566" w:rsidP="0077725D">
            <w:pPr>
              <w:pStyle w:val="Pagrindiniotekstotrauka2"/>
              <w:ind w:firstLine="0"/>
              <w:rPr>
                <w:b w:val="0"/>
                <w:bCs w:val="0"/>
              </w:rPr>
            </w:pPr>
            <w:r>
              <w:rPr>
                <w:b w:val="0"/>
                <w:bCs w:val="0"/>
                <w:color w:val="000000"/>
              </w:rPr>
              <w:t>% (5 st./ 1 eil. 3 st. x100)</w:t>
            </w:r>
          </w:p>
        </w:tc>
      </w:tr>
      <w:tr w:rsidR="00F52566" w:rsidTr="006E5039">
        <w:tc>
          <w:tcPr>
            <w:tcW w:w="556" w:type="dxa"/>
            <w:vAlign w:val="center"/>
          </w:tcPr>
          <w:p w:rsidR="00F52566" w:rsidRDefault="00F52566" w:rsidP="0077725D">
            <w:r>
              <w:t>1</w:t>
            </w:r>
          </w:p>
        </w:tc>
        <w:tc>
          <w:tcPr>
            <w:tcW w:w="3872" w:type="dxa"/>
            <w:vAlign w:val="center"/>
          </w:tcPr>
          <w:p w:rsidR="00F52566" w:rsidRDefault="00F52566" w:rsidP="0077725D">
            <w:r>
              <w:t>2</w:t>
            </w:r>
          </w:p>
        </w:tc>
        <w:tc>
          <w:tcPr>
            <w:tcW w:w="996" w:type="dxa"/>
            <w:vAlign w:val="center"/>
          </w:tcPr>
          <w:p w:rsidR="00F52566" w:rsidRDefault="00F52566" w:rsidP="0077725D">
            <w:r>
              <w:t>3</w:t>
            </w:r>
          </w:p>
        </w:tc>
        <w:tc>
          <w:tcPr>
            <w:tcW w:w="1090" w:type="dxa"/>
            <w:vAlign w:val="center"/>
          </w:tcPr>
          <w:p w:rsidR="00F52566" w:rsidRDefault="00F52566" w:rsidP="0077725D">
            <w:r>
              <w:t>4</w:t>
            </w:r>
          </w:p>
        </w:tc>
        <w:tc>
          <w:tcPr>
            <w:tcW w:w="1135" w:type="dxa"/>
            <w:vAlign w:val="center"/>
          </w:tcPr>
          <w:p w:rsidR="00F52566" w:rsidRDefault="00F52566" w:rsidP="0077725D">
            <w:r>
              <w:t>5</w:t>
            </w:r>
          </w:p>
        </w:tc>
        <w:tc>
          <w:tcPr>
            <w:tcW w:w="1701" w:type="dxa"/>
            <w:vAlign w:val="center"/>
          </w:tcPr>
          <w:p w:rsidR="00F52566" w:rsidRDefault="00F52566" w:rsidP="0077725D">
            <w:r>
              <w:t>6</w:t>
            </w:r>
          </w:p>
        </w:tc>
      </w:tr>
      <w:tr w:rsidR="00F52566" w:rsidTr="006E5039">
        <w:tc>
          <w:tcPr>
            <w:tcW w:w="556" w:type="dxa"/>
          </w:tcPr>
          <w:p w:rsidR="00F52566" w:rsidRDefault="00F52566" w:rsidP="0077725D">
            <w:r>
              <w:t>1</w:t>
            </w:r>
          </w:p>
        </w:tc>
        <w:tc>
          <w:tcPr>
            <w:tcW w:w="3872" w:type="dxa"/>
            <w:vAlign w:val="center"/>
          </w:tcPr>
          <w:p w:rsidR="00F52566" w:rsidRDefault="00F52566" w:rsidP="00825295">
            <w:pPr>
              <w:jc w:val="left"/>
            </w:pPr>
            <w:r>
              <w:t>Būtinosios sąnaudos su pelnu :</w:t>
            </w:r>
          </w:p>
        </w:tc>
        <w:tc>
          <w:tcPr>
            <w:tcW w:w="996" w:type="dxa"/>
            <w:vAlign w:val="center"/>
          </w:tcPr>
          <w:p w:rsidR="00F52566" w:rsidRDefault="00F52566" w:rsidP="0077725D">
            <w:r>
              <w:t>1 954,5</w:t>
            </w:r>
          </w:p>
        </w:tc>
        <w:tc>
          <w:tcPr>
            <w:tcW w:w="1090" w:type="dxa"/>
            <w:vAlign w:val="center"/>
          </w:tcPr>
          <w:p w:rsidR="00F52566" w:rsidRDefault="00F52566" w:rsidP="0077725D">
            <w:r>
              <w:t>2 616,7</w:t>
            </w:r>
          </w:p>
        </w:tc>
        <w:tc>
          <w:tcPr>
            <w:tcW w:w="1135" w:type="dxa"/>
            <w:vAlign w:val="center"/>
          </w:tcPr>
          <w:p w:rsidR="00F52566" w:rsidRDefault="00F52566" w:rsidP="0077725D">
            <w:r>
              <w:t>662,2</w:t>
            </w:r>
          </w:p>
        </w:tc>
        <w:tc>
          <w:tcPr>
            <w:tcW w:w="1701" w:type="dxa"/>
            <w:vAlign w:val="center"/>
          </w:tcPr>
          <w:p w:rsidR="00F52566" w:rsidRDefault="00F52566" w:rsidP="0077725D">
            <w:r>
              <w:t>33,9</w:t>
            </w:r>
          </w:p>
        </w:tc>
      </w:tr>
      <w:tr w:rsidR="00F52566" w:rsidTr="006E5039">
        <w:tc>
          <w:tcPr>
            <w:tcW w:w="556" w:type="dxa"/>
          </w:tcPr>
          <w:p w:rsidR="00F52566" w:rsidRDefault="00F52566" w:rsidP="0077725D">
            <w:r>
              <w:t>2</w:t>
            </w:r>
          </w:p>
        </w:tc>
        <w:tc>
          <w:tcPr>
            <w:tcW w:w="3872" w:type="dxa"/>
            <w:vAlign w:val="center"/>
          </w:tcPr>
          <w:p w:rsidR="00F52566" w:rsidRDefault="00F52566" w:rsidP="00825295">
            <w:pPr>
              <w:jc w:val="left"/>
            </w:pPr>
            <w:r>
              <w:t>Pelnas</w:t>
            </w:r>
          </w:p>
        </w:tc>
        <w:tc>
          <w:tcPr>
            <w:tcW w:w="996" w:type="dxa"/>
            <w:vAlign w:val="center"/>
          </w:tcPr>
          <w:p w:rsidR="00F52566" w:rsidRDefault="00F52566" w:rsidP="0077725D">
            <w:r>
              <w:t>160,2</w:t>
            </w:r>
          </w:p>
        </w:tc>
        <w:tc>
          <w:tcPr>
            <w:tcW w:w="1090" w:type="dxa"/>
            <w:vAlign w:val="center"/>
          </w:tcPr>
          <w:p w:rsidR="00F52566" w:rsidRDefault="00F52566" w:rsidP="0077725D">
            <w:r>
              <w:t>121,2</w:t>
            </w:r>
          </w:p>
        </w:tc>
        <w:tc>
          <w:tcPr>
            <w:tcW w:w="1135" w:type="dxa"/>
            <w:vAlign w:val="center"/>
          </w:tcPr>
          <w:p w:rsidR="00F52566" w:rsidRDefault="00F52566" w:rsidP="0077725D">
            <w:r>
              <w:t>-38,9</w:t>
            </w:r>
          </w:p>
        </w:tc>
        <w:tc>
          <w:tcPr>
            <w:tcW w:w="1701" w:type="dxa"/>
            <w:vAlign w:val="center"/>
          </w:tcPr>
          <w:p w:rsidR="00F52566" w:rsidRDefault="00F52566" w:rsidP="0077725D">
            <w:r>
              <w:t>-2,0</w:t>
            </w:r>
          </w:p>
        </w:tc>
      </w:tr>
      <w:tr w:rsidR="00F52566" w:rsidTr="006E5039">
        <w:tc>
          <w:tcPr>
            <w:tcW w:w="556" w:type="dxa"/>
          </w:tcPr>
          <w:p w:rsidR="00F52566" w:rsidRDefault="00F52566" w:rsidP="0077725D">
            <w:r>
              <w:t>3</w:t>
            </w:r>
          </w:p>
        </w:tc>
        <w:tc>
          <w:tcPr>
            <w:tcW w:w="3872" w:type="dxa"/>
            <w:vAlign w:val="center"/>
          </w:tcPr>
          <w:p w:rsidR="00F52566" w:rsidRDefault="00F52566" w:rsidP="00825295">
            <w:pPr>
              <w:jc w:val="left"/>
            </w:pPr>
            <w:r>
              <w:t>Įtaka būtinųjų sąnaudų pokyčiui:</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tc>
        <w:tc>
          <w:tcPr>
            <w:tcW w:w="1701" w:type="dxa"/>
            <w:vAlign w:val="center"/>
          </w:tcPr>
          <w:p w:rsidR="00F52566" w:rsidRDefault="00F52566" w:rsidP="0077725D"/>
        </w:tc>
      </w:tr>
      <w:tr w:rsidR="00F52566" w:rsidTr="006E5039">
        <w:tc>
          <w:tcPr>
            <w:tcW w:w="556" w:type="dxa"/>
          </w:tcPr>
          <w:p w:rsidR="00F52566" w:rsidRDefault="00F52566" w:rsidP="0077725D">
            <w:r>
              <w:t>4</w:t>
            </w:r>
          </w:p>
        </w:tc>
        <w:tc>
          <w:tcPr>
            <w:tcW w:w="3872" w:type="dxa"/>
            <w:vAlign w:val="center"/>
          </w:tcPr>
          <w:p w:rsidR="00F52566" w:rsidRDefault="00F52566" w:rsidP="00825295">
            <w:pPr>
              <w:jc w:val="left"/>
            </w:pPr>
            <w:r>
              <w:t>Sąvartyno kainų padidėjimas</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587,3</w:t>
            </w:r>
          </w:p>
        </w:tc>
        <w:tc>
          <w:tcPr>
            <w:tcW w:w="1701" w:type="dxa"/>
            <w:vAlign w:val="center"/>
          </w:tcPr>
          <w:p w:rsidR="00F52566" w:rsidRDefault="00F52566" w:rsidP="0077725D">
            <w:r>
              <w:t>30,0</w:t>
            </w:r>
          </w:p>
        </w:tc>
      </w:tr>
      <w:tr w:rsidR="00F52566" w:rsidTr="006E5039">
        <w:tc>
          <w:tcPr>
            <w:tcW w:w="556" w:type="dxa"/>
          </w:tcPr>
          <w:p w:rsidR="00F52566" w:rsidRDefault="00F52566" w:rsidP="0077725D">
            <w:r>
              <w:t>5</w:t>
            </w:r>
          </w:p>
        </w:tc>
        <w:tc>
          <w:tcPr>
            <w:tcW w:w="3872" w:type="dxa"/>
            <w:vAlign w:val="center"/>
          </w:tcPr>
          <w:p w:rsidR="00F52566" w:rsidRDefault="00F52566" w:rsidP="009A5D40">
            <w:pPr>
              <w:jc w:val="left"/>
            </w:pPr>
            <w:r>
              <w:t>Komunalinių atliekų kiekio sumažėjimas</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-52,4</w:t>
            </w:r>
          </w:p>
        </w:tc>
        <w:tc>
          <w:tcPr>
            <w:tcW w:w="1701" w:type="dxa"/>
            <w:vAlign w:val="center"/>
          </w:tcPr>
          <w:p w:rsidR="00F52566" w:rsidRDefault="00F52566" w:rsidP="0077725D">
            <w:r>
              <w:t>-2,7</w:t>
            </w:r>
          </w:p>
        </w:tc>
      </w:tr>
      <w:tr w:rsidR="00F52566" w:rsidTr="006E5039">
        <w:trPr>
          <w:cantSplit/>
        </w:trPr>
        <w:tc>
          <w:tcPr>
            <w:tcW w:w="556" w:type="dxa"/>
          </w:tcPr>
          <w:p w:rsidR="00F52566" w:rsidRDefault="00F52566" w:rsidP="0077725D">
            <w:r>
              <w:t>6</w:t>
            </w:r>
          </w:p>
        </w:tc>
        <w:tc>
          <w:tcPr>
            <w:tcW w:w="3872" w:type="dxa"/>
            <w:vAlign w:val="center"/>
          </w:tcPr>
          <w:p w:rsidR="00F52566" w:rsidRDefault="00F52566" w:rsidP="009A5D40">
            <w:pPr>
              <w:jc w:val="left"/>
            </w:pPr>
            <w:r>
              <w:t>Darbo užmokesčio ir soc. draudimo sąnaudų padidėjimas</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71,4</w:t>
            </w:r>
          </w:p>
        </w:tc>
        <w:tc>
          <w:tcPr>
            <w:tcW w:w="1701" w:type="dxa"/>
            <w:vAlign w:val="center"/>
          </w:tcPr>
          <w:p w:rsidR="00F52566" w:rsidRDefault="00F52566" w:rsidP="0077725D">
            <w:r>
              <w:t>3,7</w:t>
            </w:r>
          </w:p>
        </w:tc>
      </w:tr>
      <w:tr w:rsidR="00F52566" w:rsidTr="006E5039">
        <w:tc>
          <w:tcPr>
            <w:tcW w:w="556" w:type="dxa"/>
          </w:tcPr>
          <w:p w:rsidR="00F52566" w:rsidRDefault="00F52566" w:rsidP="0077725D">
            <w:r>
              <w:t>7</w:t>
            </w:r>
          </w:p>
        </w:tc>
        <w:tc>
          <w:tcPr>
            <w:tcW w:w="3872" w:type="dxa"/>
            <w:vAlign w:val="center"/>
          </w:tcPr>
          <w:p w:rsidR="00F52566" w:rsidRDefault="00F52566" w:rsidP="009A5D40">
            <w:pPr>
              <w:jc w:val="left"/>
            </w:pPr>
            <w:r>
              <w:t>Infrastruktūros atnaujinimo sąnaudos</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20,0</w:t>
            </w:r>
          </w:p>
        </w:tc>
        <w:tc>
          <w:tcPr>
            <w:tcW w:w="1701" w:type="dxa"/>
            <w:vAlign w:val="center"/>
          </w:tcPr>
          <w:p w:rsidR="00F52566" w:rsidRDefault="00F52566" w:rsidP="0077725D">
            <w:r>
              <w:t>1,0</w:t>
            </w:r>
          </w:p>
        </w:tc>
      </w:tr>
      <w:tr w:rsidR="00F52566" w:rsidTr="006E5039">
        <w:tc>
          <w:tcPr>
            <w:tcW w:w="556" w:type="dxa"/>
          </w:tcPr>
          <w:p w:rsidR="00F52566" w:rsidRDefault="00F52566" w:rsidP="0077725D">
            <w:r>
              <w:t>8</w:t>
            </w:r>
          </w:p>
        </w:tc>
        <w:tc>
          <w:tcPr>
            <w:tcW w:w="3872" w:type="dxa"/>
            <w:vAlign w:val="center"/>
          </w:tcPr>
          <w:p w:rsidR="00F52566" w:rsidRDefault="00F52566" w:rsidP="009A5D40">
            <w:pPr>
              <w:jc w:val="left"/>
            </w:pPr>
            <w:r>
              <w:t>Papildomos sąnaudos dėl DVĮ įvedimo</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73,5</w:t>
            </w:r>
          </w:p>
        </w:tc>
        <w:tc>
          <w:tcPr>
            <w:tcW w:w="1701" w:type="dxa"/>
            <w:vAlign w:val="center"/>
          </w:tcPr>
          <w:p w:rsidR="00F52566" w:rsidRDefault="00F52566" w:rsidP="0077725D">
            <w:r>
              <w:t>3,8</w:t>
            </w:r>
          </w:p>
        </w:tc>
      </w:tr>
      <w:tr w:rsidR="00F52566" w:rsidTr="006E5039">
        <w:tc>
          <w:tcPr>
            <w:tcW w:w="556" w:type="dxa"/>
          </w:tcPr>
          <w:p w:rsidR="00F52566" w:rsidRDefault="00F52566" w:rsidP="0077725D">
            <w:r>
              <w:t>9</w:t>
            </w:r>
          </w:p>
        </w:tc>
        <w:tc>
          <w:tcPr>
            <w:tcW w:w="3872" w:type="dxa"/>
            <w:vAlign w:val="center"/>
          </w:tcPr>
          <w:p w:rsidR="00F52566" w:rsidRDefault="00F52566" w:rsidP="009A5D40">
            <w:pPr>
              <w:jc w:val="left"/>
            </w:pPr>
            <w:r>
              <w:t>Kitos priežastys</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1,3</w:t>
            </w:r>
          </w:p>
        </w:tc>
        <w:tc>
          <w:tcPr>
            <w:tcW w:w="1701" w:type="dxa"/>
            <w:vAlign w:val="center"/>
          </w:tcPr>
          <w:p w:rsidR="00F52566" w:rsidRDefault="00F52566" w:rsidP="0077725D">
            <w:r>
              <w:t>0,1</w:t>
            </w:r>
          </w:p>
        </w:tc>
      </w:tr>
      <w:tr w:rsidR="00F52566" w:rsidTr="006E5039">
        <w:tc>
          <w:tcPr>
            <w:tcW w:w="556" w:type="dxa"/>
          </w:tcPr>
          <w:p w:rsidR="00F52566" w:rsidRDefault="00F52566" w:rsidP="0077725D"/>
        </w:tc>
        <w:tc>
          <w:tcPr>
            <w:tcW w:w="3872" w:type="dxa"/>
            <w:vAlign w:val="center"/>
          </w:tcPr>
          <w:p w:rsidR="00F52566" w:rsidRDefault="00825295" w:rsidP="009A5D40">
            <w:pPr>
              <w:jc w:val="left"/>
            </w:pPr>
            <w:r>
              <w:t>Iš v</w:t>
            </w:r>
            <w:r w:rsidR="00F52566">
              <w:t>iso</w:t>
            </w:r>
            <w:r>
              <w:t>:</w:t>
            </w:r>
          </w:p>
        </w:tc>
        <w:tc>
          <w:tcPr>
            <w:tcW w:w="996" w:type="dxa"/>
            <w:vAlign w:val="center"/>
          </w:tcPr>
          <w:p w:rsidR="00F52566" w:rsidRDefault="00F52566" w:rsidP="0077725D"/>
        </w:tc>
        <w:tc>
          <w:tcPr>
            <w:tcW w:w="1090" w:type="dxa"/>
            <w:vAlign w:val="center"/>
          </w:tcPr>
          <w:p w:rsidR="00F52566" w:rsidRDefault="00F52566" w:rsidP="0077725D"/>
        </w:tc>
        <w:tc>
          <w:tcPr>
            <w:tcW w:w="1135" w:type="dxa"/>
            <w:vAlign w:val="center"/>
          </w:tcPr>
          <w:p w:rsidR="00F52566" w:rsidRDefault="00F52566" w:rsidP="0077725D">
            <w:r>
              <w:t>662,2</w:t>
            </w:r>
          </w:p>
        </w:tc>
        <w:tc>
          <w:tcPr>
            <w:tcW w:w="1701" w:type="dxa"/>
            <w:vAlign w:val="center"/>
          </w:tcPr>
          <w:p w:rsidR="00F52566" w:rsidRDefault="00F52566" w:rsidP="0077725D">
            <w:pPr>
              <w:rPr>
                <w:b/>
                <w:bCs/>
              </w:rPr>
            </w:pPr>
          </w:p>
        </w:tc>
      </w:tr>
    </w:tbl>
    <w:p w:rsidR="00F52566" w:rsidRDefault="00F52566" w:rsidP="00F52566">
      <w:pPr>
        <w:pStyle w:val="Pagrindiniotekstotrauka2"/>
        <w:numPr>
          <w:ilvl w:val="0"/>
          <w:numId w:val="1"/>
        </w:numPr>
        <w:jc w:val="both"/>
        <w:rPr>
          <w:b w:val="0"/>
          <w:bCs w:val="0"/>
        </w:rPr>
      </w:pPr>
      <w:r>
        <w:rPr>
          <w:b w:val="0"/>
          <w:bCs w:val="0"/>
        </w:rPr>
        <w:t>sąvartyno sąnaudų padidėjimas</w:t>
      </w:r>
      <w:r w:rsidR="00203071">
        <w:rPr>
          <w:b w:val="0"/>
          <w:bCs w:val="0"/>
        </w:rPr>
        <w:t xml:space="preserve"> </w:t>
      </w:r>
      <w:r>
        <w:rPr>
          <w:b w:val="0"/>
          <w:bCs w:val="0"/>
        </w:rPr>
        <w:t xml:space="preserve">– 587,3 tūkst. </w:t>
      </w:r>
      <w:proofErr w:type="spellStart"/>
      <w:r>
        <w:rPr>
          <w:b w:val="0"/>
          <w:bCs w:val="0"/>
        </w:rPr>
        <w:t>Eur</w:t>
      </w:r>
      <w:proofErr w:type="spellEnd"/>
      <w:r>
        <w:rPr>
          <w:b w:val="0"/>
          <w:bCs w:val="0"/>
        </w:rPr>
        <w:t>. Nuo 2016.12.01 sąvartyno kainos didėja:</w:t>
      </w:r>
    </w:p>
    <w:p w:rsidR="00F52566" w:rsidRDefault="00F52566" w:rsidP="00F52566">
      <w:pPr>
        <w:pStyle w:val="Pagrindiniotekstotrauka2"/>
        <w:ind w:left="1080" w:firstLine="0"/>
        <w:jc w:val="both"/>
        <w:rPr>
          <w:b w:val="0"/>
          <w:bCs w:val="0"/>
        </w:rPr>
      </w:pPr>
      <w:r>
        <w:rPr>
          <w:b w:val="0"/>
          <w:bCs w:val="0"/>
        </w:rPr>
        <w:t xml:space="preserve">mišrių komunalinių atliekų nuo 19,90 </w:t>
      </w:r>
      <w:proofErr w:type="spellStart"/>
      <w:r>
        <w:rPr>
          <w:b w:val="0"/>
          <w:bCs w:val="0"/>
        </w:rPr>
        <w:t>Eur</w:t>
      </w:r>
      <w:proofErr w:type="spellEnd"/>
      <w:r>
        <w:rPr>
          <w:b w:val="0"/>
          <w:bCs w:val="0"/>
        </w:rPr>
        <w:t xml:space="preserve">/t iki 40,48 </w:t>
      </w:r>
      <w:proofErr w:type="spellStart"/>
      <w:r>
        <w:rPr>
          <w:b w:val="0"/>
          <w:bCs w:val="0"/>
        </w:rPr>
        <w:t>Eur</w:t>
      </w:r>
      <w:proofErr w:type="spellEnd"/>
      <w:r>
        <w:rPr>
          <w:b w:val="0"/>
          <w:bCs w:val="0"/>
        </w:rPr>
        <w:t>/t (203,4 proc.), kitų komunalinių atliekų (didžiųjų, statybos</w:t>
      </w:r>
      <w:r w:rsidR="009752B2">
        <w:rPr>
          <w:b w:val="0"/>
          <w:bCs w:val="0"/>
        </w:rPr>
        <w:t xml:space="preserve"> </w:t>
      </w:r>
      <w:proofErr w:type="gramStart"/>
      <w:r>
        <w:rPr>
          <w:b w:val="0"/>
          <w:bCs w:val="0"/>
        </w:rPr>
        <w:t>-</w:t>
      </w:r>
      <w:proofErr w:type="gramEnd"/>
      <w:r w:rsidR="009752B2">
        <w:rPr>
          <w:b w:val="0"/>
          <w:bCs w:val="0"/>
        </w:rPr>
        <w:t xml:space="preserve"> </w:t>
      </w:r>
      <w:r>
        <w:rPr>
          <w:b w:val="0"/>
          <w:bCs w:val="0"/>
        </w:rPr>
        <w:t xml:space="preserve">griovimo ir kt.) nuo 18,99 </w:t>
      </w:r>
      <w:proofErr w:type="spellStart"/>
      <w:r>
        <w:rPr>
          <w:b w:val="0"/>
          <w:bCs w:val="0"/>
        </w:rPr>
        <w:t>Eur</w:t>
      </w:r>
      <w:proofErr w:type="spellEnd"/>
      <w:r>
        <w:rPr>
          <w:b w:val="0"/>
          <w:bCs w:val="0"/>
        </w:rPr>
        <w:t xml:space="preserve">/t iki 39,95 </w:t>
      </w:r>
      <w:proofErr w:type="spellStart"/>
      <w:r>
        <w:rPr>
          <w:b w:val="0"/>
          <w:bCs w:val="0"/>
        </w:rPr>
        <w:t>Eur</w:t>
      </w:r>
      <w:proofErr w:type="spellEnd"/>
      <w:r>
        <w:rPr>
          <w:b w:val="0"/>
          <w:bCs w:val="0"/>
        </w:rPr>
        <w:t>/t (210,4 proc.). Visų komunalinių atliekų šalinimo sąvartyne sąnaudų lyginamasis svoris visose būtinose sąnaudose</w:t>
      </w:r>
      <w:r w:rsidR="009752B2">
        <w:rPr>
          <w:b w:val="0"/>
          <w:bCs w:val="0"/>
        </w:rPr>
        <w:t xml:space="preserve"> </w:t>
      </w:r>
      <w:r>
        <w:rPr>
          <w:b w:val="0"/>
          <w:bCs w:val="0"/>
        </w:rPr>
        <w:t>– 45 proc.</w:t>
      </w:r>
    </w:p>
    <w:p w:rsidR="00F52566" w:rsidRDefault="00F52566" w:rsidP="00F52566">
      <w:pPr>
        <w:pStyle w:val="Pagrindiniotekstotrauka2"/>
        <w:numPr>
          <w:ilvl w:val="0"/>
          <w:numId w:val="1"/>
        </w:numPr>
        <w:jc w:val="both"/>
        <w:rPr>
          <w:b w:val="0"/>
          <w:bCs w:val="0"/>
        </w:rPr>
      </w:pPr>
      <w:r>
        <w:rPr>
          <w:b w:val="0"/>
          <w:bCs w:val="0"/>
        </w:rPr>
        <w:t xml:space="preserve">mišrių komunalinių atliekų surinkimo iš gyventojų kiekio mažėjimas 5 proc. Dėl šios priežasties būtinosios sąnaudos sumažės 52,4 tūkst. </w:t>
      </w:r>
      <w:proofErr w:type="spellStart"/>
      <w:r>
        <w:rPr>
          <w:b w:val="0"/>
          <w:bCs w:val="0"/>
        </w:rPr>
        <w:t>Eur</w:t>
      </w:r>
      <w:proofErr w:type="spellEnd"/>
      <w:r>
        <w:rPr>
          <w:b w:val="0"/>
          <w:bCs w:val="0"/>
        </w:rPr>
        <w:t xml:space="preserve">. </w:t>
      </w:r>
    </w:p>
    <w:p w:rsidR="00F52566" w:rsidRDefault="00F52566" w:rsidP="00F52566">
      <w:pPr>
        <w:pStyle w:val="Pagrindiniotekstotrauka2"/>
        <w:numPr>
          <w:ilvl w:val="0"/>
          <w:numId w:val="2"/>
        </w:numPr>
        <w:jc w:val="both"/>
        <w:rPr>
          <w:b w:val="0"/>
          <w:bCs w:val="0"/>
          <w:color w:val="FF0000"/>
        </w:rPr>
      </w:pPr>
      <w:r>
        <w:rPr>
          <w:b w:val="0"/>
          <w:bCs w:val="0"/>
        </w:rPr>
        <w:t>darbo užmokesčio ir soc. draudimo sąnaudų padidėjimas</w:t>
      </w:r>
      <w:r w:rsidR="009752B2">
        <w:rPr>
          <w:b w:val="0"/>
          <w:bCs w:val="0"/>
        </w:rPr>
        <w:t xml:space="preserve"> </w:t>
      </w:r>
      <w:r>
        <w:rPr>
          <w:b w:val="0"/>
          <w:bCs w:val="0"/>
        </w:rPr>
        <w:t>– 7</w:t>
      </w:r>
      <w:r w:rsidR="00DB0A13">
        <w:rPr>
          <w:b w:val="0"/>
          <w:bCs w:val="0"/>
        </w:rPr>
        <w:t>1</w:t>
      </w:r>
      <w:r>
        <w:rPr>
          <w:b w:val="0"/>
          <w:bCs w:val="0"/>
        </w:rPr>
        <w:t>,</w:t>
      </w:r>
      <w:r w:rsidR="00DB0A13">
        <w:rPr>
          <w:b w:val="0"/>
          <w:bCs w:val="0"/>
        </w:rPr>
        <w:t>4</w:t>
      </w:r>
      <w:r>
        <w:rPr>
          <w:b w:val="0"/>
          <w:bCs w:val="0"/>
        </w:rPr>
        <w:t xml:space="preserve"> tūkst. </w:t>
      </w:r>
      <w:proofErr w:type="spellStart"/>
      <w:r>
        <w:rPr>
          <w:b w:val="0"/>
          <w:bCs w:val="0"/>
        </w:rPr>
        <w:t>Eur</w:t>
      </w:r>
      <w:proofErr w:type="spellEnd"/>
      <w:r>
        <w:rPr>
          <w:b w:val="0"/>
          <w:bCs w:val="0"/>
        </w:rPr>
        <w:t xml:space="preserve">. Minimali alga nuo 2015 01 01 iki 2016 12 31 kilo nuo 300 </w:t>
      </w:r>
      <w:proofErr w:type="spellStart"/>
      <w:r>
        <w:rPr>
          <w:b w:val="0"/>
          <w:bCs w:val="0"/>
        </w:rPr>
        <w:t>Eur</w:t>
      </w:r>
      <w:proofErr w:type="spellEnd"/>
      <w:r>
        <w:rPr>
          <w:b w:val="0"/>
          <w:bCs w:val="0"/>
        </w:rPr>
        <w:t xml:space="preserve"> iki 380 </w:t>
      </w:r>
      <w:proofErr w:type="spellStart"/>
      <w:r>
        <w:rPr>
          <w:b w:val="0"/>
          <w:bCs w:val="0"/>
        </w:rPr>
        <w:t>Eur</w:t>
      </w:r>
      <w:proofErr w:type="spellEnd"/>
      <w:r>
        <w:rPr>
          <w:b w:val="0"/>
          <w:bCs w:val="0"/>
        </w:rPr>
        <w:t xml:space="preserve"> (26,7 proc.). Įvertinus tai, kad nuo 2016 07 01 padidinus minimalų darbo užmokestį iki 380 </w:t>
      </w:r>
      <w:proofErr w:type="spellStart"/>
      <w:r>
        <w:rPr>
          <w:b w:val="0"/>
          <w:bCs w:val="0"/>
        </w:rPr>
        <w:t>Eur</w:t>
      </w:r>
      <w:proofErr w:type="spellEnd"/>
      <w:r>
        <w:rPr>
          <w:b w:val="0"/>
          <w:bCs w:val="0"/>
        </w:rPr>
        <w:t xml:space="preserve">, susidarė darbo užmokesčio dydžio disproporcija tarp aukštesnės kvalifikacijos vairuotojų ir darbininkų, gaunančių minimalią algą. Darbo užmokestis vairuotojams ir aukštesnės kvalifikacijos darbininkams padidintas 10 proc., kitiems darbuotojams 7 proc. </w:t>
      </w:r>
    </w:p>
    <w:p w:rsidR="00F52566" w:rsidRDefault="00F52566" w:rsidP="00F52566">
      <w:pPr>
        <w:pStyle w:val="Pagrindiniotekstotrauka"/>
        <w:numPr>
          <w:ilvl w:val="0"/>
          <w:numId w:val="1"/>
        </w:numPr>
      </w:pPr>
      <w:r>
        <w:t xml:space="preserve">komunalinių atliekų tvarkymo infrastruktūros plėtros sąnaudos. Šias sąnaudas sudaro 2 šiukšliavežių (380 tūkst. </w:t>
      </w:r>
      <w:proofErr w:type="spellStart"/>
      <w:r>
        <w:t>Eur</w:t>
      </w:r>
      <w:proofErr w:type="spellEnd"/>
      <w:r>
        <w:t xml:space="preserve">) skirtų mišrioms atliekoms surinkti nusidėvėjimo sąnaudos. Dėl ilgalaikio turo nusidėvėjimo padidėjimo planuojamas sąnaudų padidėjimas 20 tūkst. </w:t>
      </w:r>
      <w:proofErr w:type="spellStart"/>
      <w:r>
        <w:t>Eur</w:t>
      </w:r>
      <w:proofErr w:type="spellEnd"/>
      <w:r>
        <w:t>.</w:t>
      </w:r>
    </w:p>
    <w:p w:rsidR="00F52566" w:rsidRDefault="00F52566" w:rsidP="00F52566">
      <w:pPr>
        <w:pStyle w:val="Pagrindiniotekstotrauka"/>
        <w:numPr>
          <w:ilvl w:val="0"/>
          <w:numId w:val="1"/>
        </w:numPr>
        <w:rPr>
          <w:b/>
          <w:bCs/>
        </w:rPr>
      </w:pPr>
      <w:r>
        <w:t xml:space="preserve">DVĮ įvedimas papildomai kainuos 73,5 tūkst. </w:t>
      </w:r>
      <w:proofErr w:type="spellStart"/>
      <w:r>
        <w:t>Eur</w:t>
      </w:r>
      <w:proofErr w:type="spellEnd"/>
      <w:r>
        <w:t xml:space="preserve"> (iš jų duomenų įsigijimas ir atnaujinimas iš </w:t>
      </w:r>
      <w:proofErr w:type="gramStart"/>
      <w:r>
        <w:t>VĮ Registrų centras</w:t>
      </w:r>
      <w:proofErr w:type="gramEnd"/>
      <w:r w:rsidR="00203071">
        <w:t xml:space="preserve"> – </w:t>
      </w:r>
      <w:r>
        <w:t xml:space="preserve">56,4 tūkst. </w:t>
      </w:r>
      <w:proofErr w:type="spellStart"/>
      <w:r>
        <w:t>Eur</w:t>
      </w:r>
      <w:proofErr w:type="spellEnd"/>
      <w:r>
        <w:t>).</w:t>
      </w:r>
    </w:p>
    <w:p w:rsidR="00DB1EB9" w:rsidRPr="00DB1EB9" w:rsidRDefault="000574C5" w:rsidP="00DB1EB9">
      <w:pPr>
        <w:ind w:firstLine="720"/>
        <w:jc w:val="both"/>
      </w:pPr>
      <w:r>
        <w:t>Skaičiuojant DVĮ 2017–</w:t>
      </w:r>
      <w:proofErr w:type="spellStart"/>
      <w:r>
        <w:t>iems</w:t>
      </w:r>
      <w:proofErr w:type="spellEnd"/>
      <w:r>
        <w:t xml:space="preserve"> metams, būtinosios sąnaudos skirstomos į pastoviąsias ir kintamąsias. </w:t>
      </w:r>
      <w:r w:rsidR="00DB1EB9" w:rsidRPr="00DB1EB9">
        <w:t>Planuojama</w:t>
      </w:r>
      <w:r w:rsidR="00DB1EB9">
        <w:t>, kad kintamųjų sąnaudų dalis nuo visų būtinųjų sąnaudų sudarys 2017 metais 70 procentų.</w:t>
      </w:r>
    </w:p>
    <w:p w:rsidR="006074EE" w:rsidRDefault="00B96E54" w:rsidP="00B404F6">
      <w:pPr>
        <w:jc w:val="both"/>
        <w:rPr>
          <w:b/>
        </w:rPr>
      </w:pPr>
      <w:r>
        <w:rPr>
          <w:b/>
        </w:rPr>
        <w:t>5. G</w:t>
      </w:r>
      <w:r w:rsidR="006074EE">
        <w:rPr>
          <w:b/>
        </w:rPr>
        <w:t>alimos neigiamos pasekmės priėmus sprendimą, kokių priemonių reikėtų imtis, kad tokių pasekmių būtų išvengta:</w:t>
      </w:r>
    </w:p>
    <w:p w:rsidR="006074EE" w:rsidRPr="00B96E54" w:rsidRDefault="00B96E54" w:rsidP="00DB0A13">
      <w:pPr>
        <w:ind w:firstLine="709"/>
        <w:jc w:val="both"/>
      </w:pPr>
      <w:r w:rsidRPr="00B96E54">
        <w:t xml:space="preserve">Neigiamų pasekmių </w:t>
      </w:r>
      <w:r>
        <w:t xml:space="preserve">priėmus sprendimą </w:t>
      </w:r>
      <w:r w:rsidRPr="00B96E54">
        <w:t>nenumatoma.</w:t>
      </w:r>
      <w:r w:rsidR="00655BE2">
        <w:t xml:space="preserve"> Nepriėmus sprendimo, nebus įgyvendintos atliekų tvarkymą reglamentuojančios teisės aktų nuostatos ir Vyriausybės atstovo Panevėžio apskrityje tarnybos 2016 m. rugpjūčio 10 d. reikalavimas Nr. R-14(2.2)</w:t>
      </w:r>
      <w:r w:rsidR="00DB0A13">
        <w:t>.</w:t>
      </w:r>
      <w:r w:rsidR="00655BE2">
        <w:t xml:space="preserve"> </w:t>
      </w:r>
    </w:p>
    <w:p w:rsidR="006074EE" w:rsidRPr="005B4C35" w:rsidRDefault="006074EE" w:rsidP="00DB0A13">
      <w:pPr>
        <w:jc w:val="both"/>
      </w:pPr>
      <w:r>
        <w:rPr>
          <w:b/>
        </w:rPr>
        <w:t>6. Kieno iniciatyva parengtas sprendimo projektas:</w:t>
      </w:r>
      <w:r w:rsidR="00DB0A13">
        <w:rPr>
          <w:b/>
        </w:rPr>
        <w:t xml:space="preserve"> </w:t>
      </w:r>
      <w:r w:rsidR="00E351C3">
        <w:t>S</w:t>
      </w:r>
      <w:r w:rsidR="005B4C35" w:rsidRPr="005B4C35">
        <w:t>avivaldybės administracijos iniciatyva</w:t>
      </w:r>
      <w:r w:rsidR="007403C5">
        <w:t>.</w:t>
      </w:r>
    </w:p>
    <w:p w:rsidR="006074EE" w:rsidRDefault="006074EE" w:rsidP="00B404F6">
      <w:pPr>
        <w:jc w:val="both"/>
      </w:pPr>
      <w:r>
        <w:t>Miesto plėtros skyriaus vyr. specialistė,</w:t>
      </w:r>
    </w:p>
    <w:p w:rsidR="006074EE" w:rsidRPr="006074EE" w:rsidRDefault="006074EE" w:rsidP="00B404F6">
      <w:pPr>
        <w:jc w:val="both"/>
      </w:pPr>
      <w:r>
        <w:t>atliekanti skyriaus vedėjo funkcijas</w:t>
      </w:r>
      <w:r>
        <w:tab/>
      </w:r>
      <w:r>
        <w:tab/>
      </w:r>
      <w:r>
        <w:tab/>
      </w:r>
      <w:r w:rsidR="00DB0A13">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36E5B"/>
    <w:rsid w:val="000574C5"/>
    <w:rsid w:val="0008588E"/>
    <w:rsid w:val="000D1DCC"/>
    <w:rsid w:val="000F0524"/>
    <w:rsid w:val="001B3C37"/>
    <w:rsid w:val="00203071"/>
    <w:rsid w:val="0020356B"/>
    <w:rsid w:val="002A692D"/>
    <w:rsid w:val="002B7356"/>
    <w:rsid w:val="00362021"/>
    <w:rsid w:val="004516F7"/>
    <w:rsid w:val="005B4C35"/>
    <w:rsid w:val="005B7161"/>
    <w:rsid w:val="006074EE"/>
    <w:rsid w:val="00655BE2"/>
    <w:rsid w:val="00677AED"/>
    <w:rsid w:val="006E5039"/>
    <w:rsid w:val="00737F0A"/>
    <w:rsid w:val="007403C5"/>
    <w:rsid w:val="007B19C6"/>
    <w:rsid w:val="00825295"/>
    <w:rsid w:val="00856683"/>
    <w:rsid w:val="008819CC"/>
    <w:rsid w:val="008A1269"/>
    <w:rsid w:val="00916E97"/>
    <w:rsid w:val="009752B2"/>
    <w:rsid w:val="009A2E83"/>
    <w:rsid w:val="009A5D40"/>
    <w:rsid w:val="009C482A"/>
    <w:rsid w:val="00A74117"/>
    <w:rsid w:val="00A7794F"/>
    <w:rsid w:val="00B16F32"/>
    <w:rsid w:val="00B404F6"/>
    <w:rsid w:val="00B96E54"/>
    <w:rsid w:val="00BE61F1"/>
    <w:rsid w:val="00C41372"/>
    <w:rsid w:val="00D5658F"/>
    <w:rsid w:val="00D92C4E"/>
    <w:rsid w:val="00D947DA"/>
    <w:rsid w:val="00DB0A13"/>
    <w:rsid w:val="00DB1EB9"/>
    <w:rsid w:val="00DD0E2D"/>
    <w:rsid w:val="00DD2AA6"/>
    <w:rsid w:val="00E351C3"/>
    <w:rsid w:val="00E65C32"/>
    <w:rsid w:val="00E72028"/>
    <w:rsid w:val="00ED4EAE"/>
    <w:rsid w:val="00EF2AD4"/>
    <w:rsid w:val="00F52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3907</Words>
  <Characters>2227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40</cp:revision>
  <cp:lastPrinted>2016-12-14T09:50:00Z</cp:lastPrinted>
  <dcterms:created xsi:type="dcterms:W3CDTF">2016-12-12T11:34:00Z</dcterms:created>
  <dcterms:modified xsi:type="dcterms:W3CDTF">2016-12-14T09:37:00Z</dcterms:modified>
</cp:coreProperties>
</file>