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75" w:rsidRPr="007B5712" w:rsidRDefault="00967A75" w:rsidP="00967A75">
      <w:pPr>
        <w:jc w:val="center"/>
        <w:rPr>
          <w:b/>
          <w:sz w:val="24"/>
          <w:szCs w:val="24"/>
        </w:rPr>
      </w:pPr>
      <w:bookmarkStart w:id="0" w:name="_GoBack"/>
      <w:bookmarkEnd w:id="0"/>
      <w:r w:rsidRPr="007B5712">
        <w:rPr>
          <w:b/>
          <w:sz w:val="24"/>
          <w:szCs w:val="24"/>
        </w:rPr>
        <w:t xml:space="preserve">VIEŠOSIOS ĮSTAIGOS PANEVĖŽIO MIESTO </w:t>
      </w:r>
      <w:r w:rsidRPr="007B5712">
        <w:rPr>
          <w:rStyle w:val="Grietas"/>
          <w:sz w:val="24"/>
          <w:szCs w:val="24"/>
        </w:rPr>
        <w:t xml:space="preserve">GREITOSIOS MEDICINOS PAGALBOS STOTIES </w:t>
      </w:r>
      <w:r w:rsidRPr="007B5712">
        <w:rPr>
          <w:b/>
          <w:sz w:val="24"/>
          <w:szCs w:val="24"/>
        </w:rPr>
        <w:t>2018 METŲ PASIEKTŲ REIKŠMIŲ VERTINIMAS</w:t>
      </w:r>
    </w:p>
    <w:p w:rsidR="0095165C" w:rsidRPr="0095165C" w:rsidRDefault="0095165C" w:rsidP="0095165C">
      <w:pPr>
        <w:jc w:val="center"/>
        <w:rPr>
          <w:b/>
          <w:sz w:val="24"/>
          <w:szCs w:val="24"/>
        </w:rPr>
      </w:pPr>
      <w:r w:rsidRPr="0095165C">
        <w:rPr>
          <w:sz w:val="24"/>
          <w:szCs w:val="24"/>
        </w:rPr>
        <w:t xml:space="preserve">Vertinimas atliktas vadovaujantis </w:t>
      </w:r>
      <w:r w:rsidRPr="0095165C">
        <w:rPr>
          <w:color w:val="000000"/>
          <w:sz w:val="24"/>
          <w:szCs w:val="24"/>
        </w:rPr>
        <w:t>Lietuvos nacionalinės sveikatos sistemos</w:t>
      </w:r>
      <w:r w:rsidRPr="0095165C">
        <w:rPr>
          <w:caps/>
          <w:color w:val="000000"/>
          <w:sz w:val="24"/>
          <w:szCs w:val="24"/>
        </w:rPr>
        <w:t xml:space="preserve"> </w:t>
      </w:r>
      <w:r w:rsidRPr="0095165C">
        <w:rPr>
          <w:color w:val="000000"/>
          <w:sz w:val="24"/>
          <w:szCs w:val="24"/>
        </w:rPr>
        <w:t>viešųjų įstaigų</w:t>
      </w:r>
      <w:r w:rsidRPr="0095165C">
        <w:rPr>
          <w:caps/>
          <w:color w:val="000000"/>
          <w:sz w:val="24"/>
          <w:szCs w:val="24"/>
        </w:rPr>
        <w:t xml:space="preserve"> </w:t>
      </w:r>
      <w:r w:rsidRPr="0095165C">
        <w:rPr>
          <w:color w:val="000000"/>
          <w:sz w:val="24"/>
          <w:szCs w:val="24"/>
        </w:rPr>
        <w:t xml:space="preserve">vadovų ir jų pavaduotojų mėnesinės algos kintamosios dalies dydžio nustatymo tvarkos aprašu, patvirtintu </w:t>
      </w:r>
      <w:r w:rsidRPr="00FD517F">
        <w:rPr>
          <w:sz w:val="24"/>
          <w:szCs w:val="24"/>
          <w:lang w:eastAsia="lt-LT" w:bidi="ar-SA"/>
        </w:rPr>
        <w:t>Lietuvos Respublikos sveikatos apsaugos ministro 2019 m. kovo 25 d.</w:t>
      </w:r>
      <w:r w:rsidRPr="0095165C">
        <w:rPr>
          <w:sz w:val="24"/>
          <w:szCs w:val="24"/>
          <w:lang w:eastAsia="lt-LT" w:bidi="ar-SA"/>
        </w:rPr>
        <w:t xml:space="preserve"> </w:t>
      </w:r>
      <w:r w:rsidRPr="00FD517F">
        <w:rPr>
          <w:sz w:val="24"/>
          <w:szCs w:val="24"/>
          <w:lang w:eastAsia="lt-LT" w:bidi="ar-SA"/>
        </w:rPr>
        <w:t>įsakymu Nr. V-361</w:t>
      </w:r>
      <w:r w:rsidRPr="0095165C">
        <w:rPr>
          <w:sz w:val="24"/>
          <w:szCs w:val="24"/>
          <w:lang w:eastAsia="lt-LT" w:bidi="ar-SA"/>
        </w:rPr>
        <w:t xml:space="preserve">, vertinant </w:t>
      </w:r>
      <w:r w:rsidRPr="0095165C">
        <w:rPr>
          <w:color w:val="000000"/>
          <w:sz w:val="24"/>
          <w:szCs w:val="24"/>
        </w:rPr>
        <w:t xml:space="preserve"> </w:t>
      </w:r>
      <w:r w:rsidRPr="0095165C">
        <w:rPr>
          <w:sz w:val="24"/>
          <w:szCs w:val="24"/>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 nustatytų reikšmių pasiekimą</w:t>
      </w: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2461"/>
        <w:gridCol w:w="5953"/>
        <w:gridCol w:w="1980"/>
        <w:gridCol w:w="1363"/>
      </w:tblGrid>
      <w:tr w:rsidR="00257D8B"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Eil.</w:t>
            </w:r>
          </w:p>
          <w:p w:rsidR="00967A75" w:rsidRPr="007B5712" w:rsidRDefault="00967A75" w:rsidP="00257D8B">
            <w:pPr>
              <w:jc w:val="center"/>
              <w:rPr>
                <w:b/>
                <w:sz w:val="24"/>
                <w:szCs w:val="24"/>
              </w:rPr>
            </w:pPr>
            <w:r w:rsidRPr="007B5712">
              <w:rPr>
                <w:b/>
                <w:sz w:val="24"/>
                <w:szCs w:val="24"/>
              </w:rPr>
              <w:t>Nr.</w:t>
            </w:r>
          </w:p>
        </w:tc>
        <w:tc>
          <w:tcPr>
            <w:tcW w:w="2732" w:type="dxa"/>
            <w:shd w:val="clear" w:color="auto" w:fill="auto"/>
          </w:tcPr>
          <w:p w:rsidR="00967A75" w:rsidRPr="007B5712" w:rsidRDefault="00967A75" w:rsidP="00257D8B">
            <w:pPr>
              <w:jc w:val="center"/>
              <w:rPr>
                <w:b/>
                <w:sz w:val="24"/>
                <w:szCs w:val="24"/>
              </w:rPr>
            </w:pPr>
            <w:r w:rsidRPr="007B5712">
              <w:rPr>
                <w:b/>
                <w:sz w:val="24"/>
                <w:szCs w:val="24"/>
              </w:rPr>
              <w:t>Veiklos rezultatų vertinimo</w:t>
            </w:r>
          </w:p>
          <w:p w:rsidR="00967A75" w:rsidRPr="007B5712" w:rsidRDefault="00967A75" w:rsidP="00257D8B">
            <w:pPr>
              <w:jc w:val="center"/>
              <w:rPr>
                <w:b/>
                <w:sz w:val="24"/>
                <w:szCs w:val="24"/>
              </w:rPr>
            </w:pPr>
            <w:r w:rsidRPr="007B5712">
              <w:rPr>
                <w:b/>
                <w:sz w:val="24"/>
                <w:szCs w:val="24"/>
              </w:rPr>
              <w:t>rodiklis</w:t>
            </w:r>
          </w:p>
        </w:tc>
        <w:tc>
          <w:tcPr>
            <w:tcW w:w="2461" w:type="dxa"/>
            <w:shd w:val="clear" w:color="auto" w:fill="auto"/>
          </w:tcPr>
          <w:p w:rsidR="00967A75" w:rsidRPr="007B5712" w:rsidRDefault="00967A75" w:rsidP="00257D8B">
            <w:pPr>
              <w:tabs>
                <w:tab w:val="left" w:pos="480"/>
              </w:tabs>
              <w:jc w:val="center"/>
              <w:rPr>
                <w:b/>
                <w:sz w:val="24"/>
                <w:szCs w:val="24"/>
              </w:rPr>
            </w:pPr>
            <w:r w:rsidRPr="007B5712">
              <w:rPr>
                <w:b/>
                <w:sz w:val="24"/>
                <w:szCs w:val="24"/>
              </w:rPr>
              <w:t>Siektina reikšmė</w:t>
            </w:r>
          </w:p>
        </w:tc>
        <w:tc>
          <w:tcPr>
            <w:tcW w:w="5953" w:type="dxa"/>
            <w:shd w:val="clear" w:color="auto" w:fill="auto"/>
          </w:tcPr>
          <w:p w:rsidR="00967A75" w:rsidRPr="007B5712" w:rsidRDefault="00967A75" w:rsidP="00257D8B">
            <w:pPr>
              <w:jc w:val="center"/>
              <w:rPr>
                <w:b/>
                <w:sz w:val="24"/>
                <w:szCs w:val="24"/>
              </w:rPr>
            </w:pPr>
            <w:r w:rsidRPr="007B5712">
              <w:rPr>
                <w:b/>
                <w:sz w:val="24"/>
                <w:szCs w:val="24"/>
              </w:rPr>
              <w:t>Užduočių įvykdymo vertinimo kriterijai</w:t>
            </w:r>
          </w:p>
        </w:tc>
        <w:tc>
          <w:tcPr>
            <w:tcW w:w="1980" w:type="dxa"/>
            <w:shd w:val="clear" w:color="auto" w:fill="auto"/>
          </w:tcPr>
          <w:p w:rsidR="00967A75" w:rsidRPr="007B5712" w:rsidRDefault="00967A75" w:rsidP="00257D8B">
            <w:pPr>
              <w:jc w:val="center"/>
              <w:rPr>
                <w:b/>
                <w:sz w:val="24"/>
                <w:szCs w:val="24"/>
              </w:rPr>
            </w:pPr>
            <w:r w:rsidRPr="007B5712">
              <w:rPr>
                <w:b/>
                <w:sz w:val="24"/>
                <w:szCs w:val="24"/>
              </w:rPr>
              <w:t>Duomenys apie veiklos užduočių įvykdymą</w:t>
            </w:r>
          </w:p>
          <w:p w:rsidR="00967A75" w:rsidRPr="007B5712" w:rsidRDefault="00967A75" w:rsidP="00257D8B">
            <w:pPr>
              <w:jc w:val="center"/>
              <w:rPr>
                <w:b/>
                <w:sz w:val="24"/>
                <w:szCs w:val="24"/>
              </w:rPr>
            </w:pPr>
            <w:r w:rsidRPr="007B5712">
              <w:rPr>
                <w:b/>
                <w:sz w:val="24"/>
                <w:szCs w:val="24"/>
              </w:rPr>
              <w:t>2018 m.</w:t>
            </w:r>
          </w:p>
        </w:tc>
        <w:tc>
          <w:tcPr>
            <w:tcW w:w="1363" w:type="dxa"/>
            <w:shd w:val="clear" w:color="auto" w:fill="auto"/>
          </w:tcPr>
          <w:p w:rsidR="00967A75" w:rsidRPr="007B5712" w:rsidRDefault="00967A75" w:rsidP="00257D8B">
            <w:pPr>
              <w:jc w:val="center"/>
              <w:rPr>
                <w:b/>
                <w:sz w:val="24"/>
                <w:szCs w:val="24"/>
              </w:rPr>
            </w:pPr>
            <w:r w:rsidRPr="007B5712">
              <w:rPr>
                <w:b/>
                <w:sz w:val="24"/>
                <w:szCs w:val="24"/>
              </w:rPr>
              <w:t>Vertinimas</w:t>
            </w:r>
          </w:p>
          <w:p w:rsidR="00967A75" w:rsidRPr="007B5712" w:rsidRDefault="00967A75" w:rsidP="00257D8B">
            <w:pPr>
              <w:jc w:val="center"/>
              <w:rPr>
                <w:b/>
                <w:sz w:val="24"/>
                <w:szCs w:val="24"/>
              </w:rPr>
            </w:pPr>
            <w:r w:rsidRPr="007B5712">
              <w:rPr>
                <w:b/>
                <w:sz w:val="24"/>
                <w:szCs w:val="24"/>
              </w:rPr>
              <w:t>balais</w:t>
            </w:r>
          </w:p>
        </w:tc>
      </w:tr>
      <w:tr w:rsidR="00257D8B" w:rsidRPr="007B5712" w:rsidTr="00257D8B">
        <w:tc>
          <w:tcPr>
            <w:tcW w:w="710" w:type="dxa"/>
            <w:shd w:val="clear" w:color="auto" w:fill="auto"/>
          </w:tcPr>
          <w:p w:rsidR="00967A75" w:rsidRPr="007B5712" w:rsidRDefault="00967A75" w:rsidP="00257D8B">
            <w:pPr>
              <w:jc w:val="center"/>
              <w:rPr>
                <w:b/>
                <w:sz w:val="24"/>
                <w:szCs w:val="24"/>
              </w:rPr>
            </w:pPr>
            <w:r w:rsidRPr="007B5712">
              <w:rPr>
                <w:b/>
                <w:sz w:val="24"/>
                <w:szCs w:val="24"/>
              </w:rPr>
              <w:t>I</w:t>
            </w:r>
          </w:p>
        </w:tc>
        <w:tc>
          <w:tcPr>
            <w:tcW w:w="14489" w:type="dxa"/>
            <w:gridSpan w:val="5"/>
            <w:shd w:val="clear" w:color="auto" w:fill="auto"/>
          </w:tcPr>
          <w:p w:rsidR="00967A75" w:rsidRPr="007B5712" w:rsidRDefault="00967A75" w:rsidP="00257D8B">
            <w:pPr>
              <w:jc w:val="both"/>
              <w:rPr>
                <w:b/>
                <w:sz w:val="24"/>
                <w:szCs w:val="24"/>
              </w:rPr>
            </w:pPr>
            <w:r w:rsidRPr="007B5712">
              <w:rPr>
                <w:b/>
                <w:bCs/>
                <w:sz w:val="24"/>
                <w:szCs w:val="24"/>
              </w:rPr>
              <w:t>Veiklos finansinių rezultatų vertinimo rodikliai:</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praėjusių metų veiklos rezultatų ataskaitoje nurodytas pajamų ir sąnaudų skirtumas (grynasis perviršis ar deficitas)</w:t>
            </w:r>
          </w:p>
        </w:tc>
        <w:tc>
          <w:tcPr>
            <w:tcW w:w="2461" w:type="dxa"/>
            <w:shd w:val="clear" w:color="auto" w:fill="auto"/>
          </w:tcPr>
          <w:p w:rsidR="00967A75" w:rsidRPr="007B5712" w:rsidRDefault="00967A75" w:rsidP="00257D8B">
            <w:pPr>
              <w:jc w:val="both"/>
              <w:rPr>
                <w:sz w:val="24"/>
                <w:szCs w:val="24"/>
              </w:rPr>
            </w:pPr>
            <w:r w:rsidRPr="007B5712">
              <w:rPr>
                <w:sz w:val="24"/>
                <w:szCs w:val="24"/>
              </w:rPr>
              <w:t>Būti nenuostolingai</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r w:rsidRPr="007B5712">
              <w:rPr>
                <w:sz w:val="24"/>
                <w:szCs w:val="24"/>
              </w:rPr>
              <w:br/>
              <w:t>pajamas – sąnaudos</w:t>
            </w:r>
          </w:p>
          <w:p w:rsidR="00967A75" w:rsidRPr="007B5712" w:rsidRDefault="00967A75" w:rsidP="00257D8B">
            <w:pPr>
              <w:jc w:val="both"/>
              <w:rPr>
                <w:sz w:val="24"/>
                <w:szCs w:val="24"/>
              </w:rPr>
            </w:pPr>
          </w:p>
        </w:tc>
        <w:tc>
          <w:tcPr>
            <w:tcW w:w="1980" w:type="dxa"/>
            <w:shd w:val="clear" w:color="auto" w:fill="auto"/>
          </w:tcPr>
          <w:p w:rsidR="00967A75" w:rsidRPr="007B5712" w:rsidRDefault="00967A75" w:rsidP="00257D8B">
            <w:pPr>
              <w:jc w:val="both"/>
              <w:rPr>
                <w:sz w:val="24"/>
                <w:szCs w:val="24"/>
              </w:rPr>
            </w:pPr>
            <w:r w:rsidRPr="007B5712">
              <w:rPr>
                <w:sz w:val="24"/>
                <w:szCs w:val="24"/>
              </w:rPr>
              <w:t xml:space="preserve">Perviršis </w:t>
            </w:r>
            <w:r w:rsidRPr="007B5712">
              <w:rPr>
                <w:sz w:val="24"/>
                <w:szCs w:val="24"/>
              </w:rPr>
              <w:br/>
            </w:r>
            <w:r w:rsidR="009D07B0" w:rsidRPr="007B5712">
              <w:t>79 710,15</w:t>
            </w:r>
            <w:r w:rsidRPr="007B5712">
              <w:rPr>
                <w:rFonts w:eastAsia="Calibri"/>
                <w:sz w:val="24"/>
                <w:szCs w:val="24"/>
              </w:rPr>
              <w:t xml:space="preserve"> </w:t>
            </w:r>
            <w:r w:rsidRPr="007B5712">
              <w:rPr>
                <w:sz w:val="24"/>
                <w:szCs w:val="24"/>
              </w:rPr>
              <w:t>Eur</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darbo užmokesčiui dalis                </w:t>
            </w:r>
          </w:p>
        </w:tc>
        <w:tc>
          <w:tcPr>
            <w:tcW w:w="2461" w:type="dxa"/>
            <w:shd w:val="clear" w:color="auto" w:fill="auto"/>
          </w:tcPr>
          <w:p w:rsidR="00967A75" w:rsidRPr="007B5712" w:rsidRDefault="00967A75" w:rsidP="00257D8B">
            <w:pPr>
              <w:jc w:val="both"/>
              <w:rPr>
                <w:sz w:val="24"/>
                <w:szCs w:val="24"/>
              </w:rPr>
            </w:pPr>
            <w:r w:rsidRPr="007B5712">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taip: </w:t>
            </w:r>
          </w:p>
          <w:p w:rsidR="00967A75" w:rsidRPr="007B5712" w:rsidRDefault="00967A75" w:rsidP="00257D8B">
            <w:pPr>
              <w:jc w:val="both"/>
              <w:rPr>
                <w:sz w:val="24"/>
                <w:szCs w:val="24"/>
              </w:rPr>
            </w:pPr>
            <w:r w:rsidRPr="007B5712">
              <w:rPr>
                <w:sz w:val="24"/>
                <w:szCs w:val="24"/>
              </w:rPr>
              <w:t>apskaičiuojamas poliklinikos sveikatos priežiūros specialistams per ataskaitinį laikotarpį apskaičiuoto vidutinio vieno mėnesio darbo užmokesčio sumą dalijant iš poliklinikos vidutinio vieno mėnesio sveikatos priežiūros specialistų užimtų etatų, kuriems per ataskaitinį laikotarpį faktiškai apskaičiuotas darbo užmokestis, skaičiaus</w:t>
            </w:r>
          </w:p>
          <w:p w:rsidR="00967A75" w:rsidRPr="007B5712" w:rsidRDefault="00967A75" w:rsidP="00257D8B">
            <w:pPr>
              <w:jc w:val="both"/>
              <w:rPr>
                <w:sz w:val="24"/>
                <w:szCs w:val="24"/>
              </w:rPr>
            </w:pPr>
          </w:p>
        </w:tc>
        <w:tc>
          <w:tcPr>
            <w:tcW w:w="1980" w:type="dxa"/>
            <w:shd w:val="clear" w:color="auto" w:fill="auto"/>
          </w:tcPr>
          <w:p w:rsidR="00967A75" w:rsidRPr="007B5712" w:rsidRDefault="009D07B0" w:rsidP="00257D8B">
            <w:pPr>
              <w:jc w:val="both"/>
              <w:rPr>
                <w:sz w:val="24"/>
                <w:szCs w:val="24"/>
              </w:rPr>
            </w:pPr>
            <w:r w:rsidRPr="007B5712">
              <w:rPr>
                <w:szCs w:val="24"/>
              </w:rPr>
              <w:t>+ 23 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7B5712" w:rsidRPr="007B5712" w:rsidTr="00FA1CB6">
        <w:trPr>
          <w:trHeight w:val="1413"/>
        </w:trPr>
        <w:tc>
          <w:tcPr>
            <w:tcW w:w="710" w:type="dxa"/>
            <w:shd w:val="clear" w:color="auto" w:fill="auto"/>
          </w:tcPr>
          <w:p w:rsidR="00967A75" w:rsidRPr="007B5712" w:rsidRDefault="00967A75" w:rsidP="00257D8B">
            <w:pPr>
              <w:jc w:val="center"/>
              <w:rPr>
                <w:sz w:val="24"/>
                <w:szCs w:val="24"/>
              </w:rPr>
            </w:pPr>
            <w:r w:rsidRPr="007B5712">
              <w:rPr>
                <w:sz w:val="24"/>
                <w:szCs w:val="24"/>
              </w:rPr>
              <w:lastRenderedPageBreak/>
              <w:t>3.</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sąnaudų valdymo išlaidoms dalis                       </w:t>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Įstaigos sąnaudų valdymo išlaidoms dalis ne daugiau kaip </w:t>
            </w:r>
            <w:r w:rsidR="009D07B0" w:rsidRPr="007B5712">
              <w:rPr>
                <w:szCs w:val="24"/>
              </w:rPr>
              <w:t xml:space="preserve">10,33 </w:t>
            </w:r>
            <w:r w:rsidRPr="007B5712">
              <w:rPr>
                <w:sz w:val="24"/>
                <w:szCs w:val="24"/>
              </w:rPr>
              <w:t>proc.</w:t>
            </w:r>
          </w:p>
        </w:tc>
        <w:tc>
          <w:tcPr>
            <w:tcW w:w="5953" w:type="dxa"/>
            <w:shd w:val="clear" w:color="auto" w:fill="auto"/>
          </w:tcPr>
          <w:p w:rsidR="00967A75" w:rsidRPr="007B5712" w:rsidRDefault="00967A75" w:rsidP="00257D8B">
            <w:pPr>
              <w:jc w:val="both"/>
              <w:rPr>
                <w:sz w:val="24"/>
                <w:szCs w:val="24"/>
              </w:rPr>
            </w:pPr>
            <w:r w:rsidRPr="007B5712">
              <w:rPr>
                <w:sz w:val="24"/>
                <w:szCs w:val="24"/>
              </w:rPr>
              <w:t xml:space="preserve">Rodiklio reikšmė apskaičiuojama pagal formulę: </w:t>
            </w:r>
          </w:p>
          <w:p w:rsidR="00967A75" w:rsidRPr="007B5712" w:rsidRDefault="00967A75" w:rsidP="00257D8B">
            <w:pPr>
              <w:jc w:val="both"/>
              <w:rPr>
                <w:sz w:val="24"/>
                <w:szCs w:val="24"/>
              </w:rPr>
            </w:pPr>
            <w:r w:rsidRPr="007B5712">
              <w:rPr>
                <w:sz w:val="24"/>
                <w:szCs w:val="24"/>
              </w:rPr>
              <w:t xml:space="preserve">Valdymo darbuotojų per metus patirtų </w:t>
            </w:r>
          </w:p>
          <w:p w:rsidR="00967A75" w:rsidRPr="007B5712" w:rsidRDefault="00967A75" w:rsidP="00FA1CB6">
            <w:pPr>
              <w:jc w:val="both"/>
              <w:rPr>
                <w:sz w:val="24"/>
                <w:szCs w:val="24"/>
              </w:rPr>
            </w:pPr>
            <w:r w:rsidRPr="007B5712">
              <w:rPr>
                <w:sz w:val="24"/>
                <w:szCs w:val="24"/>
              </w:rPr>
              <w:t>išlaidų suma / (Pagrindinės poliklinikos veiklos sąnaudos per metus + kitos poliklinikos veiklos sąnaudos per metus) * 100%</w:t>
            </w:r>
          </w:p>
        </w:tc>
        <w:tc>
          <w:tcPr>
            <w:tcW w:w="1980" w:type="dxa"/>
            <w:shd w:val="clear" w:color="auto" w:fill="auto"/>
          </w:tcPr>
          <w:p w:rsidR="00967A75" w:rsidRPr="007B5712" w:rsidRDefault="009D07B0" w:rsidP="00257D8B">
            <w:pPr>
              <w:jc w:val="both"/>
              <w:rPr>
                <w:sz w:val="24"/>
                <w:szCs w:val="24"/>
              </w:rPr>
            </w:pPr>
            <w:r w:rsidRPr="007B5712">
              <w:rPr>
                <w:szCs w:val="24"/>
              </w:rPr>
              <w:t xml:space="preserve">3,05 </w:t>
            </w:r>
            <w:r w:rsidR="00967A75" w:rsidRPr="007B5712">
              <w:rPr>
                <w:rFonts w:eastAsia="Calibri"/>
                <w:sz w:val="24"/>
                <w:szCs w:val="24"/>
              </w:rPr>
              <w:t xml:space="preserve"> proc.</w:t>
            </w:r>
          </w:p>
        </w:tc>
        <w:tc>
          <w:tcPr>
            <w:tcW w:w="1363" w:type="dxa"/>
            <w:shd w:val="clear" w:color="auto" w:fill="auto"/>
          </w:tcPr>
          <w:p w:rsidR="00967A75" w:rsidRPr="007B5712" w:rsidRDefault="008B0705" w:rsidP="00257D8B">
            <w:pPr>
              <w:jc w:val="center"/>
              <w:rPr>
                <w:b/>
                <w:sz w:val="24"/>
                <w:szCs w:val="24"/>
              </w:rPr>
            </w:pPr>
            <w:r w:rsidRPr="007B5712">
              <w:rPr>
                <w:b/>
                <w:sz w:val="24"/>
                <w:szCs w:val="24"/>
              </w:rPr>
              <w:t>1</w:t>
            </w:r>
            <w:r w:rsidR="00967A75" w:rsidRPr="007B5712">
              <w:rPr>
                <w:b/>
                <w:sz w:val="24"/>
                <w:szCs w:val="24"/>
              </w:rPr>
              <w:t>0</w:t>
            </w:r>
          </w:p>
        </w:tc>
      </w:tr>
      <w:tr w:rsidR="007B5712" w:rsidRPr="007B5712" w:rsidTr="00FA1CB6">
        <w:trPr>
          <w:trHeight w:val="1180"/>
        </w:trPr>
        <w:tc>
          <w:tcPr>
            <w:tcW w:w="710" w:type="dxa"/>
            <w:shd w:val="clear" w:color="auto" w:fill="auto"/>
          </w:tcPr>
          <w:p w:rsidR="00967A75" w:rsidRPr="007B5712" w:rsidRDefault="00967A75" w:rsidP="00257D8B">
            <w:pPr>
              <w:jc w:val="center"/>
              <w:rPr>
                <w:sz w:val="24"/>
                <w:szCs w:val="24"/>
              </w:rPr>
            </w:pPr>
            <w:r w:rsidRPr="007B5712">
              <w:rPr>
                <w:sz w:val="24"/>
                <w:szCs w:val="24"/>
              </w:rPr>
              <w:t xml:space="preserve">4. </w:t>
            </w:r>
          </w:p>
        </w:tc>
        <w:tc>
          <w:tcPr>
            <w:tcW w:w="2732" w:type="dxa"/>
            <w:shd w:val="clear" w:color="auto" w:fill="auto"/>
          </w:tcPr>
          <w:p w:rsidR="00967A75" w:rsidRPr="007B5712" w:rsidRDefault="00967A75" w:rsidP="00257D8B">
            <w:pPr>
              <w:jc w:val="both"/>
              <w:rPr>
                <w:sz w:val="24"/>
                <w:szCs w:val="24"/>
              </w:rPr>
            </w:pPr>
            <w:r w:rsidRPr="007B5712">
              <w:rPr>
                <w:b/>
                <w:bCs/>
                <w:sz w:val="24"/>
                <w:szCs w:val="24"/>
              </w:rPr>
              <w:t>Įstaigos finansinių įsipareigojimų dalis nuo metinio įstaigos biudžeto</w:t>
            </w:r>
          </w:p>
        </w:tc>
        <w:tc>
          <w:tcPr>
            <w:tcW w:w="2461" w:type="dxa"/>
            <w:shd w:val="clear" w:color="auto" w:fill="auto"/>
          </w:tcPr>
          <w:p w:rsidR="00967A75" w:rsidRPr="007B5712" w:rsidRDefault="00967A75" w:rsidP="00257D8B">
            <w:pPr>
              <w:jc w:val="both"/>
              <w:rPr>
                <w:sz w:val="24"/>
                <w:szCs w:val="24"/>
              </w:rPr>
            </w:pPr>
            <w:r w:rsidRPr="007B5712">
              <w:rPr>
                <w:sz w:val="24"/>
                <w:szCs w:val="24"/>
              </w:rPr>
              <w:t>Absoliutus likvidumo rodiklis – nuo 0,5 iki 1</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trumpalaikių investicijų vertė (eurais) + Įstaigos pinigų ir pinigų ekvivalentų vertė (eurais)) / Įstaigos trumpalaikių įsipareigojimų vertė (eurais)</w:t>
            </w:r>
          </w:p>
        </w:tc>
        <w:tc>
          <w:tcPr>
            <w:tcW w:w="1980" w:type="dxa"/>
            <w:shd w:val="clear" w:color="auto" w:fill="auto"/>
          </w:tcPr>
          <w:p w:rsidR="00967A75" w:rsidRPr="007B5712" w:rsidRDefault="009D07B0" w:rsidP="00257D8B">
            <w:pPr>
              <w:jc w:val="both"/>
              <w:rPr>
                <w:sz w:val="24"/>
                <w:szCs w:val="24"/>
              </w:rPr>
            </w:pPr>
            <w:r w:rsidRPr="007B5712">
              <w:rPr>
                <w:sz w:val="24"/>
                <w:szCs w:val="24"/>
              </w:rPr>
              <w:t>2</w:t>
            </w:r>
          </w:p>
        </w:tc>
        <w:tc>
          <w:tcPr>
            <w:tcW w:w="1363" w:type="dxa"/>
            <w:shd w:val="clear" w:color="auto" w:fill="auto"/>
          </w:tcPr>
          <w:p w:rsidR="00967A75" w:rsidRPr="007B5712" w:rsidRDefault="00967A75" w:rsidP="00257D8B">
            <w:pPr>
              <w:jc w:val="center"/>
              <w:rPr>
                <w:b/>
                <w:sz w:val="24"/>
                <w:szCs w:val="24"/>
              </w:rPr>
            </w:pPr>
            <w:r w:rsidRPr="007B5712">
              <w:rPr>
                <w:b/>
                <w:sz w:val="24"/>
                <w:szCs w:val="24"/>
              </w:rPr>
              <w:t>5</w:t>
            </w:r>
          </w:p>
        </w:tc>
      </w:tr>
      <w:tr w:rsidR="007B5712" w:rsidRPr="007B5712" w:rsidTr="00FA1CB6">
        <w:trPr>
          <w:trHeight w:val="573"/>
        </w:trPr>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sz w:val="24"/>
                <w:szCs w:val="24"/>
              </w:rPr>
              <w:t>Papildomų finansavimo šaltinių pritraukimas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tabs>
                <w:tab w:val="left" w:pos="3820"/>
              </w:tabs>
              <w:jc w:val="both"/>
              <w:rPr>
                <w:sz w:val="24"/>
                <w:szCs w:val="24"/>
              </w:rPr>
            </w:pPr>
            <w:r w:rsidRPr="007B5712">
              <w:rPr>
                <w:sz w:val="24"/>
                <w:szCs w:val="24"/>
              </w:rPr>
              <w:t>Nenustatyta</w:t>
            </w:r>
          </w:p>
        </w:tc>
        <w:tc>
          <w:tcPr>
            <w:tcW w:w="1980" w:type="dxa"/>
            <w:shd w:val="clear" w:color="auto" w:fill="auto"/>
          </w:tcPr>
          <w:p w:rsidR="00967A75" w:rsidRPr="007B5712" w:rsidRDefault="009D07B0" w:rsidP="00257D8B">
            <w:pPr>
              <w:jc w:val="both"/>
              <w:rPr>
                <w:sz w:val="24"/>
                <w:szCs w:val="24"/>
              </w:rPr>
            </w:pPr>
            <w:r w:rsidRPr="007B5712">
              <w:rPr>
                <w:szCs w:val="24"/>
              </w:rPr>
              <w:t>24.873,37 Eur</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rPr>
          <w:trHeight w:val="349"/>
        </w:trPr>
        <w:tc>
          <w:tcPr>
            <w:tcW w:w="710" w:type="dxa"/>
            <w:shd w:val="clear" w:color="auto" w:fill="auto"/>
          </w:tcPr>
          <w:p w:rsidR="00967A75" w:rsidRPr="007B5712" w:rsidRDefault="00967A75" w:rsidP="00257D8B">
            <w:pPr>
              <w:jc w:val="center"/>
              <w:rPr>
                <w:sz w:val="24"/>
                <w:szCs w:val="24"/>
              </w:rPr>
            </w:pPr>
            <w:r w:rsidRPr="007B5712">
              <w:rPr>
                <w:sz w:val="24"/>
                <w:szCs w:val="24"/>
              </w:rPr>
              <w:t>II</w:t>
            </w:r>
          </w:p>
        </w:tc>
        <w:tc>
          <w:tcPr>
            <w:tcW w:w="14489" w:type="dxa"/>
            <w:gridSpan w:val="5"/>
            <w:shd w:val="clear" w:color="auto" w:fill="auto"/>
          </w:tcPr>
          <w:p w:rsidR="00967A75" w:rsidRPr="007B5712" w:rsidRDefault="00967A75" w:rsidP="00257D8B">
            <w:pPr>
              <w:jc w:val="both"/>
              <w:rPr>
                <w:b/>
                <w:sz w:val="24"/>
                <w:szCs w:val="24"/>
              </w:rPr>
            </w:pPr>
            <w:r w:rsidRPr="007B5712">
              <w:rPr>
                <w:b/>
                <w:bCs/>
                <w:sz w:val="24"/>
                <w:szCs w:val="24"/>
              </w:rPr>
              <w:t>Veiklos rezultatų vertinimo rodikliai:</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w:t>
            </w:r>
          </w:p>
        </w:tc>
        <w:tc>
          <w:tcPr>
            <w:tcW w:w="2732" w:type="dxa"/>
            <w:shd w:val="clear" w:color="auto" w:fill="auto"/>
          </w:tcPr>
          <w:p w:rsidR="00967A75" w:rsidRPr="007B5712" w:rsidRDefault="00967A75" w:rsidP="00257D8B">
            <w:pPr>
              <w:jc w:val="both"/>
              <w:rPr>
                <w:b/>
                <w:sz w:val="24"/>
                <w:szCs w:val="24"/>
              </w:rPr>
            </w:pPr>
            <w:r w:rsidRPr="007B5712">
              <w:rPr>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D07B0" w:rsidRPr="007B5712" w:rsidRDefault="009D07B0" w:rsidP="009D07B0">
            <w:pPr>
              <w:jc w:val="center"/>
              <w:rPr>
                <w:szCs w:val="24"/>
              </w:rPr>
            </w:pPr>
            <w:r w:rsidRPr="007B5712">
              <w:rPr>
                <w:szCs w:val="24"/>
              </w:rPr>
              <w:t>100 proc.</w:t>
            </w:r>
          </w:p>
          <w:p w:rsidR="00967A75" w:rsidRPr="007B5712" w:rsidRDefault="00967A75" w:rsidP="00257D8B">
            <w:pPr>
              <w:jc w:val="both"/>
              <w:rPr>
                <w:sz w:val="24"/>
                <w:szCs w:val="24"/>
              </w:rPr>
            </w:pP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p w:rsidR="00967A75" w:rsidRPr="007B5712" w:rsidRDefault="00967A75" w:rsidP="00257D8B">
            <w:pPr>
              <w:rPr>
                <w:sz w:val="24"/>
                <w:szCs w:val="24"/>
              </w:rPr>
            </w:pP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2.</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 xml:space="preserve">Įstaigoje gautų pacientų skundų dėl įstaigoje suteiktų asmens sveikatos priežiūros paslaugų skaičius per </w:t>
            </w:r>
            <w:r w:rsidRPr="007B5712">
              <w:rPr>
                <w:b/>
                <w:sz w:val="24"/>
                <w:szCs w:val="24"/>
              </w:rPr>
              <w:lastRenderedPageBreak/>
              <w:t>metus ir pagrįstų skundų dalis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9D07B0" w:rsidP="00257D8B">
            <w:pPr>
              <w:jc w:val="both"/>
              <w:rPr>
                <w:sz w:val="24"/>
                <w:szCs w:val="24"/>
              </w:rPr>
            </w:pPr>
            <w:r w:rsidRPr="007B5712">
              <w:rPr>
                <w:szCs w:val="24"/>
              </w:rPr>
              <w:t>skundų negauta</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3.</w:t>
            </w:r>
            <w:r w:rsidRPr="007B5712">
              <w:rPr>
                <w:bCs/>
                <w:sz w:val="24"/>
                <w:szCs w:val="24"/>
              </w:rPr>
              <w:t xml:space="preserve"> </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gautų pagrįstų skundų dalis nuo visų įstaigoje suteiktų asmens sveikatos priežiūros paslaugų skaičiaus per metus pagal sveikatos apsaugos ministro nustatytas paslaugų grupes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9D07B0" w:rsidP="00257D8B">
            <w:pPr>
              <w:jc w:val="both"/>
              <w:rPr>
                <w:szCs w:val="24"/>
              </w:rPr>
            </w:pPr>
            <w:r w:rsidRPr="007B5712">
              <w:rPr>
                <w:szCs w:val="24"/>
              </w:rPr>
              <w:t>skundų negauta</w:t>
            </w:r>
            <w:r w:rsidR="008B0705" w:rsidRPr="007B5712">
              <w:rPr>
                <w:szCs w:val="24"/>
              </w:rPr>
              <w:t>.</w:t>
            </w:r>
          </w:p>
          <w:p w:rsidR="008B0705" w:rsidRPr="007B5712" w:rsidRDefault="008B0705" w:rsidP="008B0705">
            <w:pPr>
              <w:jc w:val="both"/>
              <w:rPr>
                <w:sz w:val="24"/>
                <w:szCs w:val="24"/>
              </w:rPr>
            </w:pPr>
            <w:r w:rsidRPr="007B5712">
              <w:rPr>
                <w:szCs w:val="24"/>
              </w:rPr>
              <w:t>Aptarnautų kvietimų skaičius aptarnaujamoje teritorijoje -  89789</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4.</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taikomos kovos su korupcija priemonės, numatytos sveikatos apsaugos ministro tvirtinamoje Sveikatos priežiūros srities korupcijos prevencijos programoje</w:t>
            </w:r>
          </w:p>
        </w:tc>
        <w:tc>
          <w:tcPr>
            <w:tcW w:w="2461" w:type="dxa"/>
            <w:shd w:val="clear" w:color="auto" w:fill="auto"/>
          </w:tcPr>
          <w:p w:rsidR="00967A75" w:rsidRPr="007B5712" w:rsidRDefault="00967A75" w:rsidP="00257D8B">
            <w:pPr>
              <w:jc w:val="both"/>
              <w:rPr>
                <w:sz w:val="24"/>
                <w:szCs w:val="24"/>
              </w:rPr>
            </w:pPr>
            <w:r w:rsidRPr="007B5712">
              <w:rPr>
                <w:sz w:val="24"/>
                <w:szCs w:val="24"/>
              </w:rPr>
              <w:t>Suteiktas Skaidrios asmens sveikatos priežiūros įstaigos vardas</w:t>
            </w:r>
          </w:p>
        </w:tc>
        <w:tc>
          <w:tcPr>
            <w:tcW w:w="5953" w:type="dxa"/>
            <w:shd w:val="clear" w:color="auto" w:fill="auto"/>
          </w:tcPr>
          <w:p w:rsidR="00967A75" w:rsidRPr="007B5712" w:rsidRDefault="00967A75" w:rsidP="00257D8B">
            <w:pPr>
              <w:jc w:val="both"/>
              <w:rPr>
                <w:sz w:val="24"/>
                <w:szCs w:val="24"/>
              </w:rPr>
            </w:pPr>
            <w:r w:rsidRPr="007B5712">
              <w:rPr>
                <w:sz w:val="24"/>
                <w:szCs w:val="24"/>
              </w:rPr>
              <w:t>Skaidrios asmens sveikatos priežiūros įstaigos vardas įstaigoms suteikiamas vadovaujantis Skaidrios asmens sveikatos priežiūros įstaigos vardo suteikimo tvarko aprašu, patvirtintu Lietuvos Respublikos sveikatos apsaugos ministro 2015 m. sausio 26 d. įsakymu Nr. V-65 „Dėl Skaidrios asmens sveikatos priežiūros įstaigos vardo suteikimo tvarkos aprašo patvirtinimo“.</w:t>
            </w:r>
          </w:p>
        </w:tc>
        <w:tc>
          <w:tcPr>
            <w:tcW w:w="1980" w:type="dxa"/>
            <w:shd w:val="clear" w:color="auto" w:fill="auto"/>
          </w:tcPr>
          <w:p w:rsidR="00967A75" w:rsidRPr="007B5712" w:rsidRDefault="00A75DE7" w:rsidP="00257D8B">
            <w:pPr>
              <w:jc w:val="both"/>
              <w:rPr>
                <w:sz w:val="24"/>
                <w:szCs w:val="24"/>
              </w:rPr>
            </w:pPr>
            <w:r>
              <w:rPr>
                <w:rFonts w:eastAsia="Calibri"/>
                <w:sz w:val="24"/>
                <w:szCs w:val="24"/>
              </w:rPr>
              <w:t xml:space="preserve">Įstaiga surinko  109 balus, o tai atitinka </w:t>
            </w:r>
            <w:r>
              <w:rPr>
                <w:sz w:val="24"/>
                <w:szCs w:val="24"/>
              </w:rPr>
              <w:t>kandidato skaidrios asmens sveikatos priežiūros įstaigos vardui gauti keliamus reikalavimus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5</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5.</w:t>
            </w:r>
          </w:p>
        </w:tc>
        <w:tc>
          <w:tcPr>
            <w:tcW w:w="2732" w:type="dxa"/>
            <w:shd w:val="clear" w:color="auto" w:fill="auto"/>
          </w:tcPr>
          <w:p w:rsidR="00967A75" w:rsidRPr="007B5712" w:rsidRDefault="00967A75" w:rsidP="00257D8B">
            <w:pPr>
              <w:jc w:val="both"/>
              <w:rPr>
                <w:sz w:val="24"/>
                <w:szCs w:val="24"/>
              </w:rPr>
            </w:pPr>
            <w:r w:rsidRPr="007B5712">
              <w:rPr>
                <w:b/>
                <w:sz w:val="24"/>
                <w:szCs w:val="24"/>
              </w:rPr>
              <w:t>Konsoliduotų viešųjų pirkimų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 mažiau kaip 1</w:t>
            </w:r>
          </w:p>
        </w:tc>
        <w:tc>
          <w:tcPr>
            <w:tcW w:w="5953" w:type="dxa"/>
            <w:shd w:val="clear" w:color="auto" w:fill="auto"/>
          </w:tcPr>
          <w:p w:rsidR="00967A75" w:rsidRPr="007B5712" w:rsidRDefault="00967A75" w:rsidP="00257D8B">
            <w:pPr>
              <w:jc w:val="both"/>
              <w:rPr>
                <w:sz w:val="24"/>
                <w:szCs w:val="24"/>
              </w:rPr>
            </w:pPr>
            <w:r w:rsidRPr="007B5712">
              <w:rPr>
                <w:b/>
                <w:bCs/>
                <w:sz w:val="24"/>
                <w:szCs w:val="24"/>
              </w:rPr>
              <w:t>Konsoliduotas pirkimas</w:t>
            </w:r>
            <w:r w:rsidRPr="007B5712">
              <w:rPr>
                <w:sz w:val="24"/>
                <w:szCs w:val="24"/>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980" w:type="dxa"/>
            <w:shd w:val="clear" w:color="auto" w:fill="auto"/>
          </w:tcPr>
          <w:p w:rsidR="00967A75" w:rsidRPr="007B5712" w:rsidRDefault="00967A75" w:rsidP="00257D8B">
            <w:pPr>
              <w:jc w:val="both"/>
              <w:rPr>
                <w:sz w:val="24"/>
                <w:szCs w:val="24"/>
              </w:rPr>
            </w:pPr>
            <w:r w:rsidRPr="007B5712">
              <w:rPr>
                <w:sz w:val="24"/>
                <w:szCs w:val="24"/>
              </w:rPr>
              <w:t>1</w:t>
            </w:r>
          </w:p>
        </w:tc>
        <w:tc>
          <w:tcPr>
            <w:tcW w:w="1363" w:type="dxa"/>
            <w:shd w:val="clear" w:color="auto" w:fill="auto"/>
          </w:tcPr>
          <w:p w:rsidR="00967A75" w:rsidRPr="007B5712" w:rsidRDefault="00967A75" w:rsidP="00257D8B">
            <w:pPr>
              <w:jc w:val="center"/>
              <w:rPr>
                <w:b/>
                <w:sz w:val="24"/>
                <w:szCs w:val="24"/>
              </w:rPr>
            </w:pPr>
            <w:r w:rsidRPr="007B5712">
              <w:rPr>
                <w:b/>
                <w:sz w:val="24"/>
                <w:szCs w:val="24"/>
              </w:rPr>
              <w:t>10</w:t>
            </w:r>
          </w:p>
        </w:tc>
      </w:tr>
      <w:tr w:rsidR="00257D8B" w:rsidRPr="007B5712" w:rsidTr="00715F01">
        <w:trPr>
          <w:trHeight w:val="549"/>
        </w:trPr>
        <w:tc>
          <w:tcPr>
            <w:tcW w:w="710" w:type="dxa"/>
            <w:shd w:val="clear" w:color="auto" w:fill="auto"/>
          </w:tcPr>
          <w:p w:rsidR="00967A75" w:rsidRPr="007B5712" w:rsidRDefault="00967A75" w:rsidP="00257D8B">
            <w:pPr>
              <w:jc w:val="center"/>
              <w:rPr>
                <w:sz w:val="24"/>
                <w:szCs w:val="24"/>
              </w:rPr>
            </w:pPr>
            <w:r w:rsidRPr="007B5712">
              <w:rPr>
                <w:sz w:val="24"/>
                <w:szCs w:val="24"/>
              </w:rPr>
              <w:t>6.</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Centrinę perkančiąją organizaciją (toliau – VšĮ CPO), skaičius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 xml:space="preserve">Įstaigos per 2018 m. atliktų viešojo pirkimo objektų (prekių, paslaugų ar darbų) pirkimų skaičius per VšĮ CPO LT elektroninį katalogą/ Įstaigos per 2018 m. atliktų viešojo pirkimo objektų (prekių, paslaugų ar darbų), kuriuos galima </w:t>
            </w:r>
            <w:r w:rsidRPr="007B5712">
              <w:rPr>
                <w:sz w:val="24"/>
                <w:szCs w:val="24"/>
              </w:rPr>
              <w:lastRenderedPageBreak/>
              <w:t>įsigyti per VšĮ CPO LT elektroninį katalogą, pirkimų skaičius*100</w:t>
            </w:r>
          </w:p>
        </w:tc>
        <w:tc>
          <w:tcPr>
            <w:tcW w:w="1980" w:type="dxa"/>
            <w:shd w:val="clear" w:color="auto" w:fill="auto"/>
          </w:tcPr>
          <w:p w:rsidR="00967A75" w:rsidRPr="007B5712" w:rsidRDefault="009D07B0" w:rsidP="00257D8B">
            <w:pPr>
              <w:jc w:val="both"/>
              <w:rPr>
                <w:sz w:val="24"/>
                <w:szCs w:val="24"/>
              </w:rPr>
            </w:pPr>
            <w:r w:rsidRPr="007B5712">
              <w:rPr>
                <w:szCs w:val="24"/>
              </w:rPr>
              <w:lastRenderedPageBreak/>
              <w:t>38,5</w:t>
            </w:r>
            <w:r w:rsidRPr="007B5712">
              <w:t xml:space="preserve"> </w:t>
            </w:r>
            <w:r w:rsidRPr="007B5712">
              <w:rPr>
                <w:szCs w:val="24"/>
              </w:rPr>
              <w:t>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rPr>
          <w:trHeight w:val="1690"/>
        </w:trPr>
        <w:tc>
          <w:tcPr>
            <w:tcW w:w="710" w:type="dxa"/>
            <w:shd w:val="clear" w:color="auto" w:fill="auto"/>
          </w:tcPr>
          <w:p w:rsidR="00967A75" w:rsidRPr="007B5712" w:rsidRDefault="00967A75" w:rsidP="00257D8B">
            <w:pPr>
              <w:jc w:val="center"/>
              <w:rPr>
                <w:sz w:val="24"/>
                <w:szCs w:val="24"/>
              </w:rPr>
            </w:pPr>
            <w:r w:rsidRPr="007B5712">
              <w:rPr>
                <w:sz w:val="24"/>
                <w:szCs w:val="24"/>
              </w:rPr>
              <w:t>7.</w:t>
            </w:r>
          </w:p>
        </w:tc>
        <w:tc>
          <w:tcPr>
            <w:tcW w:w="2732" w:type="dxa"/>
            <w:shd w:val="clear" w:color="auto" w:fill="auto"/>
          </w:tcPr>
          <w:p w:rsidR="00967A75" w:rsidRPr="007B5712" w:rsidRDefault="00967A75" w:rsidP="00257D8B">
            <w:pPr>
              <w:jc w:val="both"/>
              <w:rPr>
                <w:sz w:val="24"/>
                <w:szCs w:val="24"/>
              </w:rPr>
            </w:pPr>
            <w:r w:rsidRPr="007B5712">
              <w:rPr>
                <w:b/>
                <w:sz w:val="24"/>
                <w:szCs w:val="24"/>
              </w:rPr>
              <w:t>Viešųjų pirkimų, vykdomų per VšĮ CPO, pirkimų vertė</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vAlign w:val="center"/>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Įstaigos per 2018 m. atliktų viešojo pirkimo objektų (prekių, paslaugų ar darbų) pirkimų vertė EUR per VšĮ CPO LT elektroninį katalogą/ Įstaigos per 2018 m. atliktų viešojo pirkimo objektų (prekių, paslaugų ar darbų), kuriuos galima įsigyti per VšĮ CPO LT elektroninį katalogą, pirkimų vertė EUR*100</w:t>
            </w:r>
          </w:p>
        </w:tc>
        <w:tc>
          <w:tcPr>
            <w:tcW w:w="1980" w:type="dxa"/>
            <w:shd w:val="clear" w:color="auto" w:fill="auto"/>
          </w:tcPr>
          <w:p w:rsidR="00967A75" w:rsidRPr="007B5712" w:rsidRDefault="009D07B0" w:rsidP="00257D8B">
            <w:pPr>
              <w:jc w:val="both"/>
              <w:rPr>
                <w:sz w:val="24"/>
                <w:szCs w:val="24"/>
              </w:rPr>
            </w:pPr>
            <w:r w:rsidRPr="007B5712">
              <w:rPr>
                <w:szCs w:val="24"/>
              </w:rPr>
              <w:t>61,3</w:t>
            </w:r>
            <w:r w:rsidRPr="007B5712">
              <w:t xml:space="preserve"> </w:t>
            </w:r>
            <w:r w:rsidRPr="007B5712">
              <w:rPr>
                <w:szCs w:val="24"/>
              </w:rPr>
              <w:t>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8.</w:t>
            </w:r>
          </w:p>
        </w:tc>
        <w:tc>
          <w:tcPr>
            <w:tcW w:w="2732" w:type="dxa"/>
            <w:shd w:val="clear" w:color="auto" w:fill="auto"/>
          </w:tcPr>
          <w:p w:rsidR="00967A75" w:rsidRPr="007B5712" w:rsidRDefault="00967A75" w:rsidP="00257D8B">
            <w:pPr>
              <w:jc w:val="both"/>
              <w:rPr>
                <w:sz w:val="24"/>
                <w:szCs w:val="24"/>
              </w:rPr>
            </w:pPr>
            <w:r w:rsidRPr="007B5712">
              <w:rPr>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 xml:space="preserve">Ne mažiau kaip </w:t>
            </w:r>
            <w:r w:rsidRPr="007B5712">
              <w:rPr>
                <w:sz w:val="24"/>
                <w:szCs w:val="24"/>
              </w:rPr>
              <w:br/>
              <w:t>50 proc. visų kompensuojamųjų vaistų ir medicinos pagalbos priemonių (toliau – MPP) receptų yra elektroniniai</w:t>
            </w:r>
          </w:p>
        </w:tc>
        <w:tc>
          <w:tcPr>
            <w:tcW w:w="5953" w:type="dxa"/>
            <w:shd w:val="clear" w:color="auto" w:fill="auto"/>
          </w:tcPr>
          <w:p w:rsidR="00967A75" w:rsidRPr="007B5712" w:rsidRDefault="00967A75" w:rsidP="00257D8B">
            <w:pPr>
              <w:jc w:val="both"/>
              <w:rPr>
                <w:sz w:val="24"/>
                <w:szCs w:val="24"/>
              </w:rPr>
            </w:pPr>
            <w:r w:rsidRPr="007B5712">
              <w:rPr>
                <w:sz w:val="24"/>
                <w:szCs w:val="24"/>
              </w:rPr>
              <w:t>Rodiklio reikšmė apskaičiuojama:</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rPr>
              <w:t>2018 m. elektroninių kompensuojamųjų vaistų ir MPP receptų skaičius/2018 m. visų kompensuojamųjų vaistų ir MPP receptų skaičius*100</w:t>
            </w:r>
          </w:p>
          <w:p w:rsidR="00967A75" w:rsidRPr="007B5712" w:rsidRDefault="00967A75" w:rsidP="00257D8B">
            <w:pPr>
              <w:jc w:val="both"/>
              <w:rPr>
                <w:sz w:val="24"/>
                <w:szCs w:val="24"/>
              </w:rPr>
            </w:pPr>
          </w:p>
        </w:tc>
        <w:tc>
          <w:tcPr>
            <w:tcW w:w="1980" w:type="dxa"/>
            <w:shd w:val="clear" w:color="auto" w:fill="auto"/>
          </w:tcPr>
          <w:p w:rsidR="009D07B0" w:rsidRPr="007B5712" w:rsidRDefault="009D07B0" w:rsidP="009D07B0">
            <w:pPr>
              <w:jc w:val="both"/>
              <w:rPr>
                <w:szCs w:val="24"/>
              </w:rPr>
            </w:pPr>
            <w:r w:rsidRPr="007B5712">
              <w:rPr>
                <w:szCs w:val="24"/>
              </w:rPr>
              <w:t>Pagal Įstaigos veiklos specifiką nėra išrašomi kompensuojamieji vaistai ir MPP receptai.</w:t>
            </w:r>
          </w:p>
          <w:p w:rsidR="00967A75" w:rsidRPr="007B5712" w:rsidRDefault="00967A75" w:rsidP="00257D8B">
            <w:pPr>
              <w:jc w:val="both"/>
              <w:rPr>
                <w:sz w:val="24"/>
                <w:szCs w:val="24"/>
              </w:rPr>
            </w:pPr>
          </w:p>
        </w:tc>
        <w:tc>
          <w:tcPr>
            <w:tcW w:w="1363" w:type="dxa"/>
            <w:shd w:val="clear" w:color="auto" w:fill="auto"/>
          </w:tcPr>
          <w:p w:rsidR="00967A75" w:rsidRPr="007B5712" w:rsidRDefault="009D07B0" w:rsidP="00257D8B">
            <w:pPr>
              <w:jc w:val="center"/>
              <w:rPr>
                <w:b/>
                <w:sz w:val="24"/>
                <w:szCs w:val="24"/>
              </w:rPr>
            </w:pPr>
            <w:r w:rsidRPr="007B5712">
              <w:rPr>
                <w:b/>
                <w:sz w:val="24"/>
                <w:szCs w:val="24"/>
              </w:rPr>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9.</w:t>
            </w:r>
          </w:p>
        </w:tc>
        <w:tc>
          <w:tcPr>
            <w:tcW w:w="2732" w:type="dxa"/>
            <w:shd w:val="clear" w:color="auto" w:fill="auto"/>
            <w:vAlign w:val="center"/>
          </w:tcPr>
          <w:p w:rsidR="00967A75" w:rsidRPr="007B5712" w:rsidRDefault="00967A75" w:rsidP="00257D8B">
            <w:pPr>
              <w:jc w:val="both"/>
              <w:rPr>
                <w:b/>
                <w:sz w:val="24"/>
                <w:szCs w:val="24"/>
              </w:rPr>
            </w:pPr>
            <w:r w:rsidRPr="007B5712">
              <w:rPr>
                <w:b/>
                <w:sz w:val="24"/>
                <w:szCs w:val="24"/>
              </w:rPr>
              <w:t>Įstaigoje suteiktų asmens sveikatos priežiūros paslaugų skaičius per ketvirtį ir per metus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rFonts w:eastAsia="Calibri"/>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rFonts w:eastAsia="Calibri"/>
                <w:sz w:val="24"/>
                <w:szCs w:val="24"/>
              </w:rPr>
              <w:t>Nenustatyta</w:t>
            </w:r>
          </w:p>
        </w:tc>
        <w:tc>
          <w:tcPr>
            <w:tcW w:w="1980" w:type="dxa"/>
            <w:shd w:val="clear" w:color="auto" w:fill="auto"/>
          </w:tcPr>
          <w:p w:rsidR="008B0705" w:rsidRPr="007B5712" w:rsidRDefault="008B0705" w:rsidP="008B0705">
            <w:pPr>
              <w:jc w:val="center"/>
              <w:rPr>
                <w:szCs w:val="24"/>
              </w:rPr>
            </w:pPr>
            <w:r w:rsidRPr="007B5712">
              <w:rPr>
                <w:szCs w:val="24"/>
              </w:rPr>
              <w:t xml:space="preserve">Aptarnautų kvietimų skaičius aptarnaujamoje teritorijoje -  </w:t>
            </w:r>
          </w:p>
          <w:p w:rsidR="008B0705" w:rsidRPr="007B5712" w:rsidRDefault="008B0705" w:rsidP="008B0705">
            <w:pPr>
              <w:jc w:val="center"/>
              <w:rPr>
                <w:szCs w:val="24"/>
              </w:rPr>
            </w:pPr>
            <w:r w:rsidRPr="007B5712">
              <w:rPr>
                <w:szCs w:val="24"/>
              </w:rPr>
              <w:t>89789</w:t>
            </w:r>
          </w:p>
          <w:p w:rsidR="00967A75" w:rsidRPr="007B5712" w:rsidRDefault="00967A75" w:rsidP="00257D8B">
            <w:pPr>
              <w:jc w:val="both"/>
              <w:rPr>
                <w:sz w:val="24"/>
                <w:szCs w:val="24"/>
              </w:rPr>
            </w:pP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10.</w:t>
            </w:r>
          </w:p>
        </w:tc>
        <w:tc>
          <w:tcPr>
            <w:tcW w:w="2732" w:type="dxa"/>
            <w:shd w:val="clear" w:color="auto" w:fill="auto"/>
          </w:tcPr>
          <w:p w:rsidR="00967A75" w:rsidRPr="007B5712" w:rsidRDefault="00967A75" w:rsidP="00257D8B">
            <w:pPr>
              <w:jc w:val="both"/>
              <w:rPr>
                <w:b/>
                <w:sz w:val="24"/>
                <w:szCs w:val="24"/>
              </w:rPr>
            </w:pPr>
            <w:r w:rsidRPr="007B5712">
              <w:rPr>
                <w:b/>
                <w:sz w:val="24"/>
                <w:szCs w:val="24"/>
              </w:rPr>
              <w:t xml:space="preserve">Vidutinis laikas nuo paciento kreipimosi į įstaigą dėl asmens sveikatos priežiūros </w:t>
            </w:r>
            <w:r w:rsidRPr="007B5712">
              <w:rPr>
                <w:b/>
                <w:sz w:val="24"/>
                <w:szCs w:val="24"/>
              </w:rPr>
              <w:lastRenderedPageBreak/>
              <w:t>paslaugos suteikimo momento iki paskirto paslaugos gavimo laiko pagal sveikatos apsaugos ministro nustatytas paslaugų grupes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967A75" w:rsidRPr="007B5712" w:rsidRDefault="008B0705" w:rsidP="00257D8B">
            <w:pPr>
              <w:jc w:val="both"/>
              <w:rPr>
                <w:sz w:val="24"/>
                <w:szCs w:val="24"/>
              </w:rPr>
            </w:pPr>
            <w:r w:rsidRPr="007B5712">
              <w:rPr>
                <w:szCs w:val="24"/>
              </w:rPr>
              <w:t xml:space="preserve">Į I kategorijos GMP kvietimus mieste nuvykstama per 15 min., skaičiuojant nuo skambučio priėmimo </w:t>
            </w:r>
            <w:r w:rsidRPr="007B5712">
              <w:rPr>
                <w:szCs w:val="24"/>
              </w:rPr>
              <w:lastRenderedPageBreak/>
              <w:t xml:space="preserve">iki nuvykimo - </w:t>
            </w:r>
            <w:r w:rsidRPr="007B5712">
              <w:t xml:space="preserve"> </w:t>
            </w:r>
            <w:r w:rsidRPr="007B5712">
              <w:rPr>
                <w:szCs w:val="24"/>
              </w:rPr>
              <w:t>97,2</w:t>
            </w:r>
            <w:r w:rsidRPr="007B5712">
              <w:t xml:space="preserve"> </w:t>
            </w:r>
            <w:r w:rsidRPr="007B5712">
              <w:rPr>
                <w:szCs w:val="24"/>
              </w:rPr>
              <w:t>proc.</w:t>
            </w:r>
          </w:p>
        </w:tc>
        <w:tc>
          <w:tcPr>
            <w:tcW w:w="1363" w:type="dxa"/>
            <w:shd w:val="clear" w:color="auto" w:fill="auto"/>
          </w:tcPr>
          <w:p w:rsidR="00967A75" w:rsidRPr="007B5712" w:rsidRDefault="00967A75" w:rsidP="00257D8B">
            <w:pPr>
              <w:jc w:val="center"/>
              <w:rPr>
                <w:b/>
                <w:sz w:val="24"/>
                <w:szCs w:val="24"/>
              </w:rPr>
            </w:pPr>
            <w:r w:rsidRPr="007B5712">
              <w:rPr>
                <w:b/>
                <w:sz w:val="24"/>
                <w:szCs w:val="24"/>
              </w:rPr>
              <w:lastRenderedPageBreak/>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11.</w:t>
            </w:r>
          </w:p>
        </w:tc>
        <w:tc>
          <w:tcPr>
            <w:tcW w:w="2732" w:type="dxa"/>
            <w:shd w:val="clear" w:color="auto" w:fill="auto"/>
          </w:tcPr>
          <w:p w:rsidR="00967A75" w:rsidRPr="007B5712" w:rsidRDefault="00967A75" w:rsidP="00257D8B">
            <w:pPr>
              <w:jc w:val="both"/>
              <w:rPr>
                <w:b/>
                <w:sz w:val="24"/>
                <w:szCs w:val="24"/>
              </w:rPr>
            </w:pPr>
            <w:r w:rsidRPr="007B5712">
              <w:rPr>
                <w:b/>
                <w:sz w:val="24"/>
                <w:szCs w:val="24"/>
              </w:rPr>
              <w:t>Įstaigoje dirbančių darbuotojų ir etatų skaičius ir įstaigoje sutektų asmens sveikatos priežiūros paslaugų skaičius per metus</w:t>
            </w:r>
          </w:p>
        </w:tc>
        <w:tc>
          <w:tcPr>
            <w:tcW w:w="2461" w:type="dxa"/>
            <w:shd w:val="clear" w:color="auto" w:fill="auto"/>
          </w:tcPr>
          <w:p w:rsidR="00967A75" w:rsidRPr="007B5712" w:rsidRDefault="00967A75" w:rsidP="00257D8B">
            <w:pPr>
              <w:jc w:val="both"/>
              <w:rPr>
                <w:sz w:val="24"/>
                <w:szCs w:val="24"/>
              </w:rPr>
            </w:pPr>
            <w:r w:rsidRPr="007B5712">
              <w:rPr>
                <w:sz w:val="24"/>
                <w:szCs w:val="24"/>
              </w:rPr>
              <w:t>Nenustatoma</w:t>
            </w:r>
          </w:p>
        </w:tc>
        <w:tc>
          <w:tcPr>
            <w:tcW w:w="5953" w:type="dxa"/>
            <w:shd w:val="clear" w:color="auto" w:fill="auto"/>
          </w:tcPr>
          <w:p w:rsidR="00967A75" w:rsidRPr="007B5712" w:rsidRDefault="00967A75" w:rsidP="00257D8B">
            <w:pPr>
              <w:jc w:val="both"/>
              <w:rPr>
                <w:sz w:val="24"/>
                <w:szCs w:val="24"/>
              </w:rPr>
            </w:pPr>
            <w:r w:rsidRPr="007B5712">
              <w:rPr>
                <w:sz w:val="24"/>
                <w:szCs w:val="24"/>
              </w:rPr>
              <w:t>Nenustatyta</w:t>
            </w:r>
          </w:p>
        </w:tc>
        <w:tc>
          <w:tcPr>
            <w:tcW w:w="1980" w:type="dxa"/>
            <w:shd w:val="clear" w:color="auto" w:fill="auto"/>
          </w:tcPr>
          <w:p w:rsidR="008B0705" w:rsidRPr="007B5712" w:rsidRDefault="008B0705" w:rsidP="00715F01">
            <w:pPr>
              <w:jc w:val="both"/>
              <w:rPr>
                <w:szCs w:val="24"/>
              </w:rPr>
            </w:pPr>
            <w:r w:rsidRPr="007B5712">
              <w:rPr>
                <w:szCs w:val="24"/>
              </w:rPr>
              <w:t xml:space="preserve">Darbuotojai – 111 </w:t>
            </w:r>
          </w:p>
          <w:p w:rsidR="008B0705" w:rsidRPr="007B5712" w:rsidRDefault="008B0705" w:rsidP="00715F01">
            <w:pPr>
              <w:jc w:val="both"/>
              <w:rPr>
                <w:szCs w:val="24"/>
              </w:rPr>
            </w:pPr>
            <w:r w:rsidRPr="007B5712">
              <w:rPr>
                <w:szCs w:val="24"/>
              </w:rPr>
              <w:t>Etatai – 103,596</w:t>
            </w:r>
          </w:p>
          <w:p w:rsidR="00967A75" w:rsidRPr="007B5712" w:rsidRDefault="008B0705" w:rsidP="00715F01">
            <w:pPr>
              <w:jc w:val="both"/>
              <w:rPr>
                <w:sz w:val="24"/>
                <w:szCs w:val="24"/>
              </w:rPr>
            </w:pPr>
            <w:r w:rsidRPr="007B5712">
              <w:rPr>
                <w:szCs w:val="24"/>
              </w:rPr>
              <w:t xml:space="preserve">Suteiktų paslaugų skaičius </w:t>
            </w:r>
            <w:r w:rsidR="00715F01">
              <w:rPr>
                <w:szCs w:val="24"/>
              </w:rPr>
              <w:t xml:space="preserve">– </w:t>
            </w:r>
            <w:r w:rsidRPr="007B5712">
              <w:rPr>
                <w:szCs w:val="24"/>
              </w:rPr>
              <w:t>89</w:t>
            </w:r>
            <w:r w:rsidR="00715F01">
              <w:rPr>
                <w:szCs w:val="24"/>
              </w:rPr>
              <w:t xml:space="preserve"> </w:t>
            </w:r>
            <w:r w:rsidRPr="007B5712">
              <w:rPr>
                <w:szCs w:val="24"/>
              </w:rPr>
              <w:t>789</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vAlign w:val="center"/>
          </w:tcPr>
          <w:p w:rsidR="00967A75" w:rsidRPr="007B5712" w:rsidRDefault="00967A75" w:rsidP="00257D8B">
            <w:pPr>
              <w:jc w:val="center"/>
              <w:rPr>
                <w:sz w:val="24"/>
                <w:szCs w:val="24"/>
              </w:rPr>
            </w:pPr>
            <w:r w:rsidRPr="007B5712">
              <w:rPr>
                <w:sz w:val="24"/>
                <w:szCs w:val="24"/>
              </w:rPr>
              <w:t>12.</w:t>
            </w:r>
          </w:p>
        </w:tc>
        <w:tc>
          <w:tcPr>
            <w:tcW w:w="2732" w:type="dxa"/>
            <w:shd w:val="clear" w:color="auto" w:fill="auto"/>
          </w:tcPr>
          <w:p w:rsidR="00967A75" w:rsidRPr="007B5712" w:rsidRDefault="00967A75" w:rsidP="00257D8B">
            <w:pPr>
              <w:jc w:val="both"/>
              <w:rPr>
                <w:b/>
                <w:sz w:val="24"/>
                <w:szCs w:val="24"/>
              </w:rPr>
            </w:pPr>
            <w:r w:rsidRPr="007B5712">
              <w:rPr>
                <w:b/>
                <w:sz w:val="24"/>
                <w:szCs w:val="24"/>
              </w:rPr>
              <w:t>Vidutinė hospitalizuotų pacientų gydymo trukmė įstaigoje pagal sveikatos apsaugos ministro nustatytas paslaugų grupes (taikoma tik antrinio ir tretinio lygio asmens sveikatos priežiūros paslaugas teikiančioms įstaigoms)</w:t>
            </w:r>
            <w:r w:rsidRPr="007B5712">
              <w:rPr>
                <w:b/>
                <w:sz w:val="24"/>
                <w:szCs w:val="24"/>
              </w:rPr>
              <w:tab/>
            </w:r>
            <w:r w:rsidRPr="007B5712">
              <w:rPr>
                <w:b/>
                <w:sz w:val="24"/>
                <w:szCs w:val="24"/>
              </w:rPr>
              <w:tab/>
            </w:r>
          </w:p>
        </w:tc>
        <w:tc>
          <w:tcPr>
            <w:tcW w:w="2461" w:type="dxa"/>
            <w:shd w:val="clear" w:color="auto" w:fill="auto"/>
          </w:tcPr>
          <w:p w:rsidR="00967A75" w:rsidRPr="007B5712" w:rsidRDefault="00967A75" w:rsidP="00257D8B">
            <w:pPr>
              <w:jc w:val="both"/>
              <w:rPr>
                <w:sz w:val="24"/>
                <w:szCs w:val="24"/>
              </w:rPr>
            </w:pPr>
            <w:r w:rsidRPr="007B5712">
              <w:rPr>
                <w:sz w:val="24"/>
                <w:szCs w:val="24"/>
              </w:rPr>
              <w:t>-</w:t>
            </w:r>
          </w:p>
        </w:tc>
        <w:tc>
          <w:tcPr>
            <w:tcW w:w="5953" w:type="dxa"/>
            <w:shd w:val="clear" w:color="auto" w:fill="auto"/>
          </w:tcPr>
          <w:p w:rsidR="00967A75" w:rsidRPr="007B5712" w:rsidRDefault="00967A75" w:rsidP="00257D8B">
            <w:pPr>
              <w:jc w:val="both"/>
              <w:rPr>
                <w:sz w:val="24"/>
                <w:szCs w:val="24"/>
              </w:rPr>
            </w:pPr>
            <w:r w:rsidRPr="007B5712">
              <w:rPr>
                <w:sz w:val="24"/>
                <w:szCs w:val="24"/>
              </w:rPr>
              <w:t>-</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13.</w:t>
            </w:r>
          </w:p>
        </w:tc>
        <w:tc>
          <w:tcPr>
            <w:tcW w:w="2732" w:type="dxa"/>
            <w:shd w:val="clear" w:color="auto" w:fill="auto"/>
          </w:tcPr>
          <w:p w:rsidR="00967A75" w:rsidRPr="007B5712" w:rsidRDefault="00967A75" w:rsidP="00257D8B">
            <w:pPr>
              <w:jc w:val="both"/>
              <w:rPr>
                <w:sz w:val="24"/>
                <w:szCs w:val="24"/>
              </w:rPr>
            </w:pPr>
            <w:r w:rsidRPr="007B5712">
              <w:rPr>
                <w:b/>
                <w:sz w:val="24"/>
                <w:szCs w:val="24"/>
              </w:rPr>
              <w:t xml:space="preserve">Lovos užimtumo rodiklis įstaigoje pagal sveikatos apsaugos ministro nustatytas paslaugų grupes (taikoma tik antrinio ir tretinio lygio asmens sveikatos priežiūros </w:t>
            </w:r>
            <w:r w:rsidRPr="007B5712">
              <w:rPr>
                <w:b/>
                <w:sz w:val="24"/>
                <w:szCs w:val="24"/>
              </w:rPr>
              <w:lastRenderedPageBreak/>
              <w:t>paslaugas teikiančioms įstaigoms)</w:t>
            </w:r>
          </w:p>
        </w:tc>
        <w:tc>
          <w:tcPr>
            <w:tcW w:w="2461" w:type="dxa"/>
            <w:shd w:val="clear" w:color="auto" w:fill="auto"/>
          </w:tcPr>
          <w:p w:rsidR="00967A75" w:rsidRPr="007B5712" w:rsidRDefault="00967A75" w:rsidP="00257D8B">
            <w:pPr>
              <w:jc w:val="both"/>
              <w:rPr>
                <w:sz w:val="24"/>
                <w:szCs w:val="24"/>
              </w:rPr>
            </w:pPr>
            <w:r w:rsidRPr="007B5712">
              <w:rPr>
                <w:sz w:val="24"/>
                <w:szCs w:val="24"/>
              </w:rPr>
              <w:lastRenderedPageBreak/>
              <w:t>-</w:t>
            </w:r>
          </w:p>
        </w:tc>
        <w:tc>
          <w:tcPr>
            <w:tcW w:w="5953" w:type="dxa"/>
            <w:shd w:val="clear" w:color="auto" w:fill="auto"/>
          </w:tcPr>
          <w:p w:rsidR="00967A75" w:rsidRPr="007B5712" w:rsidRDefault="00967A75" w:rsidP="00257D8B">
            <w:pPr>
              <w:jc w:val="both"/>
              <w:rPr>
                <w:sz w:val="24"/>
                <w:szCs w:val="24"/>
              </w:rPr>
            </w:pPr>
            <w:r w:rsidRPr="007B5712">
              <w:rPr>
                <w:sz w:val="24"/>
                <w:szCs w:val="24"/>
              </w:rPr>
              <w:t>-</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967A75" w:rsidRPr="007B5712" w:rsidRDefault="00967A75" w:rsidP="00257D8B">
            <w:pPr>
              <w:jc w:val="center"/>
              <w:rPr>
                <w:sz w:val="24"/>
                <w:szCs w:val="24"/>
              </w:rPr>
            </w:pPr>
            <w:r w:rsidRPr="007B5712">
              <w:rPr>
                <w:sz w:val="24"/>
                <w:szCs w:val="24"/>
              </w:rPr>
              <w:t>14.</w:t>
            </w:r>
          </w:p>
        </w:tc>
        <w:tc>
          <w:tcPr>
            <w:tcW w:w="2732" w:type="dxa"/>
            <w:shd w:val="clear" w:color="auto" w:fill="auto"/>
          </w:tcPr>
          <w:p w:rsidR="00967A75" w:rsidRPr="007B5712" w:rsidRDefault="00967A75" w:rsidP="00257D8B">
            <w:pPr>
              <w:jc w:val="both"/>
              <w:rPr>
                <w:sz w:val="24"/>
                <w:szCs w:val="24"/>
              </w:rPr>
            </w:pPr>
            <w:r w:rsidRPr="007B5712">
              <w:rPr>
                <w:b/>
                <w:sz w:val="24"/>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61" w:type="dxa"/>
            <w:shd w:val="clear" w:color="auto" w:fill="auto"/>
          </w:tcPr>
          <w:p w:rsidR="00967A75" w:rsidRPr="007B5712" w:rsidRDefault="00967A75" w:rsidP="00257D8B">
            <w:pPr>
              <w:jc w:val="both"/>
              <w:rPr>
                <w:sz w:val="24"/>
                <w:szCs w:val="24"/>
              </w:rPr>
            </w:pPr>
            <w:r w:rsidRPr="007B5712">
              <w:rPr>
                <w:sz w:val="24"/>
                <w:szCs w:val="24"/>
              </w:rPr>
              <w:t>Ne mažiau kaip 30 kompiuterinės tomografijos tyrimų per vieną darbo dieną vienu kompiuterinės tomografijos aparatu</w:t>
            </w:r>
          </w:p>
        </w:tc>
        <w:tc>
          <w:tcPr>
            <w:tcW w:w="5953" w:type="dxa"/>
            <w:shd w:val="clear" w:color="auto" w:fill="auto"/>
          </w:tcPr>
          <w:p w:rsidR="00967A75" w:rsidRPr="007B5712" w:rsidRDefault="00967A75" w:rsidP="00257D8B">
            <w:pPr>
              <w:jc w:val="both"/>
              <w:rPr>
                <w:b/>
                <w:sz w:val="24"/>
                <w:szCs w:val="24"/>
              </w:rPr>
            </w:pPr>
            <w:r w:rsidRPr="007B5712">
              <w:rPr>
                <w:b/>
                <w:sz w:val="24"/>
                <w:szCs w:val="24"/>
              </w:rPr>
              <w:t>Rodiklio reikšmė apskaičiuojama pagal formulę:</w:t>
            </w:r>
          </w:p>
          <w:p w:rsidR="00967A75" w:rsidRPr="007B5712" w:rsidRDefault="00967A75" w:rsidP="00257D8B">
            <w:pPr>
              <w:jc w:val="both"/>
              <w:rPr>
                <w:sz w:val="24"/>
                <w:szCs w:val="24"/>
              </w:rPr>
            </w:pPr>
            <w:r w:rsidRPr="007B5712">
              <w:rPr>
                <w:sz w:val="24"/>
                <w:szCs w:val="24"/>
              </w:rPr>
              <w:t>Kompiuterinės tomografijos aparatų apkrova = kompiuterinės tomografijos tyrimų skaičius per metus / darbo dienų</w:t>
            </w:r>
            <w:r w:rsidRPr="007B5712">
              <w:rPr>
                <w:sz w:val="24"/>
                <w:szCs w:val="24"/>
                <w:vertAlign w:val="superscript"/>
              </w:rPr>
              <w:t>1</w:t>
            </w:r>
            <w:r w:rsidRPr="007B5712">
              <w:rPr>
                <w:sz w:val="24"/>
                <w:szCs w:val="24"/>
              </w:rPr>
              <w:t xml:space="preserve"> skaičius per metus / naudojamų kompiuterinės tomografijos aparatų skaičius</w:t>
            </w:r>
          </w:p>
          <w:p w:rsidR="00967A75" w:rsidRPr="007B5712" w:rsidRDefault="00967A75" w:rsidP="00257D8B">
            <w:pPr>
              <w:jc w:val="both"/>
              <w:rPr>
                <w:sz w:val="24"/>
                <w:szCs w:val="24"/>
              </w:rPr>
            </w:pPr>
          </w:p>
          <w:p w:rsidR="00967A75" w:rsidRPr="007B5712" w:rsidRDefault="00967A75" w:rsidP="00257D8B">
            <w:pPr>
              <w:jc w:val="both"/>
              <w:rPr>
                <w:sz w:val="24"/>
                <w:szCs w:val="24"/>
              </w:rPr>
            </w:pPr>
            <w:r w:rsidRPr="007B5712">
              <w:rPr>
                <w:sz w:val="24"/>
                <w:szCs w:val="24"/>
                <w:vertAlign w:val="superscript"/>
              </w:rPr>
              <w:t>1</w:t>
            </w:r>
            <w:r w:rsidRPr="007B5712">
              <w:rPr>
                <w:sz w:val="24"/>
                <w:szCs w:val="24"/>
              </w:rPr>
              <w:t xml:space="preserve"> Darbo dienos yra nuo pirmadienio iki penktadienio</w:t>
            </w:r>
          </w:p>
        </w:tc>
        <w:tc>
          <w:tcPr>
            <w:tcW w:w="1980" w:type="dxa"/>
            <w:shd w:val="clear" w:color="auto" w:fill="auto"/>
          </w:tcPr>
          <w:p w:rsidR="00967A75" w:rsidRPr="007B5712" w:rsidRDefault="00967A75" w:rsidP="00257D8B">
            <w:pPr>
              <w:jc w:val="both"/>
              <w:rPr>
                <w:sz w:val="24"/>
                <w:szCs w:val="24"/>
              </w:rPr>
            </w:pPr>
            <w:r w:rsidRPr="007B5712">
              <w:rPr>
                <w:sz w:val="24"/>
                <w:szCs w:val="24"/>
              </w:rPr>
              <w:t>Įstaigoje šios paslaugos neteikiamos</w:t>
            </w:r>
          </w:p>
        </w:tc>
        <w:tc>
          <w:tcPr>
            <w:tcW w:w="1363" w:type="dxa"/>
            <w:shd w:val="clear" w:color="auto" w:fill="auto"/>
          </w:tcPr>
          <w:p w:rsidR="00967A75" w:rsidRPr="007B5712" w:rsidRDefault="00967A75" w:rsidP="00257D8B">
            <w:pPr>
              <w:jc w:val="center"/>
              <w:rPr>
                <w:b/>
                <w:sz w:val="24"/>
                <w:szCs w:val="24"/>
              </w:rPr>
            </w:pPr>
            <w:r w:rsidRPr="007B5712">
              <w:rPr>
                <w:b/>
                <w:sz w:val="24"/>
                <w:szCs w:val="24"/>
              </w:rPr>
              <w:t>-</w:t>
            </w:r>
          </w:p>
        </w:tc>
      </w:tr>
      <w:tr w:rsidR="00967A75" w:rsidRPr="007B5712" w:rsidTr="00257D8B">
        <w:trPr>
          <w:trHeight w:val="190"/>
        </w:trPr>
        <w:tc>
          <w:tcPr>
            <w:tcW w:w="13836" w:type="dxa"/>
            <w:gridSpan w:val="5"/>
            <w:shd w:val="clear" w:color="auto" w:fill="auto"/>
          </w:tcPr>
          <w:p w:rsidR="00967A75" w:rsidRPr="007B5712" w:rsidRDefault="00967A75" w:rsidP="00257D8B">
            <w:pPr>
              <w:jc w:val="right"/>
              <w:rPr>
                <w:sz w:val="24"/>
                <w:szCs w:val="24"/>
              </w:rPr>
            </w:pPr>
            <w:r w:rsidRPr="007B5712">
              <w:rPr>
                <w:sz w:val="24"/>
                <w:szCs w:val="24"/>
              </w:rPr>
              <w:t>Iš viso:</w:t>
            </w:r>
          </w:p>
          <w:p w:rsidR="00967A75" w:rsidRPr="007B5712" w:rsidRDefault="00967A75" w:rsidP="00257D8B">
            <w:pPr>
              <w:jc w:val="right"/>
              <w:rPr>
                <w:sz w:val="24"/>
                <w:szCs w:val="24"/>
              </w:rPr>
            </w:pPr>
          </w:p>
        </w:tc>
        <w:tc>
          <w:tcPr>
            <w:tcW w:w="1363" w:type="dxa"/>
            <w:shd w:val="clear" w:color="auto" w:fill="auto"/>
          </w:tcPr>
          <w:p w:rsidR="00967A75" w:rsidRPr="007B5712" w:rsidRDefault="00897801" w:rsidP="00257D8B">
            <w:pPr>
              <w:jc w:val="center"/>
              <w:rPr>
                <w:b/>
                <w:sz w:val="24"/>
                <w:szCs w:val="24"/>
              </w:rPr>
            </w:pPr>
            <w:r w:rsidRPr="007B5712">
              <w:rPr>
                <w:b/>
                <w:sz w:val="24"/>
                <w:szCs w:val="24"/>
              </w:rPr>
              <w:t>50</w:t>
            </w:r>
          </w:p>
        </w:tc>
      </w:tr>
    </w:tbl>
    <w:p w:rsidR="00967A75" w:rsidRPr="007B5712" w:rsidRDefault="00967A75" w:rsidP="00A606EC">
      <w:pPr>
        <w:jc w:val="center"/>
        <w:rPr>
          <w:sz w:val="24"/>
          <w:szCs w:val="24"/>
        </w:rPr>
      </w:pPr>
    </w:p>
    <w:sectPr w:rsidR="00967A75" w:rsidRPr="007B5712" w:rsidSect="00C53BE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7F7" w:rsidRDefault="00B507F7" w:rsidP="00301D9F">
      <w:r>
        <w:separator/>
      </w:r>
    </w:p>
  </w:endnote>
  <w:endnote w:type="continuationSeparator" w:id="0">
    <w:p w:rsidR="00B507F7" w:rsidRDefault="00B507F7"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7F7" w:rsidRDefault="00B507F7" w:rsidP="00301D9F">
      <w:r>
        <w:separator/>
      </w:r>
    </w:p>
  </w:footnote>
  <w:footnote w:type="continuationSeparator" w:id="0">
    <w:p w:rsidR="00B507F7" w:rsidRDefault="00B507F7"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jc w:val="center"/>
    </w:pPr>
    <w:r>
      <w:fldChar w:fldCharType="begin"/>
    </w:r>
    <w:r>
      <w:instrText>PAGE   \* MERGEFORMAT</w:instrText>
    </w:r>
    <w:r>
      <w:fldChar w:fldCharType="separate"/>
    </w:r>
    <w:r w:rsidR="00200959">
      <w:rPr>
        <w:noProof/>
      </w:rPr>
      <w:t>2</w:t>
    </w:r>
    <w:r>
      <w:fldChar w:fldCharType="end"/>
    </w:r>
  </w:p>
  <w:p w:rsidR="00257D8B" w:rsidRPr="00A675AA" w:rsidRDefault="00257D8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13CA"/>
    <w:rsid w:val="00007774"/>
    <w:rsid w:val="000204C2"/>
    <w:rsid w:val="00025B67"/>
    <w:rsid w:val="00041A36"/>
    <w:rsid w:val="00043D31"/>
    <w:rsid w:val="00050A03"/>
    <w:rsid w:val="00062ACF"/>
    <w:rsid w:val="00065640"/>
    <w:rsid w:val="000B18A4"/>
    <w:rsid w:val="000D2473"/>
    <w:rsid w:val="000E33F0"/>
    <w:rsid w:val="000E789B"/>
    <w:rsid w:val="000F4FB5"/>
    <w:rsid w:val="000F56DC"/>
    <w:rsid w:val="000F5E14"/>
    <w:rsid w:val="00103838"/>
    <w:rsid w:val="00117945"/>
    <w:rsid w:val="0013310F"/>
    <w:rsid w:val="00137965"/>
    <w:rsid w:val="001434BE"/>
    <w:rsid w:val="0015067F"/>
    <w:rsid w:val="0016270B"/>
    <w:rsid w:val="00174FC3"/>
    <w:rsid w:val="001A478B"/>
    <w:rsid w:val="001B6A96"/>
    <w:rsid w:val="001E5BEF"/>
    <w:rsid w:val="00200959"/>
    <w:rsid w:val="002103CB"/>
    <w:rsid w:val="00213A88"/>
    <w:rsid w:val="00230ADD"/>
    <w:rsid w:val="00233412"/>
    <w:rsid w:val="00233697"/>
    <w:rsid w:val="00240597"/>
    <w:rsid w:val="002553DF"/>
    <w:rsid w:val="00257D8B"/>
    <w:rsid w:val="0026009F"/>
    <w:rsid w:val="00260BE1"/>
    <w:rsid w:val="00266756"/>
    <w:rsid w:val="00267A8F"/>
    <w:rsid w:val="00285E2C"/>
    <w:rsid w:val="002961D5"/>
    <w:rsid w:val="002B05DA"/>
    <w:rsid w:val="002D3D7A"/>
    <w:rsid w:val="002E0360"/>
    <w:rsid w:val="002E285A"/>
    <w:rsid w:val="002F327F"/>
    <w:rsid w:val="003017E5"/>
    <w:rsid w:val="00301D9F"/>
    <w:rsid w:val="00303BCE"/>
    <w:rsid w:val="00304B41"/>
    <w:rsid w:val="003106D4"/>
    <w:rsid w:val="00323F04"/>
    <w:rsid w:val="00326D70"/>
    <w:rsid w:val="00333A60"/>
    <w:rsid w:val="003611FD"/>
    <w:rsid w:val="003A5514"/>
    <w:rsid w:val="003B355A"/>
    <w:rsid w:val="003B504E"/>
    <w:rsid w:val="0040274E"/>
    <w:rsid w:val="00403F55"/>
    <w:rsid w:val="0040787F"/>
    <w:rsid w:val="00457BCF"/>
    <w:rsid w:val="00497824"/>
    <w:rsid w:val="004A473A"/>
    <w:rsid w:val="004C0E62"/>
    <w:rsid w:val="004C7126"/>
    <w:rsid w:val="00516181"/>
    <w:rsid w:val="00516780"/>
    <w:rsid w:val="00524E3B"/>
    <w:rsid w:val="005358F1"/>
    <w:rsid w:val="005438D2"/>
    <w:rsid w:val="00572B40"/>
    <w:rsid w:val="00573236"/>
    <w:rsid w:val="005741B7"/>
    <w:rsid w:val="0058196F"/>
    <w:rsid w:val="00590081"/>
    <w:rsid w:val="005B18B9"/>
    <w:rsid w:val="005B5925"/>
    <w:rsid w:val="005D6E77"/>
    <w:rsid w:val="00617462"/>
    <w:rsid w:val="00632156"/>
    <w:rsid w:val="0064232A"/>
    <w:rsid w:val="00650A1D"/>
    <w:rsid w:val="006639F8"/>
    <w:rsid w:val="006640CD"/>
    <w:rsid w:val="00683443"/>
    <w:rsid w:val="006922DD"/>
    <w:rsid w:val="006A203F"/>
    <w:rsid w:val="006B3A1B"/>
    <w:rsid w:val="006B7A3B"/>
    <w:rsid w:val="006C468E"/>
    <w:rsid w:val="006C6B1C"/>
    <w:rsid w:val="006D1F33"/>
    <w:rsid w:val="006E42E2"/>
    <w:rsid w:val="006E48F7"/>
    <w:rsid w:val="006E5EF1"/>
    <w:rsid w:val="006E78CD"/>
    <w:rsid w:val="00715F01"/>
    <w:rsid w:val="00754AFF"/>
    <w:rsid w:val="0076087A"/>
    <w:rsid w:val="0077011D"/>
    <w:rsid w:val="007875C1"/>
    <w:rsid w:val="0079308E"/>
    <w:rsid w:val="00794529"/>
    <w:rsid w:val="007A1891"/>
    <w:rsid w:val="007B5712"/>
    <w:rsid w:val="007C07C5"/>
    <w:rsid w:val="007C4C95"/>
    <w:rsid w:val="007C5BCC"/>
    <w:rsid w:val="007E386C"/>
    <w:rsid w:val="007E6208"/>
    <w:rsid w:val="007F5AC2"/>
    <w:rsid w:val="00807F14"/>
    <w:rsid w:val="00811293"/>
    <w:rsid w:val="00821402"/>
    <w:rsid w:val="00823A34"/>
    <w:rsid w:val="00832ED5"/>
    <w:rsid w:val="008570DC"/>
    <w:rsid w:val="00876E07"/>
    <w:rsid w:val="00887291"/>
    <w:rsid w:val="00896590"/>
    <w:rsid w:val="00897801"/>
    <w:rsid w:val="008B0705"/>
    <w:rsid w:val="008B53BA"/>
    <w:rsid w:val="008C5E28"/>
    <w:rsid w:val="008D1D35"/>
    <w:rsid w:val="008E73BA"/>
    <w:rsid w:val="008F7759"/>
    <w:rsid w:val="00903633"/>
    <w:rsid w:val="0092382D"/>
    <w:rsid w:val="0093637B"/>
    <w:rsid w:val="0095165C"/>
    <w:rsid w:val="0095630C"/>
    <w:rsid w:val="00964D2B"/>
    <w:rsid w:val="00967A75"/>
    <w:rsid w:val="009718B0"/>
    <w:rsid w:val="00983BD2"/>
    <w:rsid w:val="00985B6F"/>
    <w:rsid w:val="0099009C"/>
    <w:rsid w:val="0099673A"/>
    <w:rsid w:val="009A03C5"/>
    <w:rsid w:val="009A1773"/>
    <w:rsid w:val="009A1BE5"/>
    <w:rsid w:val="009C6D6A"/>
    <w:rsid w:val="009C7A6D"/>
    <w:rsid w:val="009D07B0"/>
    <w:rsid w:val="009D369D"/>
    <w:rsid w:val="009E3FF5"/>
    <w:rsid w:val="009F3524"/>
    <w:rsid w:val="00A1769C"/>
    <w:rsid w:val="00A31651"/>
    <w:rsid w:val="00A34D9E"/>
    <w:rsid w:val="00A606EC"/>
    <w:rsid w:val="00A60D14"/>
    <w:rsid w:val="00A6718B"/>
    <w:rsid w:val="00A7156F"/>
    <w:rsid w:val="00A75C0A"/>
    <w:rsid w:val="00A75DE7"/>
    <w:rsid w:val="00AD6263"/>
    <w:rsid w:val="00AF569B"/>
    <w:rsid w:val="00B0008C"/>
    <w:rsid w:val="00B013DF"/>
    <w:rsid w:val="00B051A1"/>
    <w:rsid w:val="00B1051A"/>
    <w:rsid w:val="00B11813"/>
    <w:rsid w:val="00B26B6B"/>
    <w:rsid w:val="00B507F7"/>
    <w:rsid w:val="00B71962"/>
    <w:rsid w:val="00B83EFD"/>
    <w:rsid w:val="00B8799F"/>
    <w:rsid w:val="00B918FB"/>
    <w:rsid w:val="00BA628F"/>
    <w:rsid w:val="00BA72C5"/>
    <w:rsid w:val="00BB6600"/>
    <w:rsid w:val="00BD5E32"/>
    <w:rsid w:val="00C01703"/>
    <w:rsid w:val="00C24327"/>
    <w:rsid w:val="00C26599"/>
    <w:rsid w:val="00C33832"/>
    <w:rsid w:val="00C3608C"/>
    <w:rsid w:val="00C3715E"/>
    <w:rsid w:val="00C42C8A"/>
    <w:rsid w:val="00C526FC"/>
    <w:rsid w:val="00C53BE8"/>
    <w:rsid w:val="00C71FD0"/>
    <w:rsid w:val="00C73618"/>
    <w:rsid w:val="00C762C0"/>
    <w:rsid w:val="00C80684"/>
    <w:rsid w:val="00C83126"/>
    <w:rsid w:val="00C93E7F"/>
    <w:rsid w:val="00CA5D82"/>
    <w:rsid w:val="00CC5AF4"/>
    <w:rsid w:val="00CE729E"/>
    <w:rsid w:val="00CF3293"/>
    <w:rsid w:val="00CF67DA"/>
    <w:rsid w:val="00D267D0"/>
    <w:rsid w:val="00D34B8A"/>
    <w:rsid w:val="00D40471"/>
    <w:rsid w:val="00D43D91"/>
    <w:rsid w:val="00D62E78"/>
    <w:rsid w:val="00D72D30"/>
    <w:rsid w:val="00D8520D"/>
    <w:rsid w:val="00DA6056"/>
    <w:rsid w:val="00DB6B89"/>
    <w:rsid w:val="00DC36D8"/>
    <w:rsid w:val="00DC5D80"/>
    <w:rsid w:val="00DD1BF1"/>
    <w:rsid w:val="00DD7FC0"/>
    <w:rsid w:val="00DF3320"/>
    <w:rsid w:val="00E34442"/>
    <w:rsid w:val="00E37894"/>
    <w:rsid w:val="00E40C18"/>
    <w:rsid w:val="00E4431B"/>
    <w:rsid w:val="00E73FF9"/>
    <w:rsid w:val="00E93BF7"/>
    <w:rsid w:val="00E9682C"/>
    <w:rsid w:val="00EA0F5F"/>
    <w:rsid w:val="00EA200B"/>
    <w:rsid w:val="00EA7CF1"/>
    <w:rsid w:val="00EC6E68"/>
    <w:rsid w:val="00EE1292"/>
    <w:rsid w:val="00EE2554"/>
    <w:rsid w:val="00EE2B91"/>
    <w:rsid w:val="00EF741C"/>
    <w:rsid w:val="00F069D6"/>
    <w:rsid w:val="00F1242E"/>
    <w:rsid w:val="00F22E20"/>
    <w:rsid w:val="00F32A8B"/>
    <w:rsid w:val="00F84C4C"/>
    <w:rsid w:val="00F9724B"/>
    <w:rsid w:val="00FA1CB6"/>
    <w:rsid w:val="00FD517F"/>
    <w:rsid w:val="00FE56DB"/>
    <w:rsid w:val="00FF15D3"/>
    <w:rsid w:val="00FF3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31D9245"/>
  <w15:chartTrackingRefBased/>
  <w15:docId w15:val="{5D13DE7E-F289-4985-96E5-B318E8E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hi-IN" w:bidi="hi-IN"/>
    </w:rPr>
  </w:style>
  <w:style w:type="paragraph" w:styleId="Antrat1">
    <w:name w:val="heading 1"/>
    <w:basedOn w:val="prastasis"/>
    <w:next w:val="prastasis"/>
    <w:link w:val="Antrat1Diagrama"/>
    <w:qFormat/>
    <w:pPr>
      <w:keepNext/>
      <w:numPr>
        <w:numId w:val="1"/>
      </w:numPr>
      <w:outlineLvl w:val="0"/>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x-none"/>
    </w:rPr>
  </w:style>
  <w:style w:type="paragraph" w:customStyle="1" w:styleId="BodyText21">
    <w:name w:val="Body Text 21"/>
    <w:basedOn w:val="prastasis"/>
    <w:rPr>
      <w:sz w:val="24"/>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iPriority w:val="99"/>
    <w:unhideWhenUsed/>
    <w:rsid w:val="00301D9F"/>
    <w:pPr>
      <w:tabs>
        <w:tab w:val="center" w:pos="4819"/>
        <w:tab w:val="right" w:pos="9638"/>
      </w:tabs>
    </w:pPr>
    <w:rPr>
      <w:rFonts w:cs="Mangal"/>
      <w:szCs w:val="18"/>
    </w:rPr>
  </w:style>
  <w:style w:type="character" w:customStyle="1" w:styleId="PoratDiagrama">
    <w:name w:val="Poraštė Diagrama"/>
    <w:link w:val="Porat"/>
    <w:uiPriority w:val="99"/>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 w:type="paragraph" w:customStyle="1" w:styleId="Betarp1">
    <w:name w:val="Be tarpų1"/>
    <w:rsid w:val="009E3FF5"/>
    <w:rPr>
      <w:rFonts w:eastAsia="Calibri"/>
      <w:sz w:val="24"/>
      <w:szCs w:val="24"/>
    </w:rPr>
  </w:style>
  <w:style w:type="character" w:styleId="Grietas">
    <w:name w:val="Strong"/>
    <w:uiPriority w:val="22"/>
    <w:qFormat/>
    <w:rsid w:val="00967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0540">
      <w:bodyDiv w:val="1"/>
      <w:marLeft w:val="0"/>
      <w:marRight w:val="0"/>
      <w:marTop w:val="0"/>
      <w:marBottom w:val="0"/>
      <w:divBdr>
        <w:top w:val="none" w:sz="0" w:space="0" w:color="auto"/>
        <w:left w:val="none" w:sz="0" w:space="0" w:color="auto"/>
        <w:bottom w:val="none" w:sz="0" w:space="0" w:color="auto"/>
        <w:right w:val="none" w:sz="0" w:space="0" w:color="auto"/>
      </w:divBdr>
    </w:div>
    <w:div w:id="725223731">
      <w:bodyDiv w:val="1"/>
      <w:marLeft w:val="0"/>
      <w:marRight w:val="0"/>
      <w:marTop w:val="0"/>
      <w:marBottom w:val="0"/>
      <w:divBdr>
        <w:top w:val="none" w:sz="0" w:space="0" w:color="auto"/>
        <w:left w:val="none" w:sz="0" w:space="0" w:color="auto"/>
        <w:bottom w:val="none" w:sz="0" w:space="0" w:color="auto"/>
        <w:right w:val="none" w:sz="0" w:space="0" w:color="auto"/>
      </w:divBdr>
    </w:div>
    <w:div w:id="894706798">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4316-3BF7-4EFD-9E31-B55101C5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5320</Words>
  <Characters>3033</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Daiva Breivienė</cp:lastModifiedBy>
  <cp:revision>2</cp:revision>
  <cp:lastPrinted>2019-03-28T10:59:00Z</cp:lastPrinted>
  <dcterms:created xsi:type="dcterms:W3CDTF">2019-04-05T07:47:00Z</dcterms:created>
  <dcterms:modified xsi:type="dcterms:W3CDTF">2019-04-05T07:47:00Z</dcterms:modified>
</cp:coreProperties>
</file>