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F53D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5C41AC" w:rsidRDefault="005C41AC" w:rsidP="005C41AC">
      <w:pPr>
        <w:jc w:val="center"/>
        <w:rPr>
          <w:szCs w:val="24"/>
        </w:rPr>
      </w:pPr>
    </w:p>
    <w:p w14:paraId="390ACC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612A32" w14:textId="77777777" w:rsidR="005C41AC" w:rsidRPr="005C41AC" w:rsidRDefault="005C41AC" w:rsidP="00571BF3">
      <w:pPr>
        <w:keepNext/>
        <w:jc w:val="center"/>
        <w:outlineLvl w:val="1"/>
      </w:pPr>
    </w:p>
    <w:p w14:paraId="209CB50E" w14:textId="77777777" w:rsidR="005C41AC" w:rsidRPr="005C41AC" w:rsidRDefault="005C41AC" w:rsidP="00571BF3">
      <w:pPr>
        <w:keepNext/>
        <w:jc w:val="center"/>
        <w:outlineLvl w:val="1"/>
      </w:pPr>
    </w:p>
    <w:p w14:paraId="36DA9B5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86872F" w14:textId="77777777" w:rsidR="0062551B" w:rsidRPr="00A562AA" w:rsidRDefault="006127B2" w:rsidP="007F79A7">
      <w:pPr>
        <w:jc w:val="center"/>
      </w:pPr>
      <w:r w:rsidRPr="007F79A7">
        <w:rPr>
          <w:b/>
        </w:rPr>
        <w:t>DĖL</w:t>
      </w:r>
      <w:r w:rsidR="00463EC5">
        <w:rPr>
          <w:b/>
        </w:rPr>
        <w:t xml:space="preserve"> ATLYGINIMO UŽ VAIKŲ, UGDOMŲ PAGAL IKIMOKYKLINIO IR PRIEŠMOKYKLINIO UGDYMO PROGRAMAS, IŠLAIKYMĄ SAVIVALDYBĖS IKIMOKYKLINIO UGDYMO MOKYKLOSE NUSTATYMO TVARKOS APRAŠO, PATVIRTINTO SAVIVALDYBĖS TARYBOS 2014 M. SPALIO 23 D. SPRENDIMU NR. 1-312, PAKEITIMO</w:t>
      </w:r>
    </w:p>
    <w:p w14:paraId="72FD1ED1" w14:textId="77777777" w:rsidR="0062551B" w:rsidRDefault="0062551B" w:rsidP="003E58F0">
      <w:pPr>
        <w:jc w:val="center"/>
      </w:pPr>
    </w:p>
    <w:p w14:paraId="22FFFA63" w14:textId="77777777" w:rsidR="00C769FD" w:rsidRPr="00A562AA" w:rsidRDefault="00C769FD" w:rsidP="00C769F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TSP-311</w:t>
      </w:r>
      <w:r>
        <w:fldChar w:fldCharType="end"/>
      </w:r>
      <w:bookmarkEnd w:id="1"/>
    </w:p>
    <w:p w14:paraId="15547D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bookmarkStart w:id="2" w:name="_GoBack"/>
      <w:bookmarkEnd w:id="2"/>
      <w:r w:rsidRPr="00A562AA">
        <w:t>Panevėžys</w:t>
      </w:r>
    </w:p>
    <w:p w14:paraId="655023F0" w14:textId="77777777" w:rsidR="0062551B" w:rsidRDefault="0062551B" w:rsidP="00571BF3">
      <w:pPr>
        <w:jc w:val="both"/>
      </w:pPr>
    </w:p>
    <w:p w14:paraId="4E7F91B1" w14:textId="77777777" w:rsidR="0062551B" w:rsidRPr="00A562AA" w:rsidRDefault="0062551B" w:rsidP="005C41AC">
      <w:pPr>
        <w:ind w:firstLine="851"/>
        <w:jc w:val="both"/>
      </w:pPr>
    </w:p>
    <w:p w14:paraId="0F051589" w14:textId="2A84863B" w:rsidR="00463EC5" w:rsidRDefault="0062551B" w:rsidP="007F79A7">
      <w:pPr>
        <w:spacing w:line="360" w:lineRule="auto"/>
        <w:ind w:firstLine="851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463EC5">
        <w:rPr>
          <w:szCs w:val="24"/>
        </w:rPr>
        <w:t xml:space="preserve"> </w:t>
      </w:r>
      <w:r w:rsidR="00463EC5">
        <w:rPr>
          <w:szCs w:val="24"/>
          <w:lang w:eastAsia="lt-LT"/>
        </w:rPr>
        <w:t xml:space="preserve">Lietuvos Respublikos vietos savivaldos įstatymo 18 straipsnio 1 dalimi, </w:t>
      </w:r>
      <w:r w:rsidR="00463EC5">
        <w:rPr>
          <w:szCs w:val="24"/>
        </w:rPr>
        <w:t xml:space="preserve">Lietuvos Respublikos švietimo įstatymo 70 straipsnio 11 </w:t>
      </w:r>
      <w:r w:rsidR="00480B4C">
        <w:rPr>
          <w:szCs w:val="24"/>
        </w:rPr>
        <w:t>dalimi</w:t>
      </w:r>
      <w:r w:rsidR="00463EC5">
        <w:rPr>
          <w:szCs w:val="24"/>
        </w:rPr>
        <w:t xml:space="preserve"> ir atsižvelgdama į </w:t>
      </w:r>
      <w:r w:rsidR="00463EC5">
        <w:rPr>
          <w:color w:val="000000"/>
          <w:szCs w:val="24"/>
        </w:rPr>
        <w:t>darbo grupės</w:t>
      </w:r>
      <w:r w:rsidR="007F79A7">
        <w:rPr>
          <w:color w:val="000000"/>
          <w:szCs w:val="24"/>
        </w:rPr>
        <w:t>,</w:t>
      </w:r>
      <w:r w:rsidR="00463EC5">
        <w:rPr>
          <w:szCs w:val="24"/>
          <w:lang w:eastAsia="lt-LT"/>
        </w:rPr>
        <w:t xml:space="preserve"> </w:t>
      </w:r>
      <w:r w:rsidR="007F79A7">
        <w:rPr>
          <w:szCs w:val="24"/>
          <w:lang w:eastAsia="lt-LT"/>
        </w:rPr>
        <w:t xml:space="preserve">sudarytos Savivaldybės administracijos direktoriaus </w:t>
      </w:r>
      <w:r w:rsidR="000317FA">
        <w:rPr>
          <w:szCs w:val="24"/>
          <w:lang w:eastAsia="lt-LT"/>
        </w:rPr>
        <w:t xml:space="preserve">2019 m. birželio 6 d. </w:t>
      </w:r>
      <w:r w:rsidR="007F79A7">
        <w:rPr>
          <w:szCs w:val="24"/>
          <w:lang w:eastAsia="lt-LT"/>
        </w:rPr>
        <w:t xml:space="preserve">įsakymu Nr. A-392, nutarimą, </w:t>
      </w:r>
      <w:r w:rsidR="00463EC5">
        <w:rPr>
          <w:szCs w:val="24"/>
          <w:lang w:eastAsia="lt-LT"/>
        </w:rPr>
        <w:t>Panevėžio miesto savivaldybės taryba nusprendžia:</w:t>
      </w:r>
    </w:p>
    <w:p w14:paraId="5117E144" w14:textId="77777777" w:rsidR="00463EC5" w:rsidRDefault="00463EC5" w:rsidP="007F79A7">
      <w:pPr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Atlyginimo už vaikų, ugdomų pagal ikimokyklinio ir priešmokyklinio ugdymo programas, išlaikymą </w:t>
      </w:r>
      <w:r w:rsidR="007F79A7">
        <w:rPr>
          <w:szCs w:val="24"/>
          <w:lang w:eastAsia="lt-LT"/>
        </w:rPr>
        <w:t>s</w:t>
      </w:r>
      <w:r>
        <w:rPr>
          <w:szCs w:val="24"/>
          <w:lang w:eastAsia="lt-LT"/>
        </w:rPr>
        <w:t>avivaldybės ikimokyklinio ugdymo mo</w:t>
      </w:r>
      <w:r w:rsidR="007F79A7">
        <w:rPr>
          <w:szCs w:val="24"/>
          <w:lang w:eastAsia="lt-LT"/>
        </w:rPr>
        <w:t>kyklose nustatymo tvarkos aprašą, patvirtintą</w:t>
      </w:r>
      <w:r>
        <w:rPr>
          <w:szCs w:val="24"/>
          <w:lang w:eastAsia="lt-LT"/>
        </w:rPr>
        <w:t xml:space="preserve"> Panevėžio miesto savivaldybės tarybos 2014 m. spalio 23 d. sprendimu Nr. 1-312</w:t>
      </w:r>
      <w:r w:rsidR="007F79A7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taip:</w:t>
      </w:r>
    </w:p>
    <w:p w14:paraId="1C29C5E5" w14:textId="77777777" w:rsidR="00463EC5" w:rsidRDefault="00463EC5" w:rsidP="007F79A7">
      <w:pPr>
        <w:numPr>
          <w:ilvl w:val="0"/>
          <w:numId w:val="1"/>
        </w:numPr>
        <w:spacing w:line="360" w:lineRule="auto"/>
        <w:ind w:left="0" w:firstLine="851"/>
        <w:rPr>
          <w:szCs w:val="24"/>
          <w:lang w:eastAsia="lt-LT"/>
        </w:rPr>
      </w:pPr>
      <w:r>
        <w:rPr>
          <w:szCs w:val="24"/>
          <w:lang w:eastAsia="lt-LT"/>
        </w:rPr>
        <w:t>Panaikinti 4 punktą.</w:t>
      </w:r>
    </w:p>
    <w:p w14:paraId="0999B404" w14:textId="2C75CBEA" w:rsidR="00463EC5" w:rsidRDefault="00463EC5" w:rsidP="007F79A7">
      <w:pPr>
        <w:numPr>
          <w:ilvl w:val="0"/>
          <w:numId w:val="1"/>
        </w:numPr>
        <w:spacing w:line="360" w:lineRule="auto"/>
        <w:ind w:left="0" w:firstLine="851"/>
        <w:rPr>
          <w:szCs w:val="24"/>
        </w:rPr>
      </w:pPr>
      <w:r>
        <w:rPr>
          <w:szCs w:val="24"/>
          <w:lang w:eastAsia="lt-LT"/>
        </w:rPr>
        <w:t>5 punkte išbraukti žodžius „komunalinėms paslaugoms“</w:t>
      </w:r>
      <w:r w:rsidR="004628F8">
        <w:rPr>
          <w:szCs w:val="24"/>
          <w:lang w:eastAsia="lt-LT"/>
        </w:rPr>
        <w:t>, vietoj žodžių „darbo dieną“ įrašyti žodžius „darbo mėnesį“.</w:t>
      </w:r>
    </w:p>
    <w:p w14:paraId="689BBE6A" w14:textId="77777777" w:rsidR="00463EC5" w:rsidRDefault="00463EC5" w:rsidP="007F79A7">
      <w:pPr>
        <w:numPr>
          <w:ilvl w:val="0"/>
          <w:numId w:val="1"/>
        </w:numPr>
        <w:spacing w:line="360" w:lineRule="auto"/>
        <w:ind w:left="0" w:firstLine="851"/>
        <w:rPr>
          <w:szCs w:val="24"/>
        </w:rPr>
      </w:pPr>
      <w:r>
        <w:rPr>
          <w:szCs w:val="24"/>
          <w:lang w:eastAsia="lt-LT"/>
        </w:rPr>
        <w:t>Pakeisti 7 punktą ir jį išdėstyti taip:</w:t>
      </w:r>
    </w:p>
    <w:p w14:paraId="39E4D4DB" w14:textId="77777777" w:rsidR="00463EC5" w:rsidRDefault="00463EC5" w:rsidP="007F79A7">
      <w:pPr>
        <w:pStyle w:val="ISTATYMAS"/>
        <w:tabs>
          <w:tab w:val="left" w:pos="709"/>
        </w:tabs>
        <w:spacing w:line="360" w:lineRule="auto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„7. Mokestį už maitinimą tėvai moka 100 proc. nustatytos 1 (vieno), 2 (dviejų), 3 (trijų) arba 4 (keturių) kartų per dieną maitinimo normos už kiekvieną lankytą, nelankytą ir nepateisintą dieną:</w:t>
      </w:r>
    </w:p>
    <w:tbl>
      <w:tblPr>
        <w:tblpPr w:leftFromText="180" w:rightFromText="180" w:vertAnchor="text" w:horzAnchor="page" w:tblpX="1699" w:tblpY="4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133"/>
        <w:gridCol w:w="1133"/>
        <w:gridCol w:w="1133"/>
        <w:gridCol w:w="1133"/>
        <w:gridCol w:w="1133"/>
        <w:gridCol w:w="1133"/>
      </w:tblGrid>
      <w:tr w:rsidR="00463EC5" w14:paraId="644DE3DE" w14:textId="77777777" w:rsidTr="00463E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210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 w:firstLine="720"/>
              <w:rPr>
                <w:color w:val="auto"/>
                <w:sz w:val="22"/>
                <w:szCs w:val="22"/>
              </w:rPr>
            </w:pPr>
          </w:p>
          <w:p w14:paraId="514404BF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Grupės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F16C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Pusry-čių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23189481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B4B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Pietų </w:t>
            </w: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5654B91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DB8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Vaka-rienės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3476D9ED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7C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Nakti</w:t>
            </w:r>
            <w:proofErr w:type="spellEnd"/>
            <w:r>
              <w:rPr>
                <w:color w:val="auto"/>
                <w:sz w:val="22"/>
                <w:szCs w:val="22"/>
              </w:rPr>
              <w:t>-piečių*</w:t>
            </w:r>
          </w:p>
          <w:p w14:paraId="7E69A620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3617199A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0C14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kartų </w:t>
            </w:r>
            <w:proofErr w:type="spellStart"/>
            <w:r>
              <w:rPr>
                <w:color w:val="auto"/>
                <w:sz w:val="22"/>
                <w:szCs w:val="22"/>
              </w:rPr>
              <w:t>maiti-nimo</w:t>
            </w:r>
            <w:proofErr w:type="spellEnd"/>
          </w:p>
          <w:p w14:paraId="7A621AA7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20A56C22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2ABF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kartų </w:t>
            </w:r>
            <w:proofErr w:type="spellStart"/>
            <w:r>
              <w:rPr>
                <w:color w:val="auto"/>
                <w:sz w:val="22"/>
                <w:szCs w:val="22"/>
              </w:rPr>
              <w:t>maiti-nimo</w:t>
            </w:r>
            <w:proofErr w:type="spellEnd"/>
          </w:p>
          <w:p w14:paraId="709EA56B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113CF761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014D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kartų </w:t>
            </w:r>
            <w:proofErr w:type="spellStart"/>
            <w:r>
              <w:rPr>
                <w:color w:val="auto"/>
                <w:sz w:val="22"/>
                <w:szCs w:val="22"/>
              </w:rPr>
              <w:t>maiti-nimo</w:t>
            </w:r>
            <w:proofErr w:type="spellEnd"/>
          </w:p>
          <w:p w14:paraId="549DE899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mokes-tis</w:t>
            </w:r>
            <w:proofErr w:type="spellEnd"/>
            <w:r w:rsidR="007F79A7">
              <w:rPr>
                <w:color w:val="auto"/>
                <w:sz w:val="22"/>
                <w:szCs w:val="22"/>
              </w:rPr>
              <w:t>,</w:t>
            </w:r>
          </w:p>
          <w:p w14:paraId="48F118B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Eur</w:t>
            </w:r>
            <w:proofErr w:type="spellEnd"/>
          </w:p>
        </w:tc>
      </w:tr>
      <w:tr w:rsidR="00463EC5" w14:paraId="3A8B81E1" w14:textId="77777777" w:rsidTr="00463E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AF1E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Lopšelio grupė, spec. lopšelio grupė, 24 val. lopšelio grupė, 24 val. spec. </w:t>
            </w:r>
            <w:r>
              <w:rPr>
                <w:color w:val="auto"/>
                <w:sz w:val="22"/>
                <w:szCs w:val="22"/>
              </w:rPr>
              <w:lastRenderedPageBreak/>
              <w:t>lopšelio grupė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1D9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BA1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F47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CD1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1A0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367A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EBC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2,43</w:t>
            </w:r>
          </w:p>
        </w:tc>
      </w:tr>
      <w:tr w:rsidR="00463EC5" w14:paraId="7D08ADA1" w14:textId="77777777" w:rsidTr="00463E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554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Darželio grupė, spec. darželio grupė, 24 val. darželio grupė, 24 val. spec. darželio grupė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410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3DEC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7028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9E2E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F08E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20A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877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2,73</w:t>
            </w:r>
          </w:p>
        </w:tc>
      </w:tr>
      <w:tr w:rsidR="00463EC5" w14:paraId="735F72AE" w14:textId="77777777" w:rsidTr="00463E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6BB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jc w:val="lef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Priešmokyk-linė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grupė, spec. </w:t>
            </w:r>
            <w:proofErr w:type="spellStart"/>
            <w:r w:rsidR="007F79A7">
              <w:rPr>
                <w:color w:val="auto"/>
                <w:sz w:val="22"/>
                <w:szCs w:val="22"/>
              </w:rPr>
              <w:t>P</w:t>
            </w:r>
            <w:r>
              <w:rPr>
                <w:color w:val="auto"/>
                <w:sz w:val="22"/>
                <w:szCs w:val="22"/>
              </w:rPr>
              <w:t>riešmokyk</w:t>
            </w:r>
            <w:r w:rsidR="007F79A7">
              <w:rPr>
                <w:color w:val="auto"/>
                <w:sz w:val="22"/>
                <w:szCs w:val="22"/>
              </w:rPr>
              <w:t>-li</w:t>
            </w:r>
            <w:r>
              <w:rPr>
                <w:color w:val="auto"/>
                <w:sz w:val="22"/>
                <w:szCs w:val="22"/>
              </w:rPr>
              <w:t>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grupė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0216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CAC7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464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0D5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 w:firstLine="720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F9C8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57FA" w14:textId="77777777" w:rsidR="00463EC5" w:rsidRDefault="007F79A7">
            <w:pPr>
              <w:pStyle w:val="ISTATYMAS"/>
              <w:tabs>
                <w:tab w:val="left" w:pos="709"/>
              </w:tabs>
              <w:spacing w:line="240" w:lineRule="auto"/>
              <w:ind w:right="26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85B" w14:textId="77777777" w:rsidR="00463EC5" w:rsidRDefault="00463EC5">
            <w:pPr>
              <w:pStyle w:val="ISTATYMAS"/>
              <w:tabs>
                <w:tab w:val="left" w:pos="709"/>
              </w:tabs>
              <w:spacing w:line="240" w:lineRule="auto"/>
              <w:ind w:right="261" w:firstLine="720"/>
              <w:rPr>
                <w:color w:val="auto"/>
                <w:sz w:val="24"/>
                <w:szCs w:val="24"/>
              </w:rPr>
            </w:pPr>
          </w:p>
        </w:tc>
      </w:tr>
    </w:tbl>
    <w:p w14:paraId="2FBF856F" w14:textId="77777777" w:rsidR="00463EC5" w:rsidRDefault="00463EC5" w:rsidP="007F79A7">
      <w:pPr>
        <w:pStyle w:val="ISTATYMAS"/>
        <w:tabs>
          <w:tab w:val="left" w:pos="709"/>
        </w:tabs>
        <w:spacing w:line="240" w:lineRule="auto"/>
        <w:ind w:left="1436" w:right="26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* Naktipiečiai taikomi 12 ir daugiau valandų </w:t>
      </w:r>
      <w:r w:rsidR="007F79A7">
        <w:rPr>
          <w:color w:val="auto"/>
          <w:sz w:val="24"/>
          <w:szCs w:val="24"/>
        </w:rPr>
        <w:t>grupėse“</w:t>
      </w:r>
    </w:p>
    <w:p w14:paraId="616EAF7D" w14:textId="77777777" w:rsidR="007F79A7" w:rsidRDefault="007F79A7" w:rsidP="007F79A7">
      <w:pPr>
        <w:pStyle w:val="ISTATYMAS"/>
        <w:tabs>
          <w:tab w:val="left" w:pos="709"/>
        </w:tabs>
        <w:spacing w:line="240" w:lineRule="auto"/>
        <w:ind w:left="1436" w:right="261"/>
        <w:jc w:val="both"/>
        <w:rPr>
          <w:szCs w:val="24"/>
        </w:rPr>
      </w:pPr>
    </w:p>
    <w:p w14:paraId="6E4F4924" w14:textId="77777777" w:rsidR="00463EC5" w:rsidRDefault="00463EC5" w:rsidP="007F79A7">
      <w:pPr>
        <w:numPr>
          <w:ilvl w:val="0"/>
          <w:numId w:val="1"/>
        </w:numPr>
        <w:ind w:left="0" w:firstLine="851"/>
        <w:rPr>
          <w:szCs w:val="24"/>
          <w:lang w:eastAsia="lt-LT"/>
        </w:rPr>
      </w:pPr>
      <w:r>
        <w:rPr>
          <w:szCs w:val="24"/>
          <w:lang w:eastAsia="lt-LT"/>
        </w:rPr>
        <w:t>Pakeisti 9 punktą ir jį išdėstyti taip:</w:t>
      </w:r>
    </w:p>
    <w:p w14:paraId="72B5D825" w14:textId="77777777" w:rsidR="00463EC5" w:rsidRDefault="00463EC5" w:rsidP="007F79A7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„</w:t>
      </w:r>
      <w:r>
        <w:rPr>
          <w:color w:val="auto"/>
          <w:sz w:val="24"/>
          <w:szCs w:val="24"/>
        </w:rPr>
        <w:t xml:space="preserve">9. Už kiekvieną mėnesį nustatomas 11,50 </w:t>
      </w:r>
      <w:proofErr w:type="spellStart"/>
      <w:r>
        <w:rPr>
          <w:color w:val="auto"/>
          <w:sz w:val="24"/>
          <w:szCs w:val="24"/>
        </w:rPr>
        <w:t>Eur</w:t>
      </w:r>
      <w:proofErr w:type="spellEnd"/>
      <w:r>
        <w:rPr>
          <w:color w:val="auto"/>
          <w:sz w:val="24"/>
          <w:szCs w:val="24"/>
        </w:rPr>
        <w:t xml:space="preserve"> mokestis įstaigos reikmėms. Šis mokestis netaikomas įstaigose, kuriose vasaros laikotarpiu nevykdoma veikla.“</w:t>
      </w:r>
    </w:p>
    <w:p w14:paraId="4531FD33" w14:textId="77777777" w:rsidR="00463EC5" w:rsidRDefault="007F79A7" w:rsidP="007F79A7">
      <w:pPr>
        <w:pStyle w:val="ISTATYMAS"/>
        <w:numPr>
          <w:ilvl w:val="0"/>
          <w:numId w:val="1"/>
        </w:numPr>
        <w:tabs>
          <w:tab w:val="left" w:pos="720"/>
        </w:tabs>
        <w:spacing w:line="240" w:lineRule="auto"/>
        <w:ind w:left="0"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Pakeisti 11.4</w:t>
      </w:r>
      <w:r w:rsidR="00463EC5">
        <w:rPr>
          <w:color w:val="auto"/>
          <w:sz w:val="24"/>
          <w:szCs w:val="24"/>
        </w:rPr>
        <w:t xml:space="preserve"> papunktį ir jį išdėstyti taip:</w:t>
      </w:r>
    </w:p>
    <w:p w14:paraId="29CB6DD0" w14:textId="77777777" w:rsidR="00463EC5" w:rsidRDefault="00463EC5" w:rsidP="007F79A7">
      <w:pPr>
        <w:pStyle w:val="ISTATYMAS"/>
        <w:tabs>
          <w:tab w:val="left" w:pos="720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„11.4. vaikams, kurių vienas iš tėvų atlieka privalomąją karinę tarnybą.“</w:t>
      </w:r>
    </w:p>
    <w:p w14:paraId="7C4087B2" w14:textId="77777777" w:rsidR="00463EC5" w:rsidRDefault="00463EC5" w:rsidP="007F79A7">
      <w:pPr>
        <w:numPr>
          <w:ilvl w:val="0"/>
          <w:numId w:val="1"/>
        </w:numPr>
        <w:tabs>
          <w:tab w:val="left" w:pos="720"/>
        </w:tabs>
        <w:ind w:left="0" w:firstLine="851"/>
        <w:rPr>
          <w:szCs w:val="24"/>
          <w:lang w:eastAsia="lt-LT"/>
        </w:rPr>
      </w:pPr>
      <w:r>
        <w:rPr>
          <w:szCs w:val="24"/>
          <w:lang w:eastAsia="lt-LT"/>
        </w:rPr>
        <w:t>Pakeisti 12 punktą ir jį išdėstyti taip:</w:t>
      </w:r>
    </w:p>
    <w:p w14:paraId="52A2AE46" w14:textId="77777777" w:rsidR="00463EC5" w:rsidRDefault="00463EC5" w:rsidP="007F79A7">
      <w:pPr>
        <w:tabs>
          <w:tab w:val="left" w:pos="72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„12. Kai vaikas nelanko įstaigos, mokestis už maitinimą yra nemokamas.“</w:t>
      </w:r>
    </w:p>
    <w:p w14:paraId="4604A1F3" w14:textId="77777777" w:rsidR="00463EC5" w:rsidRDefault="00463EC5" w:rsidP="007F79A7">
      <w:pPr>
        <w:numPr>
          <w:ilvl w:val="0"/>
          <w:numId w:val="1"/>
        </w:numPr>
        <w:tabs>
          <w:tab w:val="left" w:pos="720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22 punktą ir jį išdėstyti taip:</w:t>
      </w:r>
    </w:p>
    <w:p w14:paraId="3AC5BE0C" w14:textId="77777777" w:rsidR="00463EC5" w:rsidRDefault="00463EC5" w:rsidP="007F79A7">
      <w:pPr>
        <w:tabs>
          <w:tab w:val="left" w:pos="72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„Tėvai dėl lankančio vaiko maitinimo privalo pranešti įstaigai apie neatvykimą iki 9.00 val.“</w:t>
      </w:r>
    </w:p>
    <w:p w14:paraId="4F1892DF" w14:textId="77777777" w:rsidR="00463EC5" w:rsidRDefault="00463EC5" w:rsidP="007F79A7">
      <w:pPr>
        <w:pStyle w:val="ISTATYMAS"/>
        <w:numPr>
          <w:ilvl w:val="0"/>
          <w:numId w:val="1"/>
        </w:numPr>
        <w:tabs>
          <w:tab w:val="left" w:pos="720"/>
        </w:tabs>
        <w:spacing w:line="240" w:lineRule="auto"/>
        <w:ind w:left="0"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Panaikinti 23 punktą.</w:t>
      </w:r>
    </w:p>
    <w:p w14:paraId="7CC75DE8" w14:textId="77777777" w:rsidR="00463EC5" w:rsidRDefault="00463EC5" w:rsidP="007F79A7">
      <w:pPr>
        <w:numPr>
          <w:ilvl w:val="0"/>
          <w:numId w:val="1"/>
        </w:numPr>
        <w:tabs>
          <w:tab w:val="left" w:pos="720"/>
        </w:tabs>
        <w:ind w:left="0" w:firstLine="851"/>
      </w:pPr>
      <w:r>
        <w:rPr>
          <w:szCs w:val="24"/>
          <w:lang w:eastAsia="lt-LT"/>
        </w:rPr>
        <w:t>Nustatyti, kad šio sprendimo 4, 5, 6, 7 ir 8 punktai įsigalioja nuo 2019 m. rugsėjo 1 d.</w:t>
      </w:r>
    </w:p>
    <w:p w14:paraId="076A98E0" w14:textId="77777777" w:rsidR="00463EC5" w:rsidRPr="007F79A7" w:rsidRDefault="00463EC5" w:rsidP="007F79A7">
      <w:pPr>
        <w:numPr>
          <w:ilvl w:val="0"/>
          <w:numId w:val="1"/>
        </w:numPr>
        <w:tabs>
          <w:tab w:val="left" w:pos="720"/>
        </w:tabs>
        <w:ind w:left="0" w:firstLine="851"/>
      </w:pPr>
      <w:r>
        <w:rPr>
          <w:szCs w:val="24"/>
          <w:lang w:eastAsia="lt-LT"/>
        </w:rPr>
        <w:t>Nustaty</w:t>
      </w:r>
      <w:r w:rsidR="007F79A7">
        <w:rPr>
          <w:szCs w:val="24"/>
          <w:lang w:eastAsia="lt-LT"/>
        </w:rPr>
        <w:t>ti, kad šio sprendimo 1, 2 ir 3</w:t>
      </w:r>
      <w:r>
        <w:rPr>
          <w:szCs w:val="24"/>
          <w:lang w:eastAsia="lt-LT"/>
        </w:rPr>
        <w:t xml:space="preserve"> punktai įsigalioja nuo 2020 m. sausio 1</w:t>
      </w:r>
      <w:r w:rsidR="007F79A7">
        <w:rPr>
          <w:szCs w:val="24"/>
          <w:lang w:eastAsia="lt-LT"/>
        </w:rPr>
        <w:t xml:space="preserve"> d</w:t>
      </w:r>
    </w:p>
    <w:p w14:paraId="1F778C23" w14:textId="77777777" w:rsidR="005C41AC" w:rsidRDefault="005C41AC" w:rsidP="007F79A7">
      <w:pPr>
        <w:spacing w:line="360" w:lineRule="auto"/>
        <w:jc w:val="both"/>
        <w:rPr>
          <w:szCs w:val="24"/>
        </w:rPr>
      </w:pPr>
    </w:p>
    <w:p w14:paraId="4847EE7C" w14:textId="77777777" w:rsidR="0062551B" w:rsidRDefault="0062551B" w:rsidP="002D0B3C">
      <w:pPr>
        <w:jc w:val="both"/>
        <w:rPr>
          <w:szCs w:val="24"/>
        </w:rPr>
      </w:pPr>
    </w:p>
    <w:p w14:paraId="0A94E7B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F79A7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C7ED1" w14:textId="77777777" w:rsidR="00BC5FDF" w:rsidRDefault="00BC5FDF">
      <w:r>
        <w:separator/>
      </w:r>
    </w:p>
  </w:endnote>
  <w:endnote w:type="continuationSeparator" w:id="0">
    <w:p w14:paraId="3A172DE5" w14:textId="77777777" w:rsidR="00BC5FDF" w:rsidRDefault="00BC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CDE69" w14:textId="77777777" w:rsidR="00BC5FDF" w:rsidRDefault="00BC5FDF">
      <w:r>
        <w:separator/>
      </w:r>
    </w:p>
  </w:footnote>
  <w:footnote w:type="continuationSeparator" w:id="0">
    <w:p w14:paraId="62B64142" w14:textId="77777777" w:rsidR="00BC5FDF" w:rsidRDefault="00BC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9FD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DFA"/>
    <w:rsid w:val="00355495"/>
    <w:rsid w:val="00355EE8"/>
    <w:rsid w:val="0036656C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28F8"/>
    <w:rsid w:val="00463EC5"/>
    <w:rsid w:val="00464BB1"/>
    <w:rsid w:val="00480B4C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6D57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79A7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FDF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769FD"/>
    <w:rsid w:val="00C9091E"/>
    <w:rsid w:val="00CC23E4"/>
    <w:rsid w:val="00CC5B6A"/>
    <w:rsid w:val="00CD5CCA"/>
    <w:rsid w:val="00CE1C5C"/>
    <w:rsid w:val="00CF4026"/>
    <w:rsid w:val="00CF6A82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4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7</cp:revision>
  <cp:lastPrinted>2019-08-06T06:38:00Z</cp:lastPrinted>
  <dcterms:created xsi:type="dcterms:W3CDTF">2019-08-05T04:53:00Z</dcterms:created>
  <dcterms:modified xsi:type="dcterms:W3CDTF">2019-08-06T08:12:00Z</dcterms:modified>
</cp:coreProperties>
</file>