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86DCB" w14:textId="1B875E4B" w:rsidR="00AD7AE2" w:rsidRPr="002029CB" w:rsidRDefault="002029CB" w:rsidP="002029CB">
      <w:pPr>
        <w:jc w:val="right"/>
        <w:rPr>
          <w:sz w:val="28"/>
          <w:szCs w:val="28"/>
        </w:rPr>
      </w:pPr>
      <w:bookmarkStart w:id="0" w:name="_GoBack"/>
      <w:bookmarkEnd w:id="0"/>
      <w:r w:rsidRPr="002029CB">
        <w:rPr>
          <w:sz w:val="28"/>
          <w:szCs w:val="28"/>
        </w:rPr>
        <w:t>Išrašas</w:t>
      </w:r>
    </w:p>
    <w:p w14:paraId="036FAE95" w14:textId="6E893237" w:rsidR="002029CB" w:rsidRDefault="002029CB"/>
    <w:p w14:paraId="73F8E074" w14:textId="77777777" w:rsidR="002029CB" w:rsidRDefault="002029CB" w:rsidP="002029CB">
      <w:pPr>
        <w:jc w:val="both"/>
      </w:pPr>
      <w:r>
        <w:rPr>
          <w:b/>
          <w:i/>
        </w:rPr>
        <w:t>Suvestinė redakcija nuo 2019-05-02</w:t>
      </w:r>
    </w:p>
    <w:p w14:paraId="2DC7B4EF" w14:textId="77777777" w:rsidR="002029CB" w:rsidRDefault="002029CB" w:rsidP="002029CB">
      <w:pPr>
        <w:jc w:val="both"/>
        <w:rPr>
          <w:sz w:val="20"/>
        </w:rPr>
      </w:pPr>
    </w:p>
    <w:p w14:paraId="6174F2CA" w14:textId="7A3FF8C3" w:rsidR="002029CB" w:rsidRDefault="002029CB" w:rsidP="002029CB">
      <w:pPr>
        <w:jc w:val="both"/>
        <w:rPr>
          <w:rFonts w:eastAsia="MS Mincho"/>
          <w:i/>
          <w:iCs/>
          <w:sz w:val="20"/>
        </w:rPr>
      </w:pPr>
      <w:r>
        <w:rPr>
          <w:i/>
          <w:sz w:val="20"/>
        </w:rPr>
        <w:t xml:space="preserve">Įstatymas paskelbtas: Žin. 2006, Nr. </w:t>
      </w:r>
      <w:hyperlink r:id="rId4" w:history="1">
        <w:r w:rsidRPr="00532B9F">
          <w:rPr>
            <w:rFonts w:eastAsia="MS Mincho"/>
            <w:i/>
            <w:iCs/>
            <w:color w:val="0563C1" w:themeColor="hyperlink"/>
            <w:sz w:val="20"/>
            <w:u w:val="single"/>
          </w:rPr>
          <w:t>82-3260</w:t>
        </w:r>
      </w:hyperlink>
      <w:r>
        <w:rPr>
          <w:rFonts w:eastAsia="MS Mincho"/>
          <w:i/>
          <w:iCs/>
          <w:sz w:val="20"/>
        </w:rPr>
        <w:t>, i. k. 1061010ISTA000X-764</w:t>
      </w:r>
    </w:p>
    <w:p w14:paraId="033740DD" w14:textId="79C000AD" w:rsidR="002029CB" w:rsidRDefault="002029CB" w:rsidP="002029CB">
      <w:pPr>
        <w:jc w:val="both"/>
        <w:rPr>
          <w:rFonts w:eastAsia="MS Mincho"/>
          <w:i/>
          <w:iCs/>
          <w:sz w:val="20"/>
        </w:rPr>
      </w:pPr>
    </w:p>
    <w:p w14:paraId="55E6D500" w14:textId="13863DFD" w:rsidR="002029CB" w:rsidRDefault="002029CB" w:rsidP="002029CB">
      <w:pPr>
        <w:jc w:val="both"/>
        <w:rPr>
          <w:rFonts w:eastAsia="MS Mincho"/>
          <w:i/>
          <w:iCs/>
          <w:sz w:val="20"/>
        </w:rPr>
      </w:pPr>
    </w:p>
    <w:p w14:paraId="175A2EE0" w14:textId="77777777" w:rsidR="002029CB" w:rsidRPr="002029CB" w:rsidRDefault="002029CB" w:rsidP="002029CB">
      <w:pPr>
        <w:widowControl w:val="0"/>
        <w:suppressAutoHyphens/>
        <w:spacing w:line="360" w:lineRule="auto"/>
        <w:jc w:val="center"/>
        <w:rPr>
          <w:rFonts w:eastAsia="Lucida Sans Unicode"/>
          <w:b/>
          <w:szCs w:val="24"/>
          <w:lang w:bidi="en-US"/>
        </w:rPr>
      </w:pPr>
      <w:r w:rsidRPr="002029CB">
        <w:rPr>
          <w:rFonts w:eastAsia="Lucida Sans Unicode"/>
          <w:b/>
          <w:szCs w:val="24"/>
          <w:lang w:bidi="en-US"/>
        </w:rPr>
        <w:t>LIETUVOS RESPUBLIKOS</w:t>
      </w:r>
    </w:p>
    <w:p w14:paraId="79C50BDB" w14:textId="77777777" w:rsidR="002029CB" w:rsidRPr="002029CB" w:rsidRDefault="002029CB" w:rsidP="002029CB">
      <w:pPr>
        <w:widowControl w:val="0"/>
        <w:suppressAutoHyphens/>
        <w:spacing w:line="360" w:lineRule="auto"/>
        <w:jc w:val="center"/>
        <w:rPr>
          <w:rFonts w:eastAsia="Lucida Sans Unicode"/>
          <w:b/>
          <w:szCs w:val="24"/>
          <w:lang w:bidi="en-US"/>
        </w:rPr>
      </w:pPr>
      <w:r w:rsidRPr="002029CB">
        <w:rPr>
          <w:rFonts w:eastAsia="Lucida Sans Unicode"/>
          <w:b/>
          <w:szCs w:val="24"/>
          <w:lang w:bidi="en-US"/>
        </w:rPr>
        <w:t>GERIAMOJO VANDENS TIEKIMO IR NUOTEKŲ TVARKYMO</w:t>
      </w:r>
    </w:p>
    <w:p w14:paraId="1764D183" w14:textId="77777777" w:rsidR="002029CB" w:rsidRPr="002029CB" w:rsidRDefault="002029CB" w:rsidP="002029CB">
      <w:pPr>
        <w:widowControl w:val="0"/>
        <w:suppressAutoHyphens/>
        <w:spacing w:line="360" w:lineRule="auto"/>
        <w:jc w:val="center"/>
        <w:rPr>
          <w:rFonts w:eastAsia="Lucida Sans Unicode"/>
          <w:b/>
          <w:szCs w:val="24"/>
          <w:lang w:bidi="en-US"/>
        </w:rPr>
      </w:pPr>
      <w:r w:rsidRPr="002029CB">
        <w:rPr>
          <w:rFonts w:eastAsia="Lucida Sans Unicode"/>
          <w:b/>
          <w:szCs w:val="24"/>
          <w:lang w:bidi="en-US"/>
        </w:rPr>
        <w:t>ĮSTATYMAS</w:t>
      </w:r>
    </w:p>
    <w:p w14:paraId="11C6594C" w14:textId="77777777" w:rsidR="002029CB" w:rsidRPr="002029CB" w:rsidRDefault="002029CB" w:rsidP="002029CB">
      <w:pPr>
        <w:widowControl w:val="0"/>
        <w:suppressAutoHyphens/>
        <w:spacing w:line="360" w:lineRule="auto"/>
        <w:jc w:val="center"/>
        <w:rPr>
          <w:rFonts w:eastAsia="Lucida Sans Unicode"/>
          <w:b/>
          <w:szCs w:val="24"/>
          <w:lang w:bidi="en-US"/>
        </w:rPr>
      </w:pPr>
    </w:p>
    <w:p w14:paraId="015C6FC3" w14:textId="77777777" w:rsidR="002029CB" w:rsidRPr="002029CB" w:rsidRDefault="002029CB" w:rsidP="002029CB">
      <w:pPr>
        <w:widowControl w:val="0"/>
        <w:suppressAutoHyphens/>
        <w:spacing w:line="360" w:lineRule="auto"/>
        <w:jc w:val="center"/>
      </w:pPr>
      <w:r w:rsidRPr="002029CB">
        <w:t>2006 m. liepos 13 d. Nr. X-764</w:t>
      </w:r>
    </w:p>
    <w:p w14:paraId="52383354" w14:textId="77777777" w:rsidR="002029CB" w:rsidRPr="002029CB" w:rsidRDefault="002029CB" w:rsidP="002029CB">
      <w:pPr>
        <w:widowControl w:val="0"/>
        <w:suppressAutoHyphens/>
        <w:spacing w:line="360" w:lineRule="auto"/>
        <w:jc w:val="center"/>
        <w:rPr>
          <w:rFonts w:eastAsia="Lucida Sans Unicode"/>
          <w:b/>
          <w:szCs w:val="24"/>
          <w:lang w:bidi="en-US"/>
        </w:rPr>
      </w:pPr>
      <w:r w:rsidRPr="002029CB">
        <w:t>Vilnius</w:t>
      </w:r>
    </w:p>
    <w:p w14:paraId="5115ECCA" w14:textId="77777777" w:rsidR="002029CB" w:rsidRPr="002029CB" w:rsidRDefault="002029CB" w:rsidP="002029CB">
      <w:pPr>
        <w:widowControl w:val="0"/>
        <w:suppressAutoHyphens/>
        <w:spacing w:line="240" w:lineRule="atLeast"/>
        <w:jc w:val="both"/>
        <w:rPr>
          <w:rFonts w:eastAsia="Lucida Sans Unicode"/>
          <w:szCs w:val="24"/>
          <w:lang w:bidi="en-US"/>
        </w:rPr>
      </w:pPr>
    </w:p>
    <w:p w14:paraId="5129ED6E" w14:textId="77777777" w:rsidR="002029CB" w:rsidRPr="002029CB" w:rsidRDefault="002029CB" w:rsidP="002029CB">
      <w:pPr>
        <w:widowControl w:val="0"/>
        <w:suppressAutoHyphens/>
        <w:spacing w:line="360" w:lineRule="auto"/>
        <w:jc w:val="center"/>
        <w:rPr>
          <w:rFonts w:eastAsia="Lucida Sans Unicode"/>
          <w:b/>
          <w:bCs/>
          <w:szCs w:val="24"/>
          <w:lang w:bidi="en-US"/>
        </w:rPr>
      </w:pPr>
      <w:r w:rsidRPr="002029CB">
        <w:rPr>
          <w:rFonts w:eastAsia="Lucida Sans Unicode"/>
          <w:b/>
          <w:bCs/>
          <w:szCs w:val="24"/>
          <w:lang w:bidi="en-US"/>
        </w:rPr>
        <w:t>PIRMASIS SKIRSNIS</w:t>
      </w:r>
    </w:p>
    <w:p w14:paraId="50866BF4" w14:textId="77777777" w:rsidR="002029CB" w:rsidRPr="002029CB" w:rsidRDefault="002029CB" w:rsidP="002029CB">
      <w:pPr>
        <w:widowControl w:val="0"/>
        <w:suppressAutoHyphens/>
        <w:spacing w:line="360" w:lineRule="auto"/>
        <w:jc w:val="center"/>
        <w:rPr>
          <w:rFonts w:eastAsia="Lucida Sans Unicode"/>
          <w:b/>
          <w:bCs/>
          <w:szCs w:val="24"/>
          <w:lang w:bidi="en-US"/>
        </w:rPr>
      </w:pPr>
      <w:r w:rsidRPr="002029CB">
        <w:rPr>
          <w:rFonts w:eastAsia="Lucida Sans Unicode"/>
          <w:b/>
          <w:bCs/>
          <w:szCs w:val="24"/>
          <w:lang w:bidi="en-US"/>
        </w:rPr>
        <w:t>BENDROSIOS NUOSTATOS</w:t>
      </w:r>
    </w:p>
    <w:p w14:paraId="4FE8450F" w14:textId="77777777" w:rsidR="002029CB" w:rsidRPr="002029CB" w:rsidRDefault="002029CB" w:rsidP="002029CB">
      <w:pPr>
        <w:widowControl w:val="0"/>
        <w:suppressAutoHyphens/>
        <w:spacing w:line="240" w:lineRule="atLeast"/>
        <w:ind w:firstLine="720"/>
        <w:jc w:val="both"/>
        <w:rPr>
          <w:rFonts w:eastAsia="Lucida Sans Unicode"/>
          <w:szCs w:val="24"/>
          <w:lang w:bidi="en-US"/>
        </w:rPr>
      </w:pPr>
    </w:p>
    <w:p w14:paraId="1CAE2CFD" w14:textId="77777777" w:rsidR="002029CB" w:rsidRPr="002029CB" w:rsidRDefault="002029CB" w:rsidP="002029CB">
      <w:pPr>
        <w:widowControl w:val="0"/>
        <w:suppressAutoHyphens/>
        <w:spacing w:line="360" w:lineRule="auto"/>
        <w:ind w:firstLine="720"/>
        <w:jc w:val="both"/>
        <w:rPr>
          <w:rFonts w:eastAsia="Lucida Sans Unicode"/>
          <w:b/>
          <w:bCs/>
          <w:szCs w:val="24"/>
          <w:lang w:bidi="en-US"/>
        </w:rPr>
      </w:pPr>
      <w:r w:rsidRPr="002029CB">
        <w:rPr>
          <w:rFonts w:eastAsia="Lucida Sans Unicode"/>
          <w:b/>
          <w:bCs/>
          <w:szCs w:val="24"/>
          <w:lang w:bidi="en-US"/>
        </w:rPr>
        <w:t>1 straipsnis. Įstatymo tikslas</w:t>
      </w:r>
    </w:p>
    <w:p w14:paraId="6100A5E6" w14:textId="77777777" w:rsidR="002029CB" w:rsidRPr="002029CB" w:rsidRDefault="002029CB" w:rsidP="002029CB">
      <w:pPr>
        <w:widowControl w:val="0"/>
        <w:suppressAutoHyphens/>
        <w:spacing w:line="360" w:lineRule="auto"/>
        <w:ind w:firstLine="720"/>
        <w:jc w:val="both"/>
        <w:rPr>
          <w:rFonts w:eastAsia="Lucida Sans Unicode"/>
          <w:szCs w:val="24"/>
          <w:lang w:bidi="en-US"/>
        </w:rPr>
      </w:pPr>
      <w:r w:rsidRPr="002029CB">
        <w:rPr>
          <w:rFonts w:eastAsia="Lucida Sans Unicode"/>
          <w:szCs w:val="24"/>
          <w:lang w:bidi="en-US"/>
        </w:rPr>
        <w:t>Šio įstatymo tikslas – nustatyti geriamojo vandens tiekimo ir nuotekų tvarkymo paslaugų teikimo, geriamojo vandens tiekimo ir nuotekų tvarkymo organizavimo ir planavimo bendruosius reikalavimus, kad būtų išvengta neigiamo poveikio žmonių sveikatai ir aplinkai, užtikrintas nepertraukiamas geriamojo vandens tiekimo ir nuotekų tvarkymo paslaugų teikimas, užtikrinta visuomenės poreikius atitinkanti geriamojo vandens tiekimo ir nuotekų tvarkymo infrastruktūros plėtra ir sudarytos sąlygos fiziniams ir juridiniams asmenims gauti saugos ir kokybės reikalavimus atitinkantį geriamąjį vandenį ir nuotekų tvarkymo paslaugas.</w:t>
      </w:r>
    </w:p>
    <w:p w14:paraId="70E94709" w14:textId="77777777" w:rsidR="002029CB" w:rsidRPr="002029CB" w:rsidRDefault="002029CB" w:rsidP="002029CB">
      <w:pPr>
        <w:widowControl w:val="0"/>
        <w:suppressAutoHyphens/>
        <w:spacing w:line="240" w:lineRule="atLeast"/>
        <w:ind w:firstLine="720"/>
        <w:jc w:val="both"/>
        <w:rPr>
          <w:rFonts w:eastAsia="Lucida Sans Unicode"/>
          <w:b/>
          <w:bCs/>
          <w:szCs w:val="24"/>
          <w:lang w:bidi="en-US"/>
        </w:rPr>
      </w:pPr>
    </w:p>
    <w:p w14:paraId="40572658" w14:textId="77777777" w:rsidR="002029CB" w:rsidRPr="002029CB" w:rsidRDefault="002029CB" w:rsidP="002029CB">
      <w:pPr>
        <w:spacing w:line="360" w:lineRule="auto"/>
        <w:ind w:firstLine="720"/>
        <w:jc w:val="both"/>
        <w:rPr>
          <w:color w:val="000000"/>
          <w:szCs w:val="24"/>
          <w:lang w:eastAsia="lt-LT"/>
        </w:rPr>
      </w:pPr>
      <w:r w:rsidRPr="002029CB">
        <w:rPr>
          <w:b/>
          <w:bCs/>
          <w:color w:val="000000"/>
          <w:szCs w:val="24"/>
          <w:lang w:eastAsia="lt-LT"/>
        </w:rPr>
        <w:t>2 straipsnis. Įstatymo paskirtis</w:t>
      </w:r>
    </w:p>
    <w:p w14:paraId="6A66E465" w14:textId="77777777" w:rsidR="002029CB" w:rsidRPr="002029CB" w:rsidRDefault="002029CB" w:rsidP="002029CB">
      <w:pPr>
        <w:spacing w:line="360" w:lineRule="auto"/>
        <w:ind w:firstLine="720"/>
        <w:jc w:val="both"/>
        <w:rPr>
          <w:color w:val="000000"/>
          <w:szCs w:val="24"/>
          <w:lang w:eastAsia="lt-LT"/>
        </w:rPr>
      </w:pPr>
      <w:r w:rsidRPr="002029CB">
        <w:rPr>
          <w:color w:val="000000"/>
          <w:szCs w:val="24"/>
          <w:lang w:eastAsia="lt-LT"/>
        </w:rPr>
        <w:t>1. Šis įstatymas reglamentuoja asmenų santykius, atsirandančius tiekiant geriamąjį vandenį, tvarkant nuotekas, kad būtų užtikrinta abonentų, geriamojo vandens tiekėjų ir nuotekų tvarkytojų, nuotekų tvarkymo paslaugas teikiančių asmenų teisėtų interesų apsauga ir ginamos vartotojų teisės.</w:t>
      </w:r>
    </w:p>
    <w:p w14:paraId="0854DC26" w14:textId="77777777" w:rsidR="002029CB" w:rsidRPr="002029CB" w:rsidRDefault="002029CB" w:rsidP="002029CB">
      <w:pPr>
        <w:suppressAutoHyphens/>
        <w:spacing w:line="360" w:lineRule="auto"/>
        <w:ind w:firstLine="720"/>
        <w:jc w:val="both"/>
        <w:textAlignment w:val="baseline"/>
        <w:rPr>
          <w:rFonts w:eastAsia="Lucida Sans Unicode"/>
          <w:szCs w:val="24"/>
          <w:lang w:bidi="en-US"/>
        </w:rPr>
      </w:pPr>
      <w:r w:rsidRPr="002029CB">
        <w:rPr>
          <w:color w:val="000000"/>
          <w:szCs w:val="24"/>
          <w:lang w:eastAsia="lt-LT"/>
        </w:rPr>
        <w:t>2. Šio įstatymo nuostatos suderintos su Europos Sąjungos teisės aktais, nurodytais šio įstatymo priede.</w:t>
      </w:r>
      <w:r w:rsidRPr="002029CB">
        <w:t xml:space="preserve"> </w:t>
      </w:r>
    </w:p>
    <w:p w14:paraId="3A8E4F09" w14:textId="77777777" w:rsidR="002029CB" w:rsidRPr="002029CB" w:rsidRDefault="002029CB" w:rsidP="002029CB">
      <w:pPr>
        <w:rPr>
          <w:rFonts w:eastAsia="MS Mincho"/>
          <w:i/>
          <w:iCs/>
          <w:sz w:val="20"/>
        </w:rPr>
      </w:pPr>
      <w:r w:rsidRPr="002029CB">
        <w:rPr>
          <w:rFonts w:eastAsia="MS Mincho"/>
          <w:i/>
          <w:iCs/>
          <w:sz w:val="20"/>
        </w:rPr>
        <w:t>Straipsnio pakeitimai:</w:t>
      </w:r>
    </w:p>
    <w:p w14:paraId="007ACCB6" w14:textId="77777777" w:rsidR="002029CB" w:rsidRPr="002029CB" w:rsidRDefault="002029CB" w:rsidP="002029CB">
      <w:pPr>
        <w:jc w:val="both"/>
        <w:rPr>
          <w:rFonts w:eastAsia="MS Mincho"/>
          <w:i/>
          <w:iCs/>
          <w:sz w:val="20"/>
        </w:rPr>
      </w:pPr>
      <w:r w:rsidRPr="002029CB">
        <w:rPr>
          <w:rFonts w:eastAsia="MS Mincho"/>
          <w:i/>
          <w:iCs/>
          <w:sz w:val="20"/>
        </w:rPr>
        <w:t xml:space="preserve">Nr. </w:t>
      </w:r>
      <w:hyperlink r:id="rId5" w:history="1">
        <w:r w:rsidRPr="002029CB">
          <w:rPr>
            <w:rFonts w:eastAsia="MS Mincho"/>
            <w:i/>
            <w:iCs/>
            <w:color w:val="0000FF"/>
            <w:sz w:val="20"/>
            <w:u w:val="single"/>
          </w:rPr>
          <w:t>XIII-1892</w:t>
        </w:r>
      </w:hyperlink>
      <w:r w:rsidRPr="002029CB">
        <w:rPr>
          <w:rFonts w:eastAsia="MS Mincho"/>
          <w:i/>
          <w:iCs/>
          <w:sz w:val="20"/>
        </w:rPr>
        <w:t>, 2018-12-20, paskelbta TAR 2019-01-03, i. k. 2019-00098</w:t>
      </w:r>
    </w:p>
    <w:p w14:paraId="2004D659" w14:textId="25DBABED" w:rsidR="002029CB" w:rsidRDefault="002029CB" w:rsidP="002029CB">
      <w:pPr>
        <w:jc w:val="both"/>
        <w:rPr>
          <w:sz w:val="20"/>
        </w:rPr>
      </w:pPr>
    </w:p>
    <w:p w14:paraId="49961ECE" w14:textId="77777777" w:rsidR="002029CB" w:rsidRDefault="002029CB" w:rsidP="002029CB">
      <w:pPr>
        <w:widowControl w:val="0"/>
        <w:suppressAutoHyphens/>
        <w:spacing w:line="360" w:lineRule="auto"/>
        <w:ind w:left="2268" w:hanging="1548"/>
        <w:jc w:val="both"/>
        <w:rPr>
          <w:rFonts w:eastAsia="Lucida Sans Unicode"/>
          <w:b/>
          <w:bCs/>
          <w:szCs w:val="24"/>
          <w:lang w:bidi="en-US"/>
        </w:rPr>
      </w:pPr>
      <w:r>
        <w:rPr>
          <w:rFonts w:eastAsia="Lucida Sans Unicode"/>
          <w:b/>
          <w:bCs/>
          <w:szCs w:val="24"/>
          <w:lang w:bidi="en-US"/>
        </w:rPr>
        <w:t>23 straipsnis. Asmenų, individualiai išgaunančių ir naudojančių geriamąjį vandenį ir (arba) individualiai tvarkančių nuotekas, teisės ir pareigos</w:t>
      </w:r>
    </w:p>
    <w:p w14:paraId="775F70E8" w14:textId="2F8CA088" w:rsidR="002029CB" w:rsidRDefault="002029CB" w:rsidP="002029CB">
      <w:pPr>
        <w:jc w:val="both"/>
        <w:rPr>
          <w:sz w:val="20"/>
        </w:rPr>
      </w:pPr>
    </w:p>
    <w:p w14:paraId="2E438722" w14:textId="77777777" w:rsidR="002029CB" w:rsidRPr="002029CB" w:rsidRDefault="002029CB" w:rsidP="002029CB">
      <w:pPr>
        <w:spacing w:line="360" w:lineRule="auto"/>
        <w:ind w:firstLine="720"/>
        <w:jc w:val="both"/>
        <w:rPr>
          <w:b/>
          <w:szCs w:val="24"/>
        </w:rPr>
      </w:pPr>
      <w:r w:rsidRPr="002029CB">
        <w:rPr>
          <w:b/>
          <w:szCs w:val="24"/>
        </w:rPr>
        <w:t>2. Asmenys, individualiai išgaunantys ir naudojantys geriamąjį vandenį ir (arba) individualiai tvarkantys nuotekas, privalo:</w:t>
      </w:r>
    </w:p>
    <w:p w14:paraId="6FA3E057" w14:textId="77777777" w:rsidR="002029CB" w:rsidRPr="002029CB" w:rsidRDefault="002029CB" w:rsidP="002029CB">
      <w:pPr>
        <w:spacing w:line="360" w:lineRule="auto"/>
        <w:ind w:firstLine="720"/>
        <w:jc w:val="both"/>
        <w:rPr>
          <w:szCs w:val="24"/>
        </w:rPr>
      </w:pPr>
      <w:r w:rsidRPr="002029CB">
        <w:rPr>
          <w:szCs w:val="24"/>
        </w:rPr>
        <w:t>1) aplinkos ministro nustatyta tvarka projektuoti, įrengti, registruoti, konservuoti ir likviduoti geriamojo vandens išgavimo gręžinį;</w:t>
      </w:r>
    </w:p>
    <w:p w14:paraId="7CE26442" w14:textId="77777777" w:rsidR="002029CB" w:rsidRPr="002029CB" w:rsidRDefault="002029CB" w:rsidP="002029CB">
      <w:pPr>
        <w:spacing w:line="360" w:lineRule="auto"/>
        <w:ind w:firstLine="720"/>
        <w:jc w:val="both"/>
        <w:rPr>
          <w:szCs w:val="24"/>
        </w:rPr>
      </w:pPr>
      <w:r w:rsidRPr="002029CB">
        <w:rPr>
          <w:szCs w:val="24"/>
        </w:rPr>
        <w:lastRenderedPageBreak/>
        <w:t>2) teisės aktų nustatyta tvarka teikti informaciją apie išgaunamą ir naudojamą geriamąjį vandenį;</w:t>
      </w:r>
    </w:p>
    <w:p w14:paraId="142D4585" w14:textId="77777777" w:rsidR="002029CB" w:rsidRPr="002029CB" w:rsidRDefault="002029CB" w:rsidP="002029CB">
      <w:pPr>
        <w:spacing w:line="360" w:lineRule="auto"/>
        <w:ind w:firstLine="720"/>
        <w:jc w:val="both"/>
        <w:rPr>
          <w:szCs w:val="24"/>
        </w:rPr>
      </w:pPr>
      <w:r w:rsidRPr="002029CB">
        <w:rPr>
          <w:szCs w:val="24"/>
        </w:rPr>
        <w:t>3) siekiant užtikrinti individualiųjų nuotekų tvarkymo kontrolę, teikti informaciją apie nuotekų valymo (arba) kaupimo įrenginius aplinkos ministro nustatyta tvarka;</w:t>
      </w:r>
    </w:p>
    <w:p w14:paraId="27D0B771" w14:textId="77777777" w:rsidR="002029CB" w:rsidRPr="002029CB" w:rsidRDefault="002029CB" w:rsidP="002029CB">
      <w:pPr>
        <w:spacing w:line="360" w:lineRule="auto"/>
        <w:ind w:firstLine="720"/>
        <w:jc w:val="both"/>
        <w:rPr>
          <w:b/>
          <w:szCs w:val="24"/>
        </w:rPr>
      </w:pPr>
      <w:r w:rsidRPr="002029CB">
        <w:rPr>
          <w:szCs w:val="24"/>
        </w:rPr>
        <w:t xml:space="preserve">4) </w:t>
      </w:r>
      <w:r w:rsidRPr="002029CB">
        <w:rPr>
          <w:b/>
          <w:szCs w:val="24"/>
        </w:rPr>
        <w:t>per 9 mėnesius sudaryti sąlygas</w:t>
      </w:r>
      <w:r w:rsidRPr="002029CB">
        <w:rPr>
          <w:szCs w:val="24"/>
        </w:rPr>
        <w:t xml:space="preserve"> (gauti iš geriamojo vandens tiekėjo ir nuotekų tvarkymo prisijungimo sąlygas, nutiesti geriamojo vandens, tiekimo ir (arba) nuotekų išleidimo tinklus nuosavybės teise ar kitais pagrindais valdomame sklype) </w:t>
      </w:r>
      <w:r w:rsidRPr="002029CB">
        <w:rPr>
          <w:b/>
          <w:szCs w:val="24"/>
        </w:rPr>
        <w:t xml:space="preserve">prijungti jiems nuosavybės teise priklausančią geriamojo vandens tiekimo ir (arba) nuotekų tvarkymo infrastruktūrą prie viešojo geriamojo vandens tiekėjo </w:t>
      </w:r>
      <w:r w:rsidRPr="002029CB">
        <w:rPr>
          <w:szCs w:val="24"/>
        </w:rPr>
        <w:t xml:space="preserve">ir nuotekų tvarkytojo nuosavybės teise ar kitaip valdomos ir (arba) naudojamos geriamojo vandens tiekimo ir (arba) nuotekų tvarkymo infrastruktūros, kai, vadovaujantis šio įstatymo, Statybos įstatymo ir kitų teisės aktų reikalavimais, yra sukurta infrastruktūra, ji nuosavybės teise priklauso savivaldybei ar viešajam geriamojo vandens tiekėjui ir nuotekų tvarkytojui, vandentiekio įvadas, nuotekų išvadas nutiesti iki turto ribos (vandentiekio šulinys, nuotekų priėmimo šulinys, nuotekų siurblinė (kai yra slėginė nuotekų linija), individualaus namo nuotekų valykla, sklypo riba ar statinio, ar daugiabučio namo įvadas, nuotekų išvadas) ir teisės aktų nustatyta tvarka nustatoma, kad asmens vykdomas individualusis geriamojo vandens išgavimas ir (arba) individualusis nuotekų tvarkymas neatitinka teisės aktuose nustatytų geriamojo vandens išgavimo ir (arba) nuotekų tvarkymo reikalavimų. Ši pareiga galioja, kai yra visos šiame punkte išvardytos aplinkybės. Savivaldybė, gavusi atsakingų institucijų išvadas dėl geriamojo vandens tiekimo ir (arba) nuotekų tvarkymo infrastruktūros objektų statybos atitikties teisės aktų reikalavimams, asmens individualiojo geriamojo vandens išgavimo ir (arba) nuotekų tvarkymo neatitikties teisės aktų reikalavimams, kai vandentiekio įvadas ir nuotekų išvadas nuosavybės teise priklauso savivaldybei ar viešajam geriamojo vandens tiekėjui ir nuotekų tvarkytojui, privalo per 5 darbo dienas registruotu laišku informuoti asmenį, nurodydama 9 mėnesių laikotarpį, iki kurio pabaigos asmuo turi sudaryti sąlygas prijungti jam nuosavybės teise priklausančią geriamojo vandens tiekimo ir (arba) nuotekų tvarkymo infrastruktūrą prie viešojo geriamojo vandens tiekėjo ir nuotekų tvarkytojo nuosavybės teise ar kitaip valdomos ir (arba) naudojamos geriamojo vandens tiekimo ir (arba) nuotekų tvarkymo infrastruktūros. </w:t>
      </w:r>
      <w:r w:rsidRPr="002029CB">
        <w:rPr>
          <w:b/>
          <w:szCs w:val="24"/>
        </w:rPr>
        <w:t>Asmenims, turintiems teisę į piniginę paramą Lietuvos Respublikos piniginės socialinės paramos nepasiturintiems gyventojams įstatyme nustatyta tvarka, gali būti skiriama socialinė parama geriamojo vandens tiekimo ir (arba) nuotekų išleidimo tinklų tiesimui asmens nuosavybės teise priklausančio ar kitaip valdomo ir (arba) naudojamo turto ribose;</w:t>
      </w:r>
    </w:p>
    <w:p w14:paraId="7B062EE4" w14:textId="77777777" w:rsidR="002029CB" w:rsidRPr="002029CB" w:rsidRDefault="002029CB" w:rsidP="002029CB">
      <w:pPr>
        <w:rPr>
          <w:rFonts w:eastAsia="MS Mincho"/>
          <w:i/>
          <w:iCs/>
          <w:sz w:val="20"/>
        </w:rPr>
      </w:pPr>
      <w:r w:rsidRPr="002029CB">
        <w:rPr>
          <w:rFonts w:eastAsia="MS Mincho"/>
          <w:i/>
          <w:iCs/>
          <w:sz w:val="20"/>
        </w:rPr>
        <w:t>Straipsnio dalies pakeitimai:</w:t>
      </w:r>
    </w:p>
    <w:p w14:paraId="3741E05B" w14:textId="77777777" w:rsidR="002029CB" w:rsidRPr="002029CB" w:rsidRDefault="002029CB" w:rsidP="002029CB">
      <w:pPr>
        <w:jc w:val="both"/>
        <w:rPr>
          <w:rFonts w:eastAsia="MS Mincho"/>
          <w:i/>
          <w:iCs/>
          <w:sz w:val="20"/>
        </w:rPr>
      </w:pPr>
      <w:r w:rsidRPr="002029CB">
        <w:rPr>
          <w:rFonts w:eastAsia="MS Mincho"/>
          <w:i/>
          <w:iCs/>
          <w:sz w:val="20"/>
        </w:rPr>
        <w:t xml:space="preserve">Nr. </w:t>
      </w:r>
      <w:hyperlink r:id="rId6" w:history="1">
        <w:r w:rsidRPr="002029CB">
          <w:rPr>
            <w:rFonts w:eastAsia="MS Mincho"/>
            <w:i/>
            <w:iCs/>
            <w:color w:val="0000FF"/>
            <w:sz w:val="20"/>
            <w:u w:val="single"/>
          </w:rPr>
          <w:t>XIII-1892</w:t>
        </w:r>
      </w:hyperlink>
      <w:r w:rsidRPr="002029CB">
        <w:rPr>
          <w:rFonts w:eastAsia="MS Mincho"/>
          <w:i/>
          <w:iCs/>
          <w:sz w:val="20"/>
        </w:rPr>
        <w:t>, 2018-12-20, paskelbta TAR 2019-01-03, i. k. 2019-00098</w:t>
      </w:r>
    </w:p>
    <w:p w14:paraId="40F74DAF" w14:textId="77777777" w:rsidR="002029CB" w:rsidRPr="002029CB" w:rsidRDefault="002029CB" w:rsidP="002029CB">
      <w:pPr>
        <w:jc w:val="both"/>
        <w:rPr>
          <w:sz w:val="20"/>
        </w:rPr>
      </w:pPr>
    </w:p>
    <w:sectPr w:rsidR="002029CB" w:rsidRPr="002029CB" w:rsidSect="00FD6EF0">
      <w:pgSz w:w="11906" w:h="16838" w:code="9"/>
      <w:pgMar w:top="567" w:right="567" w:bottom="1134" w:left="1701" w:header="567" w:footer="567" w:gutter="0"/>
      <w:paperSrc w:first="15" w:other="15"/>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BA6"/>
    <w:rsid w:val="002029CB"/>
    <w:rsid w:val="00882BA6"/>
    <w:rsid w:val="00AD7AE2"/>
    <w:rsid w:val="00D00640"/>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89F42"/>
  <w15:chartTrackingRefBased/>
  <w15:docId w15:val="{6822544F-CB9E-4421-9AFE-B9A0D827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029C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13566cf00f6711e9a5eaf2cd290f1944" TargetMode="External"/><Relationship Id="rId5" Type="http://schemas.openxmlformats.org/officeDocument/2006/relationships/hyperlink" Target="https://www.e-tar.lt/portal/legalAct.html?documentId=13566cf00f6711e9a5eaf2cd290f1944" TargetMode="External"/><Relationship Id="rId4" Type="http://schemas.openxmlformats.org/officeDocument/2006/relationships/hyperlink" Target="https://www.e-tar.lt/portal/legalAct.html?documentId=TAR.0AE0464E0ED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3248</Words>
  <Characters>1852</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dc:description/>
  <cp:lastModifiedBy>Mantas Navaruckis</cp:lastModifiedBy>
  <cp:revision>2</cp:revision>
  <dcterms:created xsi:type="dcterms:W3CDTF">2019-08-08T05:22:00Z</dcterms:created>
  <dcterms:modified xsi:type="dcterms:W3CDTF">2019-08-08T05:22:00Z</dcterms:modified>
</cp:coreProperties>
</file>