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FBEF" w14:textId="52249A54" w:rsidR="003A680C" w:rsidRPr="0059462D" w:rsidRDefault="003A680C" w:rsidP="003A680C">
      <w:pPr>
        <w:pStyle w:val="Standard"/>
        <w:jc w:val="center"/>
        <w:rPr>
          <w:sz w:val="22"/>
          <w:szCs w:val="22"/>
        </w:rPr>
      </w:pPr>
      <w:bookmarkStart w:id="0" w:name="_GoBack"/>
      <w:bookmarkEnd w:id="0"/>
      <w:r w:rsidRPr="0059462D">
        <w:rPr>
          <w:b/>
          <w:sz w:val="22"/>
          <w:szCs w:val="22"/>
        </w:rPr>
        <w:t>PANEVĖŽIO TEATRO „MENAS“ (</w:t>
      </w:r>
      <w:r w:rsidRPr="0059462D">
        <w:rPr>
          <w:b/>
          <w:color w:val="000000"/>
          <w:sz w:val="22"/>
          <w:szCs w:val="22"/>
          <w:lang w:eastAsia="en-US"/>
        </w:rPr>
        <w:t>KODAS</w:t>
      </w:r>
      <w:r w:rsidRPr="0059462D">
        <w:rPr>
          <w:b/>
          <w:sz w:val="22"/>
          <w:szCs w:val="22"/>
        </w:rPr>
        <w:t xml:space="preserve"> 190432352) TEIK</w:t>
      </w:r>
      <w:r w:rsidR="009E7354" w:rsidRPr="0059462D">
        <w:rPr>
          <w:b/>
          <w:sz w:val="22"/>
          <w:szCs w:val="22"/>
        </w:rPr>
        <w:t>IAMŲ MOKAMŲ PASLAUGŲ KAINORAŠČIO PAKEITIMAI</w:t>
      </w:r>
    </w:p>
    <w:p w14:paraId="7473E007" w14:textId="77777777" w:rsidR="003A680C" w:rsidRPr="0059462D" w:rsidRDefault="003A680C" w:rsidP="003A680C">
      <w:pPr>
        <w:pStyle w:val="Standard"/>
        <w:jc w:val="center"/>
        <w:rPr>
          <w:sz w:val="22"/>
          <w:szCs w:val="22"/>
          <w:lang w:eastAsia="en-US"/>
        </w:rPr>
      </w:pPr>
    </w:p>
    <w:tbl>
      <w:tblPr>
        <w:tblW w:w="1559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519"/>
        <w:gridCol w:w="1276"/>
        <w:gridCol w:w="1559"/>
        <w:gridCol w:w="283"/>
        <w:gridCol w:w="1560"/>
        <w:gridCol w:w="1275"/>
        <w:gridCol w:w="3317"/>
        <w:gridCol w:w="2960"/>
      </w:tblGrid>
      <w:tr w:rsidR="003A680C" w:rsidRPr="0059462D" w14:paraId="0C2FBDF6" w14:textId="77777777" w:rsidTr="00C80D30">
        <w:trPr>
          <w:cantSplit/>
          <w:trHeight w:val="604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7571" w14:textId="77777777" w:rsidR="003A680C" w:rsidRPr="0059462D" w:rsidRDefault="003A680C" w:rsidP="0065753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Eil.</w:t>
            </w:r>
          </w:p>
          <w:p w14:paraId="21B41E22" w14:textId="77777777" w:rsidR="003A680C" w:rsidRPr="0059462D" w:rsidRDefault="003A680C" w:rsidP="0065753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CD07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54BD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D6A3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Senas tarifas</w:t>
            </w:r>
          </w:p>
          <w:p w14:paraId="1DD40E59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(Eur)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372BB8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Naujas tarifas </w:t>
            </w:r>
          </w:p>
          <w:p w14:paraId="3E95254F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C51E17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Pastabos </w:t>
            </w:r>
          </w:p>
          <w:p w14:paraId="772042C0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DBD42" w14:textId="77777777" w:rsidR="00A3768F" w:rsidRPr="0059462D" w:rsidRDefault="00A3768F" w:rsidP="00A3768F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Pagrįsti prašomo tarifo (pakėlimo/sumažinimo/naujos paslaugos) dydį</w:t>
            </w:r>
          </w:p>
          <w:p w14:paraId="43424A0B" w14:textId="77777777" w:rsidR="003A680C" w:rsidRPr="0059462D" w:rsidRDefault="00A3768F" w:rsidP="00A3768F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1F6342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3A680C" w:rsidRPr="0059462D" w14:paraId="764028B9" w14:textId="77777777" w:rsidTr="00C80D30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37D2" w14:textId="77777777" w:rsidR="003A680C" w:rsidRPr="0059462D" w:rsidRDefault="003A680C" w:rsidP="0065753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48A2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446C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A759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9B915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E1380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EEA2B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A5734" w14:textId="77777777" w:rsidR="003A680C" w:rsidRPr="0059462D" w:rsidRDefault="003A680C" w:rsidP="00657533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3A680C" w:rsidRPr="0059462D" w14:paraId="1267A958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4250" w14:textId="77777777" w:rsidR="003A680C" w:rsidRPr="0059462D" w:rsidRDefault="003A680C" w:rsidP="00501757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BILIETŲ KAINOS</w:t>
            </w:r>
          </w:p>
        </w:tc>
      </w:tr>
      <w:tr w:rsidR="003A680C" w:rsidRPr="0059462D" w14:paraId="02685D0E" w14:textId="77777777" w:rsidTr="009D7935">
        <w:trPr>
          <w:cantSplit/>
          <w:trHeight w:val="47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43E0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</w:t>
            </w:r>
          </w:p>
        </w:tc>
        <w:tc>
          <w:tcPr>
            <w:tcW w:w="1474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B6F9" w14:textId="77777777" w:rsidR="003A680C" w:rsidRPr="0059462D" w:rsidRDefault="003A680C" w:rsidP="003A680C">
            <w:pPr>
              <w:pStyle w:val="Standard"/>
              <w:keepNext/>
              <w:spacing w:line="150" w:lineRule="atLeast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Spektakliai teatre: </w:t>
            </w:r>
          </w:p>
        </w:tc>
      </w:tr>
      <w:tr w:rsidR="003A680C" w:rsidRPr="0059462D" w14:paraId="4BA9312E" w14:textId="77777777" w:rsidTr="00C80D30">
        <w:trPr>
          <w:cantSplit/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9974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0042" w14:textId="77777777" w:rsidR="003A680C" w:rsidRPr="0059462D" w:rsidRDefault="006E057C" w:rsidP="00DB71FC">
            <w:pPr>
              <w:pStyle w:val="Standard"/>
              <w:keepNext/>
              <w:tabs>
                <w:tab w:val="left" w:pos="176"/>
              </w:tabs>
              <w:spacing w:line="201" w:lineRule="atLeast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Spektakliai </w:t>
            </w:r>
            <w:r w:rsidR="003A680C" w:rsidRPr="0059462D">
              <w:rPr>
                <w:color w:val="000000"/>
                <w:sz w:val="22"/>
                <w:szCs w:val="22"/>
                <w:lang w:eastAsia="en-US"/>
              </w:rPr>
              <w:t>vaikams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E455" w14:textId="77777777" w:rsidR="003A680C" w:rsidRPr="0059462D" w:rsidRDefault="003A680C" w:rsidP="00652345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4A34" w14:textId="77777777" w:rsidR="003A680C" w:rsidRPr="0059462D" w:rsidRDefault="00BA213B" w:rsidP="00652345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3A680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75EA5" w14:textId="77777777" w:rsidR="003A680C" w:rsidRPr="0059462D" w:rsidRDefault="00BA213B" w:rsidP="00652345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6E057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6AACB" w14:textId="77777777" w:rsidR="003A680C" w:rsidRPr="0059462D" w:rsidRDefault="006E057C" w:rsidP="00652345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Padidėjęs</w:t>
            </w:r>
            <w:r w:rsidR="00F414F3"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CCAC1" w14:textId="6AE017CE" w:rsidR="00200420" w:rsidRDefault="00200420" w:rsidP="00BA641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Išaugo spektaklių pastatymo savikaina</w:t>
            </w:r>
          </w:p>
          <w:p w14:paraId="1FEB6FDA" w14:textId="36EED62C" w:rsidR="00200420" w:rsidRDefault="00200420" w:rsidP="00BA641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 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ntelektinės paslaugos:</w:t>
            </w:r>
          </w:p>
          <w:p w14:paraId="7EBB2C49" w14:textId="0579D65F" w:rsidR="00D97FCE" w:rsidRDefault="00200420" w:rsidP="00BA641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r</w:t>
            </w:r>
            <w:r w:rsidR="00D216E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ežisūra 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>nuo 20</w:t>
            </w:r>
            <w:r w:rsidR="00D216E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 Lt iki 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  <w:r w:rsidR="00D216ED">
              <w:rPr>
                <w:rFonts w:eastAsia="Calibri"/>
                <w:bCs/>
                <w:sz w:val="22"/>
                <w:szCs w:val="22"/>
                <w:lang w:eastAsia="en-US"/>
              </w:rPr>
              <w:t>00 Eur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</w:p>
          <w:p w14:paraId="20A18420" w14:textId="122E29BC" w:rsidR="00D97FCE" w:rsidRDefault="00200420" w:rsidP="00BA641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s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cenografija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nuo 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 Lt iki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 Eur, muzikos sukūrimas – nuo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 Lt iki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>00 Eur ir kt.</w:t>
            </w:r>
          </w:p>
          <w:p w14:paraId="41931932" w14:textId="64D41144" w:rsidR="00596003" w:rsidRPr="0059462D" w:rsidRDefault="00BA641F" w:rsidP="00BA641F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</w:t>
            </w:r>
            <w:r w:rsidR="0020042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Inventorius: 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>prožektoriai</w:t>
            </w:r>
            <w:r w:rsidR="00200420">
              <w:rPr>
                <w:rFonts w:eastAsia="Calibri"/>
                <w:bCs/>
                <w:sz w:val="22"/>
                <w:szCs w:val="22"/>
                <w:lang w:eastAsia="en-US"/>
              </w:rPr>
              <w:t>, jų priedai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nuo </w:t>
            </w:r>
            <w:r w:rsidR="00200420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 Lt </w:t>
            </w:r>
            <w:r w:rsidR="0020042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iki 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>500 Eur,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D97FCE">
              <w:rPr>
                <w:rFonts w:eastAsia="Calibri"/>
                <w:bCs/>
                <w:sz w:val="22"/>
                <w:szCs w:val="22"/>
                <w:lang w:eastAsia="en-US"/>
              </w:rPr>
              <w:t>kompiuterinė technika nuo 1200 Lt iki 110</w:t>
            </w:r>
            <w:r w:rsidR="00200420">
              <w:rPr>
                <w:rFonts w:eastAsia="Calibri"/>
                <w:bCs/>
                <w:sz w:val="22"/>
                <w:szCs w:val="22"/>
                <w:lang w:eastAsia="en-US"/>
              </w:rPr>
              <w:t>0 Eur, medžiagos ir prekės dekoracijoms ir kostiumams nuo 900 Lt iki 900 Eur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A58C6" w14:textId="4844C181" w:rsidR="003A680C" w:rsidRDefault="008512EC" w:rsidP="006D2730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Panevėžio Juozo </w:t>
            </w:r>
            <w:r w:rsidR="00820992"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306C73F4" w14:textId="77777777" w:rsidR="00CC62C0" w:rsidRPr="0059462D" w:rsidRDefault="00D53EB8" w:rsidP="006D2730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E73217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-6</w:t>
            </w:r>
            <w:r w:rsidR="00E73217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3A680C" w:rsidRPr="0059462D" w14:paraId="5BAAC5E2" w14:textId="77777777" w:rsidTr="00C80D30">
        <w:trPr>
          <w:cantSplit/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8DE0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8DE3" w14:textId="77777777" w:rsidR="003A680C" w:rsidRPr="0059462D" w:rsidRDefault="006E057C" w:rsidP="00DB71FC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 xml:space="preserve">Spektakliai </w:t>
            </w:r>
            <w:r w:rsidR="003A680C" w:rsidRPr="0059462D">
              <w:rPr>
                <w:sz w:val="22"/>
                <w:szCs w:val="22"/>
                <w:lang w:eastAsia="en-US"/>
              </w:rPr>
              <w:t>suaugusiesiems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0A30" w14:textId="77777777" w:rsidR="003A680C" w:rsidRPr="0059462D" w:rsidRDefault="003A680C" w:rsidP="00652345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D3A4" w14:textId="77777777" w:rsidR="003A680C" w:rsidRPr="0059462D" w:rsidRDefault="00BA213B" w:rsidP="00652345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="003A680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60C53" w14:textId="77777777" w:rsidR="003A680C" w:rsidRPr="0059462D" w:rsidRDefault="00BA213B" w:rsidP="00652345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  <w:r w:rsidR="006E057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23AC82" w14:textId="77777777" w:rsidR="003A680C" w:rsidRPr="0059462D" w:rsidRDefault="006E057C" w:rsidP="00652345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Padidėjęs</w:t>
            </w:r>
            <w:r w:rsidR="00F414F3"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84C8A" w14:textId="77777777" w:rsidR="00BA641F" w:rsidRPr="00BA641F" w:rsidRDefault="00BA641F" w:rsidP="00BA641F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1F">
              <w:rPr>
                <w:rFonts w:eastAsia="Calibri"/>
                <w:bCs/>
                <w:sz w:val="22"/>
                <w:szCs w:val="22"/>
                <w:lang w:eastAsia="en-US"/>
              </w:rPr>
              <w:t>Išaugo spektaklių pastatymo savikaina</w:t>
            </w:r>
          </w:p>
          <w:p w14:paraId="12ED0781" w14:textId="77777777" w:rsidR="00BA641F" w:rsidRPr="00BA641F" w:rsidRDefault="00BA641F" w:rsidP="00BA641F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1F">
              <w:rPr>
                <w:rFonts w:eastAsia="Calibri"/>
                <w:bCs/>
                <w:sz w:val="22"/>
                <w:szCs w:val="22"/>
                <w:lang w:eastAsia="en-US"/>
              </w:rPr>
              <w:t>1. Intelektinės paslaugos:</w:t>
            </w:r>
          </w:p>
          <w:p w14:paraId="2A45A145" w14:textId="43EB33D2" w:rsidR="00BA641F" w:rsidRPr="00BA641F" w:rsidRDefault="00BA641F" w:rsidP="00BA641F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režisūra - nuo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3000 Lt iki 3</w:t>
            </w:r>
            <w:r w:rsidRPr="00BA641F">
              <w:rPr>
                <w:rFonts w:eastAsia="Calibri"/>
                <w:bCs/>
                <w:sz w:val="22"/>
                <w:szCs w:val="22"/>
                <w:lang w:eastAsia="en-US"/>
              </w:rPr>
              <w:t>500 Eur,</w:t>
            </w:r>
          </w:p>
          <w:p w14:paraId="4C488E3F" w14:textId="77777777" w:rsidR="00BA641F" w:rsidRPr="00BA641F" w:rsidRDefault="00BA641F" w:rsidP="00BA641F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1F">
              <w:rPr>
                <w:rFonts w:eastAsia="Calibri"/>
                <w:bCs/>
                <w:sz w:val="22"/>
                <w:szCs w:val="22"/>
                <w:lang w:eastAsia="en-US"/>
              </w:rPr>
              <w:t>scenografija - nuo 1000 Lt iki 1500 Eur, muzikos sukūrimas – nuo 500 Lt iki 800 Eur ir kt.</w:t>
            </w:r>
          </w:p>
          <w:p w14:paraId="779DE7B1" w14:textId="2B34FD25" w:rsidR="003A680C" w:rsidRPr="0059462D" w:rsidRDefault="00BA641F" w:rsidP="00BA641F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1F">
              <w:rPr>
                <w:rFonts w:eastAsia="Calibri"/>
                <w:bCs/>
                <w:sz w:val="22"/>
                <w:szCs w:val="22"/>
                <w:lang w:eastAsia="en-US"/>
              </w:rPr>
              <w:t>2. Inventorius: prožektoriai, jų priedai nuo 300 Lt iki 500 Eur, kompiuterinė technika nuo 1200 Lt iki 1100 Eur, medžiagos ir prekės dekoracijoms ir kostiumams nuo 900 Lt iki 900 Eur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ir kt.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E63CA" w14:textId="10C0415E" w:rsidR="003A680C" w:rsidRDefault="008512EC" w:rsidP="006D2730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Panevėžio Juozo </w:t>
            </w:r>
            <w:r w:rsidR="00E73217"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2BD72B34" w14:textId="77777777" w:rsidR="002A3569" w:rsidRDefault="002A3569" w:rsidP="006D2730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A1363D" w14:textId="77777777" w:rsidR="00E73217" w:rsidRPr="0059462D" w:rsidRDefault="00E73217" w:rsidP="006D2730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10,00</w:t>
            </w:r>
          </w:p>
        </w:tc>
      </w:tr>
      <w:tr w:rsidR="003A680C" w:rsidRPr="0059462D" w14:paraId="183E0EA4" w14:textId="77777777" w:rsidTr="00C80D30">
        <w:trPr>
          <w:cantSplit/>
          <w:trHeight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5587" w14:textId="77777777" w:rsidR="003A680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017E" w14:textId="77777777" w:rsidR="003A680C" w:rsidRPr="0059462D" w:rsidRDefault="006E057C" w:rsidP="00DB71F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P</w:t>
            </w:r>
            <w:r w:rsidR="003A680C" w:rsidRPr="0059462D">
              <w:rPr>
                <w:color w:val="000000"/>
                <w:sz w:val="22"/>
                <w:szCs w:val="22"/>
                <w:lang w:eastAsia="en-US"/>
              </w:rPr>
              <w:t>remjera suaugusiesiems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3CBB" w14:textId="77777777" w:rsidR="003A680C" w:rsidRPr="0059462D" w:rsidRDefault="003A680C" w:rsidP="00652345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9273" w14:textId="77777777" w:rsidR="003A680C" w:rsidRPr="0059462D" w:rsidRDefault="00BA213B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="003A680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F0851" w14:textId="77777777" w:rsidR="003A680C" w:rsidRPr="0059462D" w:rsidRDefault="00BA213B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  <w:r w:rsidR="006E057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ECA4B" w14:textId="77777777" w:rsidR="003A680C" w:rsidRPr="0059462D" w:rsidRDefault="006E057C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Padidėjęs</w:t>
            </w:r>
            <w:r w:rsidR="00F414F3"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361EE" w14:textId="4C1B325A" w:rsidR="003A680C" w:rsidRPr="0059462D" w:rsidRDefault="003A680C" w:rsidP="00C76C96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0DAA1" w14:textId="3A985BE9" w:rsidR="003A680C" w:rsidRDefault="008512E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Panevėžio Juozo </w:t>
            </w:r>
            <w:r w:rsidR="00CE28AC"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37200CEF" w14:textId="77777777" w:rsidR="002A3569" w:rsidRDefault="002A3569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9CFA60" w14:textId="77777777" w:rsidR="00CE28AC" w:rsidRPr="0059462D" w:rsidRDefault="00CE28A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12,00</w:t>
            </w:r>
          </w:p>
        </w:tc>
      </w:tr>
      <w:tr w:rsidR="006E057C" w:rsidRPr="0059462D" w14:paraId="1B969F98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7449" w14:textId="77777777" w:rsidR="006E057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CBAB" w14:textId="77777777" w:rsidR="006E057C" w:rsidRPr="0059462D" w:rsidRDefault="006E057C" w:rsidP="00DB71FC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Spektakliai vaikams grupei &gt; 10 asmenų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2CF8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1BBB" w14:textId="565F207A" w:rsidR="006E057C" w:rsidRPr="0059462D" w:rsidRDefault="006E057C" w:rsidP="00506E60">
            <w:pPr>
              <w:pStyle w:val="Standard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9B5AB" w14:textId="77777777" w:rsidR="006E057C" w:rsidRPr="0059462D" w:rsidRDefault="00BA213B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3</w:t>
            </w:r>
            <w:r w:rsidR="00F414F3" w:rsidRPr="0059462D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B27B3" w14:textId="02F1ABB6" w:rsidR="006E057C" w:rsidRPr="0059462D" w:rsidRDefault="00506E60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Naujas</w:t>
            </w:r>
            <w:r w:rsidR="00F414F3" w:rsidRPr="0059462D">
              <w:rPr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F0247" w14:textId="3C56CFC4" w:rsidR="006E057C" w:rsidRPr="0059462D" w:rsidRDefault="006E057C" w:rsidP="008D0BF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65E02" w14:textId="77777777" w:rsidR="00265758" w:rsidRDefault="00265758" w:rsidP="00265758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Valstybinis Vilniaus mažasis teatras</w:t>
            </w:r>
          </w:p>
          <w:p w14:paraId="789167C3" w14:textId="77777777" w:rsidR="00265758" w:rsidRDefault="00265758" w:rsidP="00265758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7D46998C" w14:textId="77777777" w:rsidR="00265758" w:rsidRPr="002C5A0C" w:rsidRDefault="00265758" w:rsidP="00265758">
            <w:pPr>
              <w:pStyle w:val="Standard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7,30</w:t>
            </w:r>
          </w:p>
          <w:p w14:paraId="3E572832" w14:textId="77777777" w:rsidR="006E057C" w:rsidRPr="0059462D" w:rsidRDefault="006E057C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30ADEE2A" w14:textId="77777777" w:rsidR="006E057C" w:rsidRPr="0059462D" w:rsidRDefault="006E057C" w:rsidP="006E057C">
            <w:pPr>
              <w:pStyle w:val="Standard"/>
              <w:rPr>
                <w:sz w:val="22"/>
                <w:szCs w:val="22"/>
                <w:lang w:eastAsia="en-US"/>
              </w:rPr>
            </w:pPr>
          </w:p>
        </w:tc>
      </w:tr>
      <w:tr w:rsidR="006E057C" w:rsidRPr="0059462D" w14:paraId="032A9491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57FE" w14:textId="77777777" w:rsidR="006E057C" w:rsidRPr="0059462D" w:rsidRDefault="004B36B0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1.1.5.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99F1" w14:textId="77777777" w:rsidR="006E057C" w:rsidRPr="0059462D" w:rsidRDefault="006E057C" w:rsidP="00DB71FC">
            <w:pPr>
              <w:pStyle w:val="Standard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Spektakliai suaugusiems grupei &gt; 10 asmenų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754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571F" w14:textId="77777777" w:rsidR="006E057C" w:rsidRPr="0059462D" w:rsidRDefault="006E057C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BFF6E" w14:textId="77777777" w:rsidR="006E057C" w:rsidRPr="0059462D" w:rsidRDefault="002F3C01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5</w:t>
            </w:r>
            <w:r w:rsidR="00F414F3" w:rsidRPr="0059462D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2D729" w14:textId="14954130" w:rsidR="006E057C" w:rsidRPr="0059462D" w:rsidRDefault="00BD6DB6" w:rsidP="00652345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Naujas</w:t>
            </w:r>
            <w:r w:rsidR="00F414F3" w:rsidRPr="0059462D">
              <w:rPr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4FC36" w14:textId="77777777" w:rsidR="006E057C" w:rsidRPr="0059462D" w:rsidRDefault="006E057C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2AEC0" w14:textId="77777777" w:rsidR="006E057C" w:rsidRDefault="00511D15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Valstybinis Vilniaus mažasis teatras</w:t>
            </w:r>
          </w:p>
          <w:p w14:paraId="4D941DE7" w14:textId="77777777" w:rsidR="002C5A0C" w:rsidRDefault="002C5A0C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464BFE6F" w14:textId="6C6CC828" w:rsidR="002C5A0C" w:rsidRPr="002C5A0C" w:rsidRDefault="002C5A0C" w:rsidP="00B2159F">
            <w:pPr>
              <w:pStyle w:val="Standard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7,30</w:t>
            </w:r>
          </w:p>
          <w:p w14:paraId="4B7C85EC" w14:textId="52018298" w:rsidR="00511D15" w:rsidRPr="00511D15" w:rsidRDefault="00511D15" w:rsidP="00B2159F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E057C" w:rsidRPr="0059462D" w14:paraId="05CD8817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2C63" w14:textId="425CBA19" w:rsidR="006E057C" w:rsidRPr="0059462D" w:rsidRDefault="003E2C83" w:rsidP="00501757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1.2</w:t>
            </w:r>
            <w:r w:rsidR="004B36B0" w:rsidRPr="0059462D">
              <w:rPr>
                <w:sz w:val="22"/>
                <w:szCs w:val="22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7DCC" w14:textId="77777777" w:rsidR="006E057C" w:rsidRPr="0059462D" w:rsidRDefault="006E057C" w:rsidP="00DB71FC">
            <w:pPr>
              <w:pStyle w:val="Standard"/>
              <w:spacing w:line="121" w:lineRule="atLeast"/>
              <w:rPr>
                <w:sz w:val="22"/>
                <w:szCs w:val="22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Gastrolių spektakliai </w:t>
            </w:r>
            <w:r w:rsidRPr="0059462D">
              <w:rPr>
                <w:sz w:val="22"/>
                <w:szCs w:val="22"/>
                <w:lang w:eastAsia="en-US"/>
              </w:rPr>
              <w:t>vaikams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F5EB" w14:textId="77777777" w:rsidR="006E057C" w:rsidRPr="0059462D" w:rsidRDefault="006E057C" w:rsidP="00652345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070C" w14:textId="77777777" w:rsidR="006E057C" w:rsidRPr="0059462D" w:rsidRDefault="00BA213B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6E057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4D268F" w14:textId="77777777" w:rsidR="006E057C" w:rsidRPr="0059462D" w:rsidRDefault="00BA213B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6E057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D1591" w14:textId="77777777" w:rsidR="006E057C" w:rsidRPr="0059462D" w:rsidRDefault="00F414F3" w:rsidP="0065234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Padidėjęs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11871" w14:textId="1FCDCF35" w:rsidR="00596003" w:rsidRPr="0059462D" w:rsidRDefault="00596003" w:rsidP="00693D6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Transporto 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nuomos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išlaidos 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nuo </w:t>
            </w:r>
            <w:r w:rsidR="009D7935">
              <w:rPr>
                <w:rFonts w:eastAsia="Calibri"/>
                <w:bCs/>
                <w:sz w:val="22"/>
                <w:szCs w:val="22"/>
                <w:lang w:eastAsia="en-US"/>
              </w:rPr>
              <w:t>17</w:t>
            </w:r>
            <w:r w:rsidR="00693D6C">
              <w:rPr>
                <w:rFonts w:eastAsia="Calibri"/>
                <w:bCs/>
                <w:sz w:val="22"/>
                <w:szCs w:val="22"/>
                <w:lang w:eastAsia="en-US"/>
              </w:rPr>
              <w:t>0 Lt</w:t>
            </w:r>
            <w:r w:rsidR="00BA64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9D793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iki 230 </w:t>
            </w:r>
            <w:proofErr w:type="spellStart"/>
            <w:r w:rsidR="00693D6C">
              <w:rPr>
                <w:rFonts w:eastAsia="Calibri"/>
                <w:bCs/>
                <w:sz w:val="22"/>
                <w:szCs w:val="22"/>
                <w:lang w:eastAsia="en-US"/>
              </w:rPr>
              <w:t>Eur</w:t>
            </w:r>
            <w:proofErr w:type="spellEnd"/>
            <w:r w:rsidR="00693D6C">
              <w:rPr>
                <w:rFonts w:eastAsia="Calibri"/>
                <w:bCs/>
                <w:sz w:val="22"/>
                <w:szCs w:val="22"/>
                <w:lang w:eastAsia="en-US"/>
              </w:rPr>
              <w:t>, taip pat padidėjusios kuro ir  eksploatacinės išlaidos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62F3C" w14:textId="77777777" w:rsidR="002B1B99" w:rsidRDefault="002B1B99" w:rsidP="002B1B99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263F0157" w14:textId="77777777" w:rsidR="002B1B99" w:rsidRDefault="002B1B99" w:rsidP="002B1B99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D38CCE" w14:textId="06FEF60A" w:rsidR="006E057C" w:rsidRPr="0059462D" w:rsidRDefault="002B1B99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10,00</w:t>
            </w:r>
            <w:r w:rsidR="009D793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="009D793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C4758C" w:rsidRPr="0059462D" w14:paraId="1BD1FA22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983F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1.3.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8414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Gastrolių spektakliai suaugusiems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A8EB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F4F1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7BCE2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60332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Padidėjęs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54785" w14:textId="6EB7C5D3" w:rsidR="00C4758C" w:rsidRPr="0059462D" w:rsidRDefault="00693D6C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Transporto nuomos išlaidos nuo 170 Lt iki 230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Eur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>, taip pat padidėjusios kuro ir  eksploatacinės išlaidos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F56F31" w14:textId="77777777" w:rsidR="00C4758C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Miltinio dramos teatras</w:t>
            </w:r>
          </w:p>
          <w:p w14:paraId="75B77547" w14:textId="77777777" w:rsidR="00C4758C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1B13C4" w14:textId="77777777" w:rsidR="00C4758C" w:rsidRPr="0059462D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10,00-20,00</w:t>
            </w:r>
          </w:p>
        </w:tc>
      </w:tr>
      <w:tr w:rsidR="00C4758C" w:rsidRPr="0059462D" w14:paraId="1972B6AC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991B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87D5" w14:textId="50FFBD1B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Kalėdini</w:t>
            </w: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Pr="0059462D">
              <w:rPr>
                <w:color w:val="000000"/>
                <w:sz w:val="22"/>
                <w:szCs w:val="22"/>
                <w:lang w:eastAsia="en-US"/>
              </w:rPr>
              <w:t xml:space="preserve"> spekta</w:t>
            </w:r>
            <w:r>
              <w:rPr>
                <w:color w:val="000000"/>
                <w:sz w:val="22"/>
                <w:szCs w:val="22"/>
                <w:lang w:eastAsia="en-US"/>
              </w:rPr>
              <w:t>klis vaikams ir susitikimas su Kalėdų seneliu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ED36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341E" w14:textId="77777777" w:rsidR="00C4758C" w:rsidRPr="0059462D" w:rsidRDefault="00C4758C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B3458" w14:textId="261D6FC4" w:rsidR="00C4758C" w:rsidRPr="0059462D" w:rsidRDefault="00C4758C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59462D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3FED2" w14:textId="77777777" w:rsidR="00C4758C" w:rsidRPr="0059462D" w:rsidRDefault="00C4758C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Padidėjęs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A270B2" w14:textId="77777777" w:rsidR="009D7935" w:rsidRDefault="00C210A2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Spektaklių pastatymo savikaina</w:t>
            </w:r>
            <w:r w:rsidR="009D7935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</w:p>
          <w:p w14:paraId="55D561D9" w14:textId="2EFEBD32" w:rsidR="009D7935" w:rsidRDefault="009D7935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Intelektinės paslaugos:</w:t>
            </w:r>
          </w:p>
          <w:p w14:paraId="587772A7" w14:textId="758FE8F8" w:rsidR="009D7935" w:rsidRDefault="009D7935" w:rsidP="009D7935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Režisūra: nuo 1500 Lt iki 1300 Eur, scenografija nuo 800 Lt iki 600 Eur</w:t>
            </w:r>
          </w:p>
          <w:p w14:paraId="5A737283" w14:textId="3F3965F0" w:rsidR="00C4758C" w:rsidRPr="0059462D" w:rsidRDefault="009D7935" w:rsidP="009D7935">
            <w:pPr>
              <w:pStyle w:val="Standard"/>
              <w:tabs>
                <w:tab w:val="left" w:pos="567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Medžiagos dekoracijoms, kostiumams, reklaminės medžiagos sukūrimo paslaugos  nuo 2 Lt už vnt. iki 3 Eur už vnt. (maketavimas ir gamyba: plakatai, skrajutės, kvietimai) 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CFC96" w14:textId="77777777" w:rsidR="00C4758C" w:rsidRPr="0059462D" w:rsidRDefault="00C4758C" w:rsidP="00C4758C">
            <w:pPr>
              <w:pStyle w:val="Standard"/>
              <w:ind w:right="1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4758C" w:rsidRPr="0059462D" w14:paraId="3F6F3DD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B674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1.5.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7568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Naujametiniai spektakliai (nuolaidos netaikomos)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D486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E5EE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0BFB8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7AAAA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Padidėjęs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B3E23" w14:textId="448C6A54" w:rsidR="00C4758C" w:rsidRPr="0059462D" w:rsidRDefault="00693D6C" w:rsidP="00C210A2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Šventinė naujametinė programa, ilgesnės trukmės spektaklis, šventiniu periodu išaugusios paslaugų kainos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5917D" w14:textId="67F6EA82" w:rsidR="00C4758C" w:rsidRDefault="00D17CA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Panevėžio m</w:t>
            </w:r>
            <w:r w:rsidR="00C4758C">
              <w:rPr>
                <w:color w:val="000000"/>
                <w:sz w:val="22"/>
                <w:szCs w:val="22"/>
                <w:lang w:eastAsia="en-US"/>
              </w:rPr>
              <w:t>uzikinis teatras</w:t>
            </w:r>
          </w:p>
          <w:p w14:paraId="3B5B7A4A" w14:textId="74B477DB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30,00</w:t>
            </w:r>
          </w:p>
        </w:tc>
      </w:tr>
      <w:tr w:rsidR="00C4758C" w:rsidRPr="0059462D" w14:paraId="2D98A23C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AD49" w14:textId="77777777" w:rsidR="00C4758C" w:rsidRPr="0059462D" w:rsidRDefault="00C4758C" w:rsidP="00C4758C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NUOLAIDOS</w:t>
            </w:r>
          </w:p>
        </w:tc>
      </w:tr>
      <w:tr w:rsidR="00C4758C" w:rsidRPr="0059462D" w14:paraId="2D71000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B408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2.1.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7C0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Grupės vadovui, lydinčiam į renginį 10 ir daugiau asmenų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995B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1246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CD594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A79EA" w14:textId="7C773735" w:rsidR="00C4758C" w:rsidRPr="0059462D" w:rsidRDefault="00693D6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3D61B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C687A" w14:textId="5103354A" w:rsidR="00C4758C" w:rsidRPr="0059462D" w:rsidRDefault="00C4758C" w:rsidP="005A1181">
            <w:pPr>
              <w:pStyle w:val="Standard"/>
              <w:spacing w:line="36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4758C" w:rsidRPr="0059462D" w14:paraId="21A86CBD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52CD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2.2.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7424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Spektakliai vykstantys miesto bei valstybinių švenčių metu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519C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A0EA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D29A6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3635B" w14:textId="048DDA7A" w:rsidR="00C4758C" w:rsidRPr="0059462D" w:rsidRDefault="00693D6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74751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D7CB8A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4758C" w:rsidRPr="0059462D" w14:paraId="69AE1A9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4F06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2.3.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7424" w14:textId="5F5119B4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Mokiniams, pensininkams, studentams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768D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C13D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9F59D" w14:textId="36518506" w:rsidR="00C4758C" w:rsidRPr="0059462D" w:rsidRDefault="00C80D30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C4758C" w:rsidRPr="0059462D">
              <w:rPr>
                <w:rFonts w:eastAsia="Calibri"/>
                <w:b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04136" w14:textId="2ADA6CB3" w:rsidR="00C4758C" w:rsidRPr="0059462D" w:rsidRDefault="00C80D30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2586F" w14:textId="074C1AAF" w:rsidR="00C4758C" w:rsidRPr="0059462D" w:rsidRDefault="00C4758C" w:rsidP="00E71939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901FD" w14:textId="03202FDA" w:rsidR="00C4758C" w:rsidRPr="0059462D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568F4315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8207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2.4.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1897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Neįgaliems ir juos lydintiems asmenims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2EB9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4F31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BD86D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AAE55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Sumažėjęs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EB976" w14:textId="110164A4" w:rsidR="00C4758C" w:rsidRPr="0059462D" w:rsidRDefault="00DB309B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Siekiama didinti socialiai pažeidžiamų grupių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įtrauktį</w:t>
            </w:r>
            <w:proofErr w:type="spellEnd"/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DC1C1" w14:textId="54376526" w:rsidR="00C4758C" w:rsidRDefault="00C4758C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Panevėžio Juozo Miltinio dramos teatras</w:t>
            </w:r>
          </w:p>
          <w:p w14:paraId="676ED371" w14:textId="77777777" w:rsidR="00C4758C" w:rsidRDefault="00C4758C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1B27716" w14:textId="345F2598" w:rsidR="00C4758C" w:rsidRPr="0059462D" w:rsidRDefault="00134142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10,00 - </w:t>
            </w:r>
            <w:r>
              <w:rPr>
                <w:color w:val="000000"/>
                <w:sz w:val="22"/>
                <w:szCs w:val="22"/>
                <w:lang w:eastAsia="en-US"/>
              </w:rPr>
              <w:t>taiko 20% nuolaidą</w:t>
            </w:r>
          </w:p>
        </w:tc>
      </w:tr>
      <w:tr w:rsidR="00C4758C" w:rsidRPr="0059462D" w14:paraId="2DA9FBF1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7064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2.5.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9E86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Globėjams ir jų globojamiems vaikams į spektaklius suaugusiems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2743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121A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54456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B8FBA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5AF68" w14:textId="7CA05E7E" w:rsidR="00C4758C" w:rsidRPr="0059462D" w:rsidRDefault="00DB309B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Prisidedama prie socialinės iniciatyvos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E704A6" w14:textId="04D87B1E" w:rsidR="00C4758C" w:rsidRPr="0059462D" w:rsidRDefault="00C4758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</w:t>
            </w:r>
            <w:r w:rsidR="00693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kitos įstaigos</w:t>
            </w:r>
          </w:p>
        </w:tc>
      </w:tr>
      <w:tr w:rsidR="00C4758C" w:rsidRPr="0059462D" w14:paraId="7BC76E5E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29C2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2.6.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62E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Globėjams ir jų globojamiems vaikams į spektaklius vaikams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228B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148C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527D5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60293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DA655" w14:textId="2D8D69F4" w:rsidR="00C4758C" w:rsidRPr="0059462D" w:rsidRDefault="00DB309B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Prisidedama prie socialinės iniciatyvos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2D80E" w14:textId="4A1C2B9A" w:rsidR="00C4758C" w:rsidRPr="0059462D" w:rsidRDefault="00693D6C" w:rsidP="005A1181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 kitos įstaigos</w:t>
            </w:r>
          </w:p>
        </w:tc>
      </w:tr>
      <w:tr w:rsidR="00C4758C" w:rsidRPr="0059462D" w14:paraId="17348628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11D2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2.7.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80EC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Vaikams iki 2 metų (imtinai, neužimantiems papildomos vietos)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E38E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A850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BC3DA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56447" w14:textId="25ED090D" w:rsidR="00C4758C" w:rsidRPr="0059462D" w:rsidRDefault="00693D6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4C8B6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04F4EA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0F1350FD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7B81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EEF0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Festivalio dalyviams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3651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A60E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133EC0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B3986" w14:textId="11810760" w:rsidR="00C4758C" w:rsidRPr="0059462D" w:rsidRDefault="00693D6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BA8121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8925A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37C6E054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C43C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2.9.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3931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Turintiems teatro „Menas“ žurnalisto akreditaciją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EF55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643F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1B2F5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B3453" w14:textId="1E04A493" w:rsidR="00C4758C" w:rsidRPr="0059462D" w:rsidRDefault="00693D6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B32D64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13BFC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089ACB50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CFAE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2.10.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25E4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Teatro „Menas“ organizuojami nemokami renginiai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9A4F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38E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12373AB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8195317" w14:textId="332A65CF" w:rsidR="00C4758C" w:rsidRPr="0059462D" w:rsidRDefault="00693D6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E958FD0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ABB2582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3E953E9C" w14:textId="77777777" w:rsidTr="00C80D30">
        <w:trPr>
          <w:cantSplit/>
          <w:trHeight w:val="1412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82CC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2.11.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9192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Teatro svečiams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5020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 daugiau 14 asm. vienam spektakliui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BD69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A9E1A32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E5FBAB7" w14:textId="3C7F8A2C" w:rsidR="00C4758C" w:rsidRPr="0059462D" w:rsidRDefault="00693D6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98AF46C" w14:textId="60DE290B" w:rsidR="00C4758C" w:rsidRPr="0059462D" w:rsidRDefault="00693D6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Nustatyti kvotą nemokamiems bilietams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2CF82F8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E00C41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43013E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937A04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BCEB21" w14:textId="77777777" w:rsidR="00C4758C" w:rsidRPr="0059462D" w:rsidRDefault="00C4758C" w:rsidP="00C4758C">
            <w:pPr>
              <w:pStyle w:val="Standard"/>
              <w:tabs>
                <w:tab w:val="left" w:pos="567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6A5AE476" w14:textId="77777777" w:rsidTr="009D7935">
        <w:trPr>
          <w:cantSplit/>
          <w:trHeight w:val="1412"/>
        </w:trPr>
        <w:tc>
          <w:tcPr>
            <w:tcW w:w="1559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4C0D" w14:textId="162E4D85" w:rsidR="00C4758C" w:rsidRDefault="00C4758C" w:rsidP="00C4758C">
            <w:pPr>
              <w:pStyle w:val="Standard"/>
              <w:tabs>
                <w:tab w:val="left" w:pos="567"/>
              </w:tabs>
              <w:contextualSpacing/>
              <w:rPr>
                <w:i/>
                <w:sz w:val="22"/>
                <w:szCs w:val="22"/>
              </w:rPr>
            </w:pPr>
            <w:r w:rsidRPr="0059462D">
              <w:rPr>
                <w:i/>
                <w:sz w:val="22"/>
                <w:szCs w:val="22"/>
              </w:rPr>
              <w:t>Nuolaidos taikomos tik pateikus atitinkamus dokumentus. Nuolaidos nesumuojamos.</w:t>
            </w:r>
          </w:p>
          <w:p w14:paraId="6536EE9D" w14:textId="78E039FD" w:rsidR="00693D6C" w:rsidRDefault="00693D6C" w:rsidP="00693D6C">
            <w:pPr>
              <w:pStyle w:val="Standard"/>
              <w:tabs>
                <w:tab w:val="left" w:pos="567"/>
              </w:tabs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*2.3., 2.4., 2.5, 2.6.</w:t>
            </w: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59462D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punktuose numatytos nuolaidos netaikomos premjeriniams spektakliams bei spektakliams vaikams.</w:t>
            </w: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E8FB68B" w14:textId="09169A60" w:rsidR="00C80D30" w:rsidRPr="008512EC" w:rsidRDefault="00C80D30" w:rsidP="00C4758C">
            <w:pPr>
              <w:pStyle w:val="Standard"/>
              <w:tabs>
                <w:tab w:val="left" w:pos="567"/>
              </w:tabs>
              <w:contextualSpacing/>
              <w:rPr>
                <w:i/>
                <w:sz w:val="22"/>
                <w:szCs w:val="22"/>
              </w:rPr>
            </w:pPr>
          </w:p>
        </w:tc>
      </w:tr>
      <w:tr w:rsidR="00C4758C" w:rsidRPr="0059462D" w14:paraId="36B88B10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6759" w14:textId="77777777" w:rsidR="00C4758C" w:rsidRPr="0059462D" w:rsidRDefault="00C4758C" w:rsidP="00C4758C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KITOS PASLAUGOS</w:t>
            </w:r>
          </w:p>
        </w:tc>
      </w:tr>
      <w:tr w:rsidR="00C4758C" w:rsidRPr="0059462D" w14:paraId="7FF4422C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B476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EFEE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Užsakomasis spektaklis teatre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47DD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vnt.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D14A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DBBDA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Iki 60 žiūrovų bilieto su nuolaida kainomis, minimali kaina 200,00</w:t>
            </w:r>
          </w:p>
          <w:p w14:paraId="66CD41B2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&gt;60žiūrovų 300,00</w:t>
            </w:r>
          </w:p>
          <w:p w14:paraId="193C52BB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&gt;80 žiūrovų 350,00</w:t>
            </w:r>
          </w:p>
          <w:p w14:paraId="0DC2481C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&gt;100 žiūrovų 450,00</w:t>
            </w:r>
          </w:p>
          <w:p w14:paraId="67C861AA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&gt;120 žiūrovų 550,00</w:t>
            </w:r>
          </w:p>
          <w:p w14:paraId="74CE7E2E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&gt;140 žiūrovų 650,00</w:t>
            </w:r>
          </w:p>
          <w:p w14:paraId="0F4EF16F" w14:textId="77777777" w:rsidR="00C4758C" w:rsidRPr="0059462D" w:rsidRDefault="00C4758C" w:rsidP="00C80D30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&gt;160 žiūrovų 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0D72F" w14:textId="3453E6ED" w:rsidR="00C4758C" w:rsidRPr="0059462D" w:rsidRDefault="008B5E52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Padidėjęs</w:t>
            </w:r>
            <w:r w:rsidR="00C4758C" w:rsidRPr="0059462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CCE2" w14:textId="77777777" w:rsidR="00693D6C" w:rsidRPr="00693D6C" w:rsidRDefault="00693D6C" w:rsidP="00693D6C">
            <w:pPr>
              <w:widowControl/>
              <w:suppressAutoHyphens w:val="0"/>
              <w:autoSpaceDN/>
              <w:jc w:val="both"/>
              <w:textAlignment w:val="auto"/>
              <w:rPr>
                <w:sz w:val="22"/>
                <w:szCs w:val="22"/>
              </w:rPr>
            </w:pPr>
            <w:r w:rsidRPr="00693D6C">
              <w:rPr>
                <w:sz w:val="22"/>
                <w:szCs w:val="22"/>
              </w:rPr>
              <w:t xml:space="preserve">Spektaklių kainos parinktos: </w:t>
            </w:r>
            <w:r w:rsidRPr="00693D6C">
              <w:rPr>
                <w:color w:val="000000"/>
                <w:sz w:val="22"/>
                <w:szCs w:val="22"/>
              </w:rPr>
              <w:t xml:space="preserve">žiūrovų </w:t>
            </w:r>
            <w:r w:rsidRPr="00693D6C">
              <w:rPr>
                <w:sz w:val="22"/>
                <w:szCs w:val="22"/>
              </w:rPr>
              <w:t xml:space="preserve">skaičių padauginus su bilieto į spektaklį su nuolaidos kaina ir pritaikius nuolaidą (pvz. „bilietas su nuolaida (5,00 €) * 100 </w:t>
            </w:r>
            <w:r w:rsidRPr="00693D6C">
              <w:rPr>
                <w:color w:val="000000"/>
                <w:sz w:val="22"/>
                <w:szCs w:val="22"/>
              </w:rPr>
              <w:t xml:space="preserve">žiūrovų </w:t>
            </w:r>
            <w:r w:rsidRPr="00693D6C"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 w:rsidRPr="00693D6C">
              <w:rPr>
                <w:sz w:val="22"/>
                <w:szCs w:val="22"/>
                <w:lang w:val="en-US"/>
              </w:rPr>
              <w:t>papildoma</w:t>
            </w:r>
            <w:proofErr w:type="spellEnd"/>
            <w:r w:rsidRPr="00693D6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3D6C">
              <w:rPr>
                <w:sz w:val="22"/>
                <w:szCs w:val="22"/>
                <w:lang w:val="en-US"/>
              </w:rPr>
              <w:t>nuolaida</w:t>
            </w:r>
            <w:proofErr w:type="spellEnd"/>
            <w:r w:rsidRPr="00693D6C">
              <w:rPr>
                <w:sz w:val="22"/>
                <w:szCs w:val="22"/>
                <w:lang w:val="en-US"/>
              </w:rPr>
              <w:t xml:space="preserve"> (50.00 €) = 450.00 €“)</w:t>
            </w:r>
            <w:r w:rsidRPr="00693D6C">
              <w:rPr>
                <w:sz w:val="22"/>
                <w:szCs w:val="22"/>
              </w:rPr>
              <w:t>;</w:t>
            </w:r>
          </w:p>
          <w:p w14:paraId="6E14BA04" w14:textId="77777777" w:rsidR="00693D6C" w:rsidRDefault="00693D6C" w:rsidP="00693D6C">
            <w:pPr>
              <w:widowControl/>
              <w:suppressAutoHyphens w:val="0"/>
              <w:autoSpaceDN/>
              <w:jc w:val="both"/>
              <w:textAlignment w:val="auto"/>
            </w:pPr>
            <w:r w:rsidRPr="00693D6C">
              <w:rPr>
                <w:sz w:val="22"/>
                <w:szCs w:val="22"/>
              </w:rPr>
              <w:t>Papildoma nuolaida taikoma, nes teatras parduodamas užsakomąjį spektaklį neturi eikvoti resursų žiūrovų paieškai ir bilietų pardavimui.</w:t>
            </w:r>
          </w:p>
          <w:p w14:paraId="699C1830" w14:textId="7F21398B" w:rsidR="00C4758C" w:rsidRPr="0059462D" w:rsidRDefault="00C4758C" w:rsidP="009A71DB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8DBC8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4758C" w:rsidRPr="0059462D" w14:paraId="4C2678F7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8CDE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3.2.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F64A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Teatro studijos nario mokestis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6653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5824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68C3CB1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D00FD16" w14:textId="66F0558C" w:rsidR="00C4758C" w:rsidRPr="0059462D" w:rsidRDefault="00DB309B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9FA03F7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77705CE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4758C" w:rsidRPr="0059462D" w14:paraId="298FA871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05B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3.3.1.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2117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Spektaklio analizė su aktoriais (edukacija)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36EA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7464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301CF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9481B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FE87C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AB1E" w14:textId="5AC0619E" w:rsidR="00C4758C" w:rsidRPr="0059462D" w:rsidRDefault="005A1181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</w:t>
            </w:r>
            <w:r w:rsidR="00693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kitos įstaigos</w:t>
            </w:r>
          </w:p>
        </w:tc>
      </w:tr>
      <w:tr w:rsidR="00C4758C" w:rsidRPr="0059462D" w14:paraId="549516C6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CB59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3.3.2.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611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Teatrinė repeticija (edukacija)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47FC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410D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95388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67101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A2315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0AFCD" w14:textId="216DE283" w:rsidR="00C4758C" w:rsidRPr="005A1181" w:rsidRDefault="005A1181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Tokios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paslaugos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neteikia</w:t>
            </w:r>
            <w:proofErr w:type="spellEnd"/>
            <w:r w:rsidR="00693D6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93D6C">
              <w:rPr>
                <w:rFonts w:eastAsia="Calibri"/>
                <w:bCs/>
                <w:sz w:val="22"/>
                <w:szCs w:val="22"/>
                <w:lang w:val="en-US" w:eastAsia="en-US"/>
              </w:rPr>
              <w:t>kitos</w:t>
            </w:r>
            <w:proofErr w:type="spellEnd"/>
            <w:r w:rsidR="00693D6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93D6C">
              <w:rPr>
                <w:rFonts w:eastAsia="Calibri"/>
                <w:bCs/>
                <w:sz w:val="22"/>
                <w:szCs w:val="22"/>
                <w:lang w:val="en-US" w:eastAsia="en-US"/>
              </w:rPr>
              <w:t>įstaigos</w:t>
            </w:r>
            <w:proofErr w:type="spellEnd"/>
          </w:p>
        </w:tc>
      </w:tr>
      <w:tr w:rsidR="00C4758C" w:rsidRPr="0059462D" w14:paraId="2FA272B4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8D2" w14:textId="150CCEEA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3.3.3.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A9E6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Vaizduojamojo meno pamoka. Mokomės piešti ir tapyti kartu (edukacija)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AEE8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asm.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9F4B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F61B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9462D">
              <w:rPr>
                <w:rFonts w:eastAsia="Calibri"/>
                <w:bCs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5F5E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9933" w14:textId="77777777" w:rsidR="00C4758C" w:rsidRPr="0059462D" w:rsidRDefault="00C4758C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23B3" w14:textId="0F977596" w:rsidR="00C4758C" w:rsidRPr="0059462D" w:rsidRDefault="005A1181" w:rsidP="00C4758C">
            <w:pPr>
              <w:pStyle w:val="Standard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Tokios paslaugos neteikia</w:t>
            </w:r>
            <w:r w:rsidR="00693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kitos įstaigos</w:t>
            </w:r>
          </w:p>
        </w:tc>
      </w:tr>
      <w:tr w:rsidR="00C4758C" w:rsidRPr="0059462D" w14:paraId="4327C288" w14:textId="77777777" w:rsidTr="009D7935">
        <w:trPr>
          <w:cantSplit/>
          <w:trHeight w:val="283"/>
        </w:trPr>
        <w:tc>
          <w:tcPr>
            <w:tcW w:w="155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33B8" w14:textId="77777777" w:rsidR="00C4758C" w:rsidRPr="0059462D" w:rsidRDefault="00C4758C" w:rsidP="00C4758C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59462D">
              <w:rPr>
                <w:b/>
                <w:sz w:val="22"/>
                <w:szCs w:val="22"/>
              </w:rPr>
              <w:t>PATALPŲ NUOMA</w:t>
            </w:r>
          </w:p>
        </w:tc>
      </w:tr>
      <w:tr w:rsidR="00C4758C" w:rsidRPr="0059462D" w14:paraId="591A78AB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A715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4.1.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BC01" w14:textId="77777777" w:rsidR="00C4758C" w:rsidRPr="0059462D" w:rsidRDefault="00C4758C" w:rsidP="00C4758C">
            <w:pPr>
              <w:pStyle w:val="Standard"/>
              <w:spacing w:line="121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Renginiams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3100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val.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C782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A339F77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9797EE2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Nepakitęs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5057819" w14:textId="77777777" w:rsidR="00C4758C" w:rsidRPr="0059462D" w:rsidRDefault="00C4758C" w:rsidP="00C4758C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DDD224F" w14:textId="08894490" w:rsidR="00C4758C" w:rsidRDefault="00C4758C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Panevėžio Juozo Miltinio dramos teatro mažoji salė:</w:t>
            </w:r>
          </w:p>
          <w:p w14:paraId="077A18A1" w14:textId="77777777" w:rsidR="00C4758C" w:rsidRDefault="00C4758C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Šildymo sezono metu –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77,00</w:t>
            </w:r>
          </w:p>
          <w:p w14:paraId="720F897D" w14:textId="77777777" w:rsidR="00C4758C" w:rsidRPr="002A3569" w:rsidRDefault="00C4758C" w:rsidP="005A1181">
            <w:pPr>
              <w:pStyle w:val="Standard"/>
              <w:spacing w:line="121" w:lineRule="atLeast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Ne </w:t>
            </w:r>
            <w:r>
              <w:rPr>
                <w:color w:val="000000"/>
                <w:sz w:val="22"/>
                <w:szCs w:val="22"/>
                <w:lang w:eastAsia="en-US"/>
              </w:rPr>
              <w:t>š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ildymo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sezono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metu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– 75,00</w:t>
            </w:r>
          </w:p>
        </w:tc>
      </w:tr>
      <w:tr w:rsidR="00C4758C" w:rsidRPr="0059462D" w14:paraId="1D4594BE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267D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789B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Festivalio spektakliams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9B11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spekt.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9CF6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10 proc. nuo parduotų bilietų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775A4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DA1D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Sumažėjęs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228A" w14:textId="77777777" w:rsidR="00DB309B" w:rsidRPr="00DE7BCF" w:rsidRDefault="00DB309B" w:rsidP="00DB309B">
            <w:pPr>
              <w:widowControl/>
              <w:suppressAutoHyphens w:val="0"/>
              <w:autoSpaceDN/>
              <w:jc w:val="both"/>
              <w:textAlignment w:val="auto"/>
              <w:rPr>
                <w:szCs w:val="24"/>
                <w:lang w:eastAsia="lt-LT"/>
              </w:rPr>
            </w:pPr>
            <w:r w:rsidRPr="00DE7BCF">
              <w:rPr>
                <w:szCs w:val="24"/>
              </w:rPr>
              <w:t>Festivalyje dalyvaujantys pasirodymai bus perkami iš projektinių festivalio lėšų. Teatrui atiteks 100</w:t>
            </w:r>
            <w:r w:rsidRPr="00DE7BCF">
              <w:rPr>
                <w:szCs w:val="24"/>
                <w:lang w:val="en-US"/>
              </w:rPr>
              <w:t xml:space="preserve">% </w:t>
            </w:r>
            <w:proofErr w:type="spellStart"/>
            <w:r w:rsidRPr="00DE7BCF">
              <w:rPr>
                <w:szCs w:val="24"/>
                <w:lang w:val="en-US"/>
              </w:rPr>
              <w:t>parduot</w:t>
            </w:r>
            <w:proofErr w:type="spellEnd"/>
            <w:r w:rsidRPr="00DE7BCF">
              <w:rPr>
                <w:szCs w:val="24"/>
              </w:rPr>
              <w:t xml:space="preserve">ų bilietų sumos </w:t>
            </w:r>
            <w:proofErr w:type="spellStart"/>
            <w:r w:rsidRPr="00DE7BCF">
              <w:rPr>
                <w:szCs w:val="24"/>
                <w:lang w:val="en-US"/>
              </w:rPr>
              <w:t>nuo</w:t>
            </w:r>
            <w:proofErr w:type="spellEnd"/>
            <w:r w:rsidRPr="00DE7BCF">
              <w:rPr>
                <w:szCs w:val="24"/>
                <w:lang w:val="en-US"/>
              </w:rPr>
              <w:t xml:space="preserve"> </w:t>
            </w:r>
            <w:proofErr w:type="spellStart"/>
            <w:r w:rsidRPr="00DE7BCF">
              <w:rPr>
                <w:szCs w:val="24"/>
                <w:lang w:val="en-US"/>
              </w:rPr>
              <w:t>teatre</w:t>
            </w:r>
            <w:proofErr w:type="spellEnd"/>
            <w:r w:rsidRPr="00DE7BCF">
              <w:rPr>
                <w:szCs w:val="24"/>
                <w:lang w:val="en-US"/>
              </w:rPr>
              <w:t xml:space="preserve"> „</w:t>
            </w:r>
            <w:proofErr w:type="spellStart"/>
            <w:r w:rsidRPr="00DE7BCF">
              <w:rPr>
                <w:szCs w:val="24"/>
                <w:lang w:val="en-US"/>
              </w:rPr>
              <w:t>Menas</w:t>
            </w:r>
            <w:proofErr w:type="spellEnd"/>
            <w:r w:rsidRPr="00DE7BCF">
              <w:rPr>
                <w:szCs w:val="24"/>
                <w:lang w:val="en-US"/>
              </w:rPr>
              <w:t xml:space="preserve">“ </w:t>
            </w:r>
            <w:proofErr w:type="spellStart"/>
            <w:r w:rsidRPr="00DE7BCF">
              <w:rPr>
                <w:szCs w:val="24"/>
                <w:lang w:val="en-US"/>
              </w:rPr>
              <w:t>parodytų</w:t>
            </w:r>
            <w:proofErr w:type="spellEnd"/>
            <w:r w:rsidRPr="00DE7BCF">
              <w:rPr>
                <w:szCs w:val="24"/>
                <w:lang w:val="en-US"/>
              </w:rPr>
              <w:t xml:space="preserve"> </w:t>
            </w:r>
            <w:proofErr w:type="spellStart"/>
            <w:r w:rsidRPr="00DE7BCF">
              <w:rPr>
                <w:szCs w:val="24"/>
                <w:lang w:val="en-US"/>
              </w:rPr>
              <w:t>pasirodymų</w:t>
            </w:r>
            <w:proofErr w:type="spellEnd"/>
            <w:r w:rsidRPr="00DE7BCF">
              <w:rPr>
                <w:szCs w:val="24"/>
                <w:lang w:val="en-US"/>
              </w:rPr>
              <w:t>.</w:t>
            </w:r>
          </w:p>
          <w:p w14:paraId="30E45397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7A584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4758C" w:rsidRPr="0059462D" w14:paraId="0059E82A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040F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4.3.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6E6B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</w:rPr>
            </w:pPr>
            <w:r w:rsidRPr="0059462D">
              <w:rPr>
                <w:color w:val="000000"/>
                <w:sz w:val="22"/>
                <w:szCs w:val="22"/>
              </w:rPr>
              <w:t>Teatro „Menas“ organizuojami mokami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D6D7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renginys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B305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39EEBA82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5D217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Nuomos kaina priklausomai nuo už renginį surinktos sumos</w:t>
            </w:r>
          </w:p>
          <w:p w14:paraId="41096D0F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50%</w:t>
            </w:r>
          </w:p>
          <w:p w14:paraId="21A9B4D7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Iki 100,00</w:t>
            </w:r>
          </w:p>
          <w:p w14:paraId="068B4E29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29423B42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40%</w:t>
            </w:r>
          </w:p>
          <w:p w14:paraId="6CE82DF0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100,00 – 200,00</w:t>
            </w:r>
          </w:p>
          <w:p w14:paraId="22373DA9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3C453E68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30%</w:t>
            </w:r>
          </w:p>
          <w:p w14:paraId="4777F698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200,00 – 300,00</w:t>
            </w:r>
          </w:p>
          <w:p w14:paraId="603C04C0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  <w:p w14:paraId="798F2A4A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20%</w:t>
            </w:r>
          </w:p>
          <w:p w14:paraId="04565258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300,00 ir daugiau</w:t>
            </w:r>
          </w:p>
          <w:p w14:paraId="7EA1BE60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1162DC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Naujas tarifas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74B51" w14:textId="77777777" w:rsidR="006275B1" w:rsidRDefault="006275B1" w:rsidP="006275B1">
            <w:pPr>
              <w:widowControl/>
              <w:suppressAutoHyphens w:val="0"/>
              <w:autoSpaceDN/>
              <w:jc w:val="both"/>
              <w:textAlignment w:val="auto"/>
            </w:pPr>
            <w:r>
              <w:t xml:space="preserve">Sistema kurioje </w:t>
            </w:r>
            <w:proofErr w:type="spellStart"/>
            <w:r>
              <w:t>koorganizatoriams</w:t>
            </w:r>
            <w:proofErr w:type="spellEnd"/>
            <w:r>
              <w:t xml:space="preserve"> pateikiama galimybė surinkus didesnę sumą už bilietus atiduoti mažesnį procentą teatrui už nuomą motyvuoja ir atveria galimybes aktyviai tuo užsiimti išnaudojant teatro erdves ne vien tik spektaklių rodymui (pvz.: „Surinkti pinigai už bilietus 100,00 € - procentinė nuolaida (50 </w:t>
            </w:r>
            <w:r w:rsidRPr="006275B1">
              <w:rPr>
                <w:lang w:val="en-US"/>
              </w:rPr>
              <w:t>%) = 50,00 €; 2.  300</w:t>
            </w:r>
            <w:proofErr w:type="gramStart"/>
            <w:r w:rsidRPr="006275B1">
              <w:rPr>
                <w:lang w:val="en-US"/>
              </w:rPr>
              <w:t>,00</w:t>
            </w:r>
            <w:proofErr w:type="gramEnd"/>
            <w:r w:rsidRPr="006275B1">
              <w:rPr>
                <w:lang w:val="en-US"/>
              </w:rPr>
              <w:t xml:space="preserve"> € - </w:t>
            </w:r>
            <w:proofErr w:type="spellStart"/>
            <w:r w:rsidRPr="006275B1">
              <w:rPr>
                <w:lang w:val="en-US"/>
              </w:rPr>
              <w:t>procentinė</w:t>
            </w:r>
            <w:proofErr w:type="spellEnd"/>
            <w:r w:rsidRPr="006275B1">
              <w:rPr>
                <w:lang w:val="en-US"/>
              </w:rPr>
              <w:t xml:space="preserve"> </w:t>
            </w:r>
            <w:proofErr w:type="spellStart"/>
            <w:r w:rsidRPr="006275B1">
              <w:rPr>
                <w:lang w:val="en-US"/>
              </w:rPr>
              <w:t>nuolaida</w:t>
            </w:r>
            <w:proofErr w:type="spellEnd"/>
            <w:r w:rsidRPr="006275B1">
              <w:rPr>
                <w:lang w:val="en-US"/>
              </w:rPr>
              <w:t xml:space="preserve"> (20 %) = 60,00 €“).</w:t>
            </w:r>
          </w:p>
          <w:p w14:paraId="1C0A60AD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B7CA7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758C" w:rsidRPr="0059462D" w14:paraId="01131653" w14:textId="77777777" w:rsidTr="00C80D30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5067" w14:textId="77777777" w:rsidR="00C4758C" w:rsidRPr="0059462D" w:rsidRDefault="00C4758C" w:rsidP="00C4758C">
            <w:pPr>
              <w:rPr>
                <w:sz w:val="22"/>
                <w:szCs w:val="22"/>
              </w:rPr>
            </w:pPr>
            <w:r w:rsidRPr="0059462D">
              <w:rPr>
                <w:sz w:val="22"/>
                <w:szCs w:val="22"/>
              </w:rPr>
              <w:t>4.4.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3B4B" w14:textId="77777777" w:rsidR="00C4758C" w:rsidRPr="0059462D" w:rsidRDefault="00C4758C" w:rsidP="00C4758C">
            <w:pPr>
              <w:pStyle w:val="Standard"/>
              <w:rPr>
                <w:color w:val="000000"/>
                <w:sz w:val="22"/>
                <w:szCs w:val="22"/>
              </w:rPr>
            </w:pPr>
            <w:r w:rsidRPr="0059462D">
              <w:rPr>
                <w:color w:val="000000"/>
                <w:sz w:val="22"/>
                <w:szCs w:val="22"/>
              </w:rPr>
              <w:t>Teatro „Menas“ organizuojami nemokami renginiai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4CBF" w14:textId="77777777" w:rsidR="00C4758C" w:rsidRPr="0059462D" w:rsidRDefault="00C4758C" w:rsidP="00C4758C">
            <w:pPr>
              <w:pStyle w:val="Standard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9462D">
              <w:rPr>
                <w:color w:val="000000"/>
                <w:sz w:val="22"/>
                <w:szCs w:val="22"/>
                <w:lang w:eastAsia="en-US"/>
              </w:rPr>
              <w:t>1 renginys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16A3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A2057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59462D">
              <w:rPr>
                <w:sz w:val="22"/>
                <w:szCs w:val="22"/>
                <w:lang w:eastAsia="en-US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77B21" w14:textId="3AD511D3" w:rsidR="00C4758C" w:rsidRPr="0059462D" w:rsidRDefault="00DB309B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Nepakitęs tarifas</w:t>
            </w:r>
          </w:p>
        </w:tc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B6C71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3C0186" w14:textId="77777777" w:rsidR="00C4758C" w:rsidRPr="0059462D" w:rsidRDefault="00C4758C" w:rsidP="00C4758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6A04716" w14:textId="77777777" w:rsidR="00B320FE" w:rsidRDefault="00B320FE" w:rsidP="00B320FE">
      <w:pPr>
        <w:rPr>
          <w:rStyle w:val="Emfaz"/>
        </w:rPr>
      </w:pPr>
    </w:p>
    <w:p w14:paraId="5DD3F879" w14:textId="77777777" w:rsidR="00B320FE" w:rsidRDefault="00B320FE" w:rsidP="00B320FE">
      <w:pPr>
        <w:rPr>
          <w:rStyle w:val="Emfaz"/>
        </w:rPr>
      </w:pPr>
    </w:p>
    <w:p w14:paraId="27F01FDC" w14:textId="77777777" w:rsidR="00B320FE" w:rsidRDefault="00B320FE" w:rsidP="00B320FE">
      <w:pPr>
        <w:rPr>
          <w:rStyle w:val="Emfaz"/>
        </w:rPr>
      </w:pPr>
    </w:p>
    <w:p w14:paraId="420315F6" w14:textId="77777777" w:rsidR="00B320FE" w:rsidRDefault="00B320FE" w:rsidP="00B320FE">
      <w:pPr>
        <w:rPr>
          <w:rStyle w:val="Emfaz"/>
        </w:rPr>
      </w:pPr>
    </w:p>
    <w:p w14:paraId="0B6E4C72" w14:textId="77777777" w:rsidR="00B320FE" w:rsidRDefault="00B320FE" w:rsidP="00B320FE">
      <w:pPr>
        <w:rPr>
          <w:rStyle w:val="Emfaz"/>
        </w:rPr>
      </w:pPr>
    </w:p>
    <w:p w14:paraId="21776F3B" w14:textId="77777777" w:rsidR="00B320FE" w:rsidRDefault="00B320FE" w:rsidP="00B320FE">
      <w:pPr>
        <w:rPr>
          <w:rStyle w:val="Emfaz"/>
        </w:rPr>
      </w:pPr>
    </w:p>
    <w:p w14:paraId="7DF2FEA6" w14:textId="77777777" w:rsidR="00B320FE" w:rsidRDefault="00B320FE" w:rsidP="00B320FE">
      <w:pPr>
        <w:rPr>
          <w:rStyle w:val="Emfaz"/>
        </w:rPr>
      </w:pPr>
    </w:p>
    <w:p w14:paraId="6E202CCC" w14:textId="77777777" w:rsidR="00B320FE" w:rsidRDefault="00B320FE" w:rsidP="00B320FE">
      <w:pPr>
        <w:rPr>
          <w:rStyle w:val="Emfaz"/>
        </w:rPr>
      </w:pPr>
    </w:p>
    <w:p w14:paraId="6363901C" w14:textId="77777777" w:rsidR="00B320FE" w:rsidRDefault="00B320FE" w:rsidP="00B320FE">
      <w:pPr>
        <w:rPr>
          <w:rStyle w:val="Emfaz"/>
        </w:rPr>
      </w:pPr>
    </w:p>
    <w:p w14:paraId="7D9C61B4" w14:textId="57AB7212" w:rsidR="00B320FE" w:rsidRDefault="00B320FE" w:rsidP="00B320FE">
      <w:pPr>
        <w:rPr>
          <w:rStyle w:val="Emfaz"/>
        </w:rPr>
      </w:pPr>
      <w:r>
        <w:rPr>
          <w:rStyle w:val="Emfaz"/>
        </w:rPr>
        <w:lastRenderedPageBreak/>
        <w:t>Argumentacijai 2016 m. 2019 m. statistika</w:t>
      </w:r>
    </w:p>
    <w:p w14:paraId="4D2671D2" w14:textId="77777777" w:rsidR="00B320FE" w:rsidRPr="007E525C" w:rsidRDefault="00B320FE" w:rsidP="00B320FE">
      <w:r w:rsidRPr="007E525C">
        <w:rPr>
          <w:rStyle w:val="Emfaz"/>
        </w:rPr>
        <w:t xml:space="preserve">2016-2019 m. Lietuva  padidino minimalų darbo užmokestį 97 </w:t>
      </w:r>
      <w:proofErr w:type="spellStart"/>
      <w:r w:rsidRPr="007E525C">
        <w:rPr>
          <w:rStyle w:val="Emfaz"/>
        </w:rPr>
        <w:t>Eur</w:t>
      </w:r>
      <w:proofErr w:type="spellEnd"/>
      <w:r w:rsidRPr="007E525C">
        <w:rPr>
          <w:rStyle w:val="Emfaz"/>
        </w:rPr>
        <w:t>. Tai</w:t>
      </w:r>
      <w:r>
        <w:rPr>
          <w:rStyle w:val="Emfaz"/>
        </w:rPr>
        <w:t xml:space="preserve"> reiškia, kad Lietuvoje </w:t>
      </w:r>
      <w:r w:rsidRPr="007E525C">
        <w:rPr>
          <w:rStyle w:val="Emfaz"/>
        </w:rPr>
        <w:t>pragyvenimo lygis</w:t>
      </w:r>
      <w:r>
        <w:rPr>
          <w:rStyle w:val="Emfaz"/>
        </w:rPr>
        <w:t xml:space="preserve"> pagerėjo</w:t>
      </w:r>
      <w:r w:rsidRPr="007E525C">
        <w:rPr>
          <w:rStyle w:val="Emfaz"/>
        </w:rPr>
        <w:t>.</w:t>
      </w:r>
    </w:p>
    <w:p w14:paraId="56E96486" w14:textId="77777777" w:rsidR="00B320FE" w:rsidRDefault="00B320FE" w:rsidP="00B320FE">
      <w:r>
        <w:rPr>
          <w:noProof/>
          <w:lang w:eastAsia="lt-LT"/>
        </w:rPr>
        <w:drawing>
          <wp:inline distT="0" distB="0" distL="0" distR="0" wp14:anchorId="1C1C3F4E" wp14:editId="02B559EC">
            <wp:extent cx="2457450" cy="1402080"/>
            <wp:effectExtent l="19050" t="0" r="1905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C23D59" w14:textId="77777777" w:rsidR="00B320FE" w:rsidRDefault="00B320FE" w:rsidP="00B320FE"/>
    <w:p w14:paraId="00B862EA" w14:textId="77777777" w:rsidR="00B320FE" w:rsidRDefault="00B320FE" w:rsidP="00B320FE"/>
    <w:p w14:paraId="3CB76DD8" w14:textId="77777777" w:rsidR="00B320FE" w:rsidRDefault="00B320FE" w:rsidP="00B320FE"/>
    <w:p w14:paraId="63FDD235" w14:textId="77777777" w:rsidR="00B320FE" w:rsidRPr="007E525C" w:rsidRDefault="00B320FE" w:rsidP="00B320FE">
      <w:pPr>
        <w:rPr>
          <w:i/>
        </w:rPr>
      </w:pPr>
      <w:r w:rsidRPr="007E525C">
        <w:rPr>
          <w:i/>
        </w:rPr>
        <w:t xml:space="preserve">2016-2019 m. kultūros darbuotojų darbo užmokestis padidėjo 245 </w:t>
      </w:r>
      <w:proofErr w:type="spellStart"/>
      <w:r w:rsidRPr="007E525C">
        <w:rPr>
          <w:i/>
        </w:rPr>
        <w:t>Eur</w:t>
      </w:r>
      <w:proofErr w:type="spellEnd"/>
      <w:r w:rsidRPr="007E525C">
        <w:rPr>
          <w:i/>
        </w:rPr>
        <w:t>.</w:t>
      </w:r>
      <w:r>
        <w:rPr>
          <w:i/>
        </w:rPr>
        <w:t xml:space="preserve"> Taigi,</w:t>
      </w:r>
      <w:r w:rsidRPr="007E525C">
        <w:rPr>
          <w:i/>
        </w:rPr>
        <w:t xml:space="preserve"> padidėjus darbo užmokesčiui, pagerėjo kultūros darbuotojų kompetencija, </w:t>
      </w:r>
      <w:r>
        <w:rPr>
          <w:i/>
        </w:rPr>
        <w:t>pakito darbo kokybė.</w:t>
      </w:r>
    </w:p>
    <w:p w14:paraId="1B761F49" w14:textId="77777777" w:rsidR="00B320FE" w:rsidRDefault="00B320FE" w:rsidP="00B320FE">
      <w:r>
        <w:rPr>
          <w:noProof/>
          <w:lang w:eastAsia="lt-LT"/>
        </w:rPr>
        <w:drawing>
          <wp:inline distT="0" distB="0" distL="0" distR="0" wp14:anchorId="02476A43" wp14:editId="08C43050">
            <wp:extent cx="2632710" cy="1409700"/>
            <wp:effectExtent l="19050" t="0" r="1524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D9AF9CE" w14:textId="77777777" w:rsidR="00B320FE" w:rsidRDefault="00B320FE" w:rsidP="00B320FE"/>
    <w:p w14:paraId="5D6E15D9" w14:textId="77777777" w:rsidR="00B320FE" w:rsidRDefault="00B320FE" w:rsidP="00B320FE"/>
    <w:p w14:paraId="634900A5" w14:textId="77777777" w:rsidR="00B320FE" w:rsidRDefault="00B320FE" w:rsidP="00B320FE"/>
    <w:p w14:paraId="02AA997B" w14:textId="77777777" w:rsidR="00B320FE" w:rsidRPr="007E525C" w:rsidRDefault="00B320FE" w:rsidP="00B320FE">
      <w:pPr>
        <w:rPr>
          <w:i/>
        </w:rPr>
      </w:pPr>
      <w:r w:rsidRPr="007E525C">
        <w:rPr>
          <w:i/>
        </w:rPr>
        <w:t>2016-2019 m. atsargos, inventorius, ilgalaikis turtas pabrango</w:t>
      </w:r>
      <w:r>
        <w:rPr>
          <w:i/>
        </w:rPr>
        <w:t xml:space="preserve"> 100 </w:t>
      </w:r>
      <w:proofErr w:type="spellStart"/>
      <w:r>
        <w:rPr>
          <w:i/>
        </w:rPr>
        <w:t>Eur</w:t>
      </w:r>
      <w:proofErr w:type="spellEnd"/>
      <w:r w:rsidRPr="007E525C">
        <w:rPr>
          <w:i/>
        </w:rPr>
        <w:t xml:space="preserve">. </w:t>
      </w:r>
    </w:p>
    <w:p w14:paraId="65CEA77F" w14:textId="77777777" w:rsidR="00B320FE" w:rsidRDefault="00B320FE" w:rsidP="00B320FE">
      <w:r>
        <w:rPr>
          <w:noProof/>
          <w:lang w:eastAsia="lt-LT"/>
        </w:rPr>
        <w:lastRenderedPageBreak/>
        <w:drawing>
          <wp:inline distT="0" distB="0" distL="0" distR="0" wp14:anchorId="697E185D" wp14:editId="25799FEA">
            <wp:extent cx="2654300" cy="18161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FCAC99" w14:textId="77777777" w:rsidR="00B320FE" w:rsidRDefault="00B320FE" w:rsidP="00B320FE"/>
    <w:p w14:paraId="4F7644EB" w14:textId="77777777" w:rsidR="00B320FE" w:rsidRDefault="00B320FE" w:rsidP="00B320FE"/>
    <w:p w14:paraId="073ED553" w14:textId="77777777" w:rsidR="00B320FE" w:rsidRPr="007E525C" w:rsidRDefault="00B320FE" w:rsidP="00B320FE">
      <w:pPr>
        <w:rPr>
          <w:i/>
        </w:rPr>
      </w:pPr>
      <w:r w:rsidRPr="007E525C">
        <w:rPr>
          <w:i/>
        </w:rPr>
        <w:t xml:space="preserve">2016-2019m. </w:t>
      </w:r>
      <w:r>
        <w:rPr>
          <w:i/>
        </w:rPr>
        <w:t xml:space="preserve">didėjo </w:t>
      </w:r>
      <w:r w:rsidRPr="007E525C">
        <w:rPr>
          <w:i/>
        </w:rPr>
        <w:t xml:space="preserve">spektaklių pastatymų kaštai padidėjo 3000 </w:t>
      </w:r>
      <w:proofErr w:type="spellStart"/>
      <w:r w:rsidRPr="007E525C">
        <w:rPr>
          <w:i/>
        </w:rPr>
        <w:t>Eur</w:t>
      </w:r>
      <w:proofErr w:type="spellEnd"/>
      <w:r w:rsidRPr="007E525C">
        <w:rPr>
          <w:i/>
        </w:rPr>
        <w:t>.</w:t>
      </w:r>
      <w:r>
        <w:rPr>
          <w:i/>
        </w:rPr>
        <w:t xml:space="preserve"> </w:t>
      </w:r>
    </w:p>
    <w:p w14:paraId="108A7E7D" w14:textId="77777777" w:rsidR="00B320FE" w:rsidRDefault="00B320FE" w:rsidP="00B320FE">
      <w:r>
        <w:rPr>
          <w:noProof/>
          <w:lang w:eastAsia="lt-LT"/>
        </w:rPr>
        <w:drawing>
          <wp:inline distT="0" distB="0" distL="0" distR="0" wp14:anchorId="45F8AC80" wp14:editId="6FFE71D4">
            <wp:extent cx="2461260" cy="1485900"/>
            <wp:effectExtent l="19050" t="0" r="1524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2330C4" w14:textId="77777777" w:rsidR="00B320FE" w:rsidRDefault="00B320FE" w:rsidP="00B320FE"/>
    <w:p w14:paraId="5D12A140" w14:textId="77777777" w:rsidR="00B320FE" w:rsidRDefault="00B320FE" w:rsidP="00B320FE"/>
    <w:p w14:paraId="2EC0EA1F" w14:textId="77777777" w:rsidR="00B320FE" w:rsidRDefault="00B320FE" w:rsidP="00B320FE"/>
    <w:p w14:paraId="39E260E2" w14:textId="0C6F42E5" w:rsidR="00B320FE" w:rsidRPr="007E525C" w:rsidRDefault="00B320FE" w:rsidP="00B320FE">
      <w:pPr>
        <w:rPr>
          <w:i/>
        </w:rPr>
      </w:pPr>
      <w:r w:rsidRPr="007E525C">
        <w:rPr>
          <w:i/>
        </w:rPr>
        <w:t>Lankytojų skaičius</w:t>
      </w:r>
      <w:r>
        <w:rPr>
          <w:i/>
        </w:rPr>
        <w:t xml:space="preserve"> Panevėžio teatre „Menas“ 2016-2017 m. išaugo 1129, </w:t>
      </w:r>
      <w:r w:rsidRPr="007E525C">
        <w:rPr>
          <w:i/>
        </w:rPr>
        <w:t xml:space="preserve">kas parodo, kad kainų pasikeitimas neturėjo įtakos lankytojų skaičiui. 2017-2018 m. </w:t>
      </w:r>
      <w:r>
        <w:rPr>
          <w:i/>
        </w:rPr>
        <w:t xml:space="preserve">yra daroma prielaida, kad </w:t>
      </w:r>
      <w:r w:rsidRPr="007E525C">
        <w:rPr>
          <w:i/>
        </w:rPr>
        <w:t>lankytojų skaičius sumažėjo dėl mažo kiekio naujų spektaklių pastatymo.</w:t>
      </w:r>
    </w:p>
    <w:p w14:paraId="3CAB8BBA" w14:textId="77777777" w:rsidR="00B320FE" w:rsidRDefault="00B320FE" w:rsidP="00B320FE">
      <w:r>
        <w:rPr>
          <w:noProof/>
          <w:lang w:eastAsia="lt-LT"/>
        </w:rPr>
        <w:lastRenderedPageBreak/>
        <w:drawing>
          <wp:inline distT="0" distB="0" distL="0" distR="0" wp14:anchorId="0F61CF39" wp14:editId="36578544">
            <wp:extent cx="2481943" cy="17907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44C1ACF" w14:textId="77777777" w:rsidR="000F23ED" w:rsidRPr="0059462D" w:rsidRDefault="000F23ED">
      <w:pPr>
        <w:rPr>
          <w:sz w:val="22"/>
          <w:szCs w:val="22"/>
        </w:rPr>
      </w:pPr>
    </w:p>
    <w:sectPr w:rsidR="000F23ED" w:rsidRPr="0059462D" w:rsidSect="00C80D30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3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7B63"/>
    <w:multiLevelType w:val="hybridMultilevel"/>
    <w:tmpl w:val="02D4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345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23B87F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CF5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E277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AF1DF1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46502151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9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EB2362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F750C"/>
    <w:multiLevelType w:val="multilevel"/>
    <w:tmpl w:val="28801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0C"/>
    <w:rsid w:val="00072810"/>
    <w:rsid w:val="000D083B"/>
    <w:rsid w:val="000D14FF"/>
    <w:rsid w:val="000E1BF6"/>
    <w:rsid w:val="000F23ED"/>
    <w:rsid w:val="001226B6"/>
    <w:rsid w:val="00134142"/>
    <w:rsid w:val="00145310"/>
    <w:rsid w:val="00173E5B"/>
    <w:rsid w:val="001F0375"/>
    <w:rsid w:val="00200420"/>
    <w:rsid w:val="002455FE"/>
    <w:rsid w:val="00265758"/>
    <w:rsid w:val="002950EC"/>
    <w:rsid w:val="002A3569"/>
    <w:rsid w:val="002B1B99"/>
    <w:rsid w:val="002C5A0C"/>
    <w:rsid w:val="002F31F2"/>
    <w:rsid w:val="002F3C01"/>
    <w:rsid w:val="00324F6C"/>
    <w:rsid w:val="003524E7"/>
    <w:rsid w:val="003A09FE"/>
    <w:rsid w:val="003A680C"/>
    <w:rsid w:val="003E2C83"/>
    <w:rsid w:val="003E43B7"/>
    <w:rsid w:val="004A4FDF"/>
    <w:rsid w:val="004B36B0"/>
    <w:rsid w:val="004C61D8"/>
    <w:rsid w:val="00501757"/>
    <w:rsid w:val="00506E60"/>
    <w:rsid w:val="00511D15"/>
    <w:rsid w:val="00554DE5"/>
    <w:rsid w:val="005708BE"/>
    <w:rsid w:val="0059462D"/>
    <w:rsid w:val="00596003"/>
    <w:rsid w:val="005A1181"/>
    <w:rsid w:val="005C0670"/>
    <w:rsid w:val="005D077B"/>
    <w:rsid w:val="005D6461"/>
    <w:rsid w:val="006275B1"/>
    <w:rsid w:val="00652345"/>
    <w:rsid w:val="00693D6C"/>
    <w:rsid w:val="006A7225"/>
    <w:rsid w:val="006D2730"/>
    <w:rsid w:val="006D3ED0"/>
    <w:rsid w:val="006E057C"/>
    <w:rsid w:val="007406BB"/>
    <w:rsid w:val="00747709"/>
    <w:rsid w:val="00750891"/>
    <w:rsid w:val="007C1824"/>
    <w:rsid w:val="00820992"/>
    <w:rsid w:val="00842477"/>
    <w:rsid w:val="008440BB"/>
    <w:rsid w:val="008512EC"/>
    <w:rsid w:val="008A08DB"/>
    <w:rsid w:val="008A22EC"/>
    <w:rsid w:val="008B5E52"/>
    <w:rsid w:val="008D0BF3"/>
    <w:rsid w:val="008E7295"/>
    <w:rsid w:val="00995102"/>
    <w:rsid w:val="009A455A"/>
    <w:rsid w:val="009A71DB"/>
    <w:rsid w:val="009B25CD"/>
    <w:rsid w:val="009B6960"/>
    <w:rsid w:val="009D7935"/>
    <w:rsid w:val="009E60E7"/>
    <w:rsid w:val="009E70D9"/>
    <w:rsid w:val="009E7354"/>
    <w:rsid w:val="009F1C32"/>
    <w:rsid w:val="00A1655B"/>
    <w:rsid w:val="00A3768F"/>
    <w:rsid w:val="00AF1527"/>
    <w:rsid w:val="00B320FE"/>
    <w:rsid w:val="00BA213B"/>
    <w:rsid w:val="00BA641F"/>
    <w:rsid w:val="00BD6DB6"/>
    <w:rsid w:val="00C0719D"/>
    <w:rsid w:val="00C07FDF"/>
    <w:rsid w:val="00C210A2"/>
    <w:rsid w:val="00C4758C"/>
    <w:rsid w:val="00C76C96"/>
    <w:rsid w:val="00C80D30"/>
    <w:rsid w:val="00C95D13"/>
    <w:rsid w:val="00C9795E"/>
    <w:rsid w:val="00CB667F"/>
    <w:rsid w:val="00CC62C0"/>
    <w:rsid w:val="00CE28AC"/>
    <w:rsid w:val="00D112E7"/>
    <w:rsid w:val="00D163B4"/>
    <w:rsid w:val="00D17CAC"/>
    <w:rsid w:val="00D216ED"/>
    <w:rsid w:val="00D53EB8"/>
    <w:rsid w:val="00D97FCE"/>
    <w:rsid w:val="00DA4ED4"/>
    <w:rsid w:val="00DB309B"/>
    <w:rsid w:val="00DB71FC"/>
    <w:rsid w:val="00DF2A3A"/>
    <w:rsid w:val="00E71939"/>
    <w:rsid w:val="00E73217"/>
    <w:rsid w:val="00ED0F57"/>
    <w:rsid w:val="00ED5A5A"/>
    <w:rsid w:val="00ED7006"/>
    <w:rsid w:val="00F414F3"/>
    <w:rsid w:val="00F651F9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B8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757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3A680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E057C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B32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Minimalus darbo užmokestis (Eur)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458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Minimalus darbo užmokestis (Eur)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555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47132544"/>
        <c:axId val="-1047129280"/>
      </c:barChart>
      <c:catAx>
        <c:axId val="-1047132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047129280"/>
        <c:crosses val="autoZero"/>
        <c:auto val="1"/>
        <c:lblAlgn val="ctr"/>
        <c:lblOffset val="100"/>
        <c:noMultiLvlLbl val="0"/>
      </c:catAx>
      <c:valAx>
        <c:axId val="-1047129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047132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Kultūros darbuotojų darbo užmokestis (Eur)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Kultūros darbuotojų darbo užmokestis (Eur)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859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47132000"/>
        <c:axId val="-1047134720"/>
      </c:barChart>
      <c:catAx>
        <c:axId val="-104713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047134720"/>
        <c:crosses val="autoZero"/>
        <c:auto val="1"/>
        <c:lblAlgn val="ctr"/>
        <c:lblOffset val="100"/>
        <c:noMultiLvlLbl val="0"/>
      </c:catAx>
      <c:valAx>
        <c:axId val="-1047134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0471320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Atsargos, inventorius, ilgalaikis turtas (%)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Atsargos, inventorius, ilgalaikis turtas (%)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47134176"/>
        <c:axId val="-1047131456"/>
      </c:barChart>
      <c:catAx>
        <c:axId val="-104713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047131456"/>
        <c:crosses val="autoZero"/>
        <c:auto val="1"/>
        <c:lblAlgn val="ctr"/>
        <c:lblOffset val="100"/>
        <c:noMultiLvlLbl val="0"/>
      </c:catAx>
      <c:valAx>
        <c:axId val="-104713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047134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Spektaklių pastatymų kaštai (Eur)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Spektaklių pastatymų kaštai (Eur)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8000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47127104"/>
        <c:axId val="-1047126560"/>
      </c:barChart>
      <c:catAx>
        <c:axId val="-104712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047126560"/>
        <c:crosses val="autoZero"/>
        <c:auto val="1"/>
        <c:lblAlgn val="ctr"/>
        <c:lblOffset val="100"/>
        <c:noMultiLvlLbl val="0"/>
      </c:catAx>
      <c:valAx>
        <c:axId val="-104712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0471271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Lankytojų skaičius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14997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Lankytojų skaičius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16126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Lankytojų skaičius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13803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47122752"/>
        <c:axId val="-1047125472"/>
      </c:barChart>
      <c:catAx>
        <c:axId val="-104712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1047125472"/>
        <c:crosses val="autoZero"/>
        <c:auto val="1"/>
        <c:lblAlgn val="ctr"/>
        <c:lblOffset val="100"/>
        <c:noMultiLvlLbl val="0"/>
      </c:catAx>
      <c:valAx>
        <c:axId val="-104712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104712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4824</Words>
  <Characters>2751</Characters>
  <Application>Microsoft Office Word</Application>
  <DocSecurity>4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2019-09-03T12:32:00Z</cp:lastPrinted>
  <dcterms:created xsi:type="dcterms:W3CDTF">2019-09-13T06:41:00Z</dcterms:created>
  <dcterms:modified xsi:type="dcterms:W3CDTF">2019-09-13T06:41:00Z</dcterms:modified>
</cp:coreProperties>
</file>