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797DA" w14:textId="4BE57977" w:rsidR="00AD7AE2" w:rsidRDefault="00AD7AE2">
      <w:bookmarkStart w:id="0" w:name="_GoBack"/>
      <w:bookmarkEnd w:id="0"/>
    </w:p>
    <w:p w14:paraId="3D7198FB" w14:textId="4A06AB5A" w:rsidR="000A4BAE" w:rsidRDefault="000A4BAE"/>
    <w:p w14:paraId="6F2B6396" w14:textId="6CCC3EC7" w:rsidR="000A4BAE" w:rsidRDefault="000A4BAE" w:rsidP="000A4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AIŠKINAMASIS RAŠTAS</w:t>
      </w:r>
    </w:p>
    <w:p w14:paraId="72914529" w14:textId="3FD7253E" w:rsidR="000A4BAE" w:rsidRPr="000A4BAE" w:rsidRDefault="000A4BAE" w:rsidP="000A4B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BAE"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6E987703" w14:textId="7777777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SOCIALINĖS PARAMOS TEIKIMO ASMENIMS, PATIRIANTIEMS SOCIALINĘ RIZIKĄ, TVARKOS APRAŠO PATVIRTINIMO, SAVIVALDYBĖS TARYBOS 2010 M. BIRŽELIO 10 D. SPRENDIMO </w:t>
      </w:r>
      <w:hyperlink r:id="rId4" w:history="1">
        <w:r w:rsidRPr="000A4BA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NR.</w:t>
        </w:r>
      </w:hyperlink>
      <w:r w:rsidRPr="000A4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1-53-8 PRIPAŽINIMO NETEKUSIU GALIOS</w:t>
      </w:r>
    </w:p>
    <w:p w14:paraId="6A1AA24D" w14:textId="7777777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159B0" w14:textId="2768C44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711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C371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6A761F" w14:textId="77777777" w:rsidR="000A4BAE" w:rsidRPr="000A4BAE" w:rsidRDefault="000A4BAE" w:rsidP="000A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B428483" w14:textId="77777777" w:rsidR="000A4BAE" w:rsidRPr="000A4BAE" w:rsidRDefault="000A4BAE" w:rsidP="000A4B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27C2A" w14:textId="3A4859B8" w:rsidR="000A4BAE" w:rsidRPr="000A4BAE" w:rsidRDefault="000A4BAE" w:rsidP="0064565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A4BAE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roblemos esmė</w:t>
      </w:r>
      <w:r w:rsidR="004210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A9218E" w14:textId="644B2783" w:rsidR="00DF7750" w:rsidRPr="00DF7750" w:rsidRDefault="00421029" w:rsidP="007D3726">
      <w:pPr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306A5">
        <w:rPr>
          <w:rFonts w:ascii="Times New Roman" w:hAnsi="Times New Roman" w:cs="Times New Roman"/>
          <w:sz w:val="24"/>
          <w:szCs w:val="24"/>
        </w:rPr>
        <w:t xml:space="preserve">adovaujantis </w:t>
      </w:r>
      <w:r w:rsidR="000A4BAE" w:rsidRPr="000A4BAE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0A4BAE"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piniginės socialinės paramos nepasiturintiems gyventojams įstatymo</w:t>
      </w:r>
      <w:r w:rsidR="0063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straipsnio 1 dalimi</w:t>
      </w:r>
      <w:r w:rsidR="000A4BAE"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Lietuvos Respublikos </w:t>
      </w:r>
      <w:r w:rsidR="000A4BAE" w:rsidRPr="000A4BAE">
        <w:rPr>
          <w:rFonts w:ascii="Times New Roman" w:hAnsi="Times New Roman" w:cs="Times New Roman"/>
          <w:sz w:val="24"/>
          <w:szCs w:val="24"/>
        </w:rPr>
        <w:t>išmokų vaikams įstatymo</w:t>
      </w:r>
      <w:r w:rsidR="006306A5">
        <w:rPr>
          <w:rFonts w:ascii="Times New Roman" w:hAnsi="Times New Roman" w:cs="Times New Roman"/>
          <w:sz w:val="24"/>
          <w:szCs w:val="24"/>
        </w:rPr>
        <w:t xml:space="preserve"> 19 straipsnio 1 dalimi</w:t>
      </w:r>
      <w:r>
        <w:rPr>
          <w:rFonts w:ascii="Times New Roman" w:hAnsi="Times New Roman" w:cs="Times New Roman"/>
          <w:sz w:val="24"/>
          <w:szCs w:val="24"/>
        </w:rPr>
        <w:t xml:space="preserve">, socialinė parama asmenims, patiriantiems socialinę riziką, </w:t>
      </w:r>
      <w:r w:rsidR="006306A5">
        <w:rPr>
          <w:rFonts w:ascii="Times New Roman" w:hAnsi="Times New Roman" w:cs="Times New Roman"/>
          <w:sz w:val="24"/>
          <w:szCs w:val="24"/>
        </w:rPr>
        <w:t xml:space="preserve">turi būti teikiama </w:t>
      </w:r>
      <w:r w:rsidR="00DF7750">
        <w:rPr>
          <w:rFonts w:ascii="Times New Roman" w:hAnsi="Times New Roman" w:cs="Times New Roman"/>
          <w:color w:val="000000"/>
          <w:sz w:val="24"/>
          <w:szCs w:val="24"/>
        </w:rPr>
        <w:t>derinant paramos</w:t>
      </w:r>
      <w:r w:rsidR="00DF7750" w:rsidRPr="00DF7750">
        <w:rPr>
          <w:rFonts w:ascii="Times New Roman" w:hAnsi="Times New Roman" w:cs="Times New Roman"/>
          <w:color w:val="000000"/>
          <w:sz w:val="24"/>
          <w:szCs w:val="24"/>
        </w:rPr>
        <w:t xml:space="preserve"> teikimo formas – nepinigine form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F7750" w:rsidRPr="00DF7750">
        <w:rPr>
          <w:rFonts w:ascii="Times New Roman" w:hAnsi="Times New Roman" w:cs="Times New Roman"/>
          <w:color w:val="000000"/>
          <w:sz w:val="24"/>
          <w:szCs w:val="24"/>
        </w:rPr>
        <w:t xml:space="preserve"> ir pinigais</w:t>
      </w:r>
      <w:r w:rsidR="00DF7750">
        <w:rPr>
          <w:rFonts w:ascii="Times New Roman" w:hAnsi="Times New Roman" w:cs="Times New Roman"/>
          <w:sz w:val="24"/>
          <w:szCs w:val="24"/>
        </w:rPr>
        <w:t xml:space="preserve"> </w:t>
      </w:r>
      <w:r w:rsidR="006306A5">
        <w:rPr>
          <w:rFonts w:ascii="Times New Roman" w:hAnsi="Times New Roman" w:cs="Times New Roman"/>
          <w:sz w:val="24"/>
          <w:szCs w:val="24"/>
        </w:rPr>
        <w:t>savivaldybių tarybų nustatyta tvarka.</w:t>
      </w:r>
      <w:r w:rsidR="00645653">
        <w:rPr>
          <w:color w:val="000000"/>
        </w:rPr>
        <w:t> </w:t>
      </w:r>
      <w:r w:rsidR="00E11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Socialinė parama t. y. </w:t>
      </w:r>
      <w:r w:rsidR="00DF7750">
        <w:rPr>
          <w:rFonts w:ascii="Times New Roman" w:hAnsi="Times New Roman" w:cs="Times New Roman"/>
          <w:sz w:val="24"/>
          <w:szCs w:val="24"/>
        </w:rPr>
        <w:t xml:space="preserve">socialinė pašalpa, </w:t>
      </w:r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 išmoka vaikui, </w:t>
      </w:r>
      <w:bookmarkStart w:id="1" w:name="part_57341f3be12846b99d90cac266ef6714"/>
      <w:bookmarkEnd w:id="1"/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išmoka vaikui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bookmarkStart w:id="2" w:name="part_83e1a5ef3bc147a8b34e15d3b5e1a3ec"/>
      <w:bookmarkEnd w:id="2"/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išmoka gimus vienu metu daugiau kaip vienam vaikui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bookmarkStart w:id="3" w:name="part_d90db73af6534365827a7ab9d538abd6"/>
      <w:bookmarkEnd w:id="3"/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išmoka privalomosios prad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inės karo tarnybos kario vaikui, </w:t>
      </w:r>
      <w:bookmarkStart w:id="4" w:name="part_b95b694adfa44cf68d2b1e43a6db82ac"/>
      <w:bookmarkEnd w:id="4"/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išmoka besimokančio ar studiju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ojančio asmens vaiko priežiūrai, </w:t>
      </w:r>
      <w:bookmarkStart w:id="5" w:name="part_7d5555ef59914fab811ee9ff9acdccba"/>
      <w:bookmarkEnd w:id="5"/>
      <w:r w:rsidR="00DF7750"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kartinė išmoka nėščiai moteriai. </w:t>
      </w:r>
    </w:p>
    <w:p w14:paraId="78C24AA5" w14:textId="28FD760A" w:rsidR="000A4BAE" w:rsidRPr="000A4BAE" w:rsidRDefault="00DF7750" w:rsidP="007D372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249">
        <w:rPr>
          <w:rFonts w:ascii="Times New Roman" w:hAnsi="Times New Roman" w:cs="Times New Roman"/>
          <w:sz w:val="24"/>
          <w:szCs w:val="24"/>
        </w:rPr>
        <w:t>Šiuo metu galiojančio</w:t>
      </w:r>
      <w:r w:rsidR="000A4BAE" w:rsidRPr="000A4BAE">
        <w:rPr>
          <w:rFonts w:ascii="Times New Roman" w:hAnsi="Times New Roman" w:cs="Times New Roman"/>
          <w:sz w:val="24"/>
          <w:szCs w:val="24"/>
        </w:rPr>
        <w:t xml:space="preserve"> </w:t>
      </w:r>
      <w:r w:rsidR="00A879FF"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Socialinės paramos teikimo Panevėžio miesto socialinė</w:t>
      </w:r>
      <w:r w:rsidR="00A879F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1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rizikos šeimoms tvarkos aprašo</w:t>
      </w:r>
      <w:r w:rsidR="00E11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249">
        <w:rPr>
          <w:rFonts w:ascii="Times New Roman" w:eastAsia="Times New Roman" w:hAnsi="Times New Roman" w:cs="Times New Roman"/>
          <w:sz w:val="24"/>
          <w:szCs w:val="24"/>
        </w:rPr>
        <w:t xml:space="preserve">nuostatos neatitinka pasikeitusių išvardintų </w:t>
      </w:r>
      <w:r w:rsidR="00421029">
        <w:rPr>
          <w:rFonts w:ascii="Times New Roman" w:eastAsia="Times New Roman" w:hAnsi="Times New Roman" w:cs="Times New Roman"/>
          <w:sz w:val="24"/>
          <w:szCs w:val="24"/>
        </w:rPr>
        <w:t>įstatymų</w:t>
      </w:r>
      <w:r w:rsidR="00E11249">
        <w:rPr>
          <w:rFonts w:ascii="Times New Roman" w:eastAsia="Times New Roman" w:hAnsi="Times New Roman" w:cs="Times New Roman"/>
          <w:sz w:val="24"/>
          <w:szCs w:val="24"/>
        </w:rPr>
        <w:t xml:space="preserve"> nuostatų, todėl </w:t>
      </w:r>
      <w:r>
        <w:rPr>
          <w:rFonts w:ascii="Times New Roman" w:eastAsia="Times New Roman" w:hAnsi="Times New Roman" w:cs="Times New Roman"/>
          <w:sz w:val="24"/>
          <w:szCs w:val="24"/>
        </w:rPr>
        <w:t>yra parengtas sprendimo 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Dėl S</w:t>
      </w:r>
      <w:r w:rsidRPr="000223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ką, tvarkos aprašo patvirtinimo ir </w:t>
      </w:r>
      <w:r w:rsidRPr="000223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0223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avivaldybės tarybos 2010 m. birželio 10 d. sprendimo </w:t>
      </w:r>
      <w:hyperlink r:id="rId5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Nr.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23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1-53-8 pripažinimo netekusiu galios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“ projektas (toliau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50B691A7" w14:textId="11AAF460" w:rsidR="000A4BAE" w:rsidRPr="000A4BAE" w:rsidRDefault="0002232E" w:rsidP="007D3726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4B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4BAE"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 w:rsidR="004210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6FF3BA" w14:textId="34B79BB3" w:rsidR="00A041D5" w:rsidRPr="000A4BAE" w:rsidRDefault="00E11249" w:rsidP="007D37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Socialinė parama asmenims, patiriantiems socialinę riziką, šiuo metu yra teikiama Sa</w:t>
      </w:r>
      <w:r w:rsidRPr="000A4BAE">
        <w:rPr>
          <w:rFonts w:ascii="Times New Roman" w:hAnsi="Times New Roman" w:cs="Times New Roman"/>
          <w:sz w:val="24"/>
          <w:szCs w:val="24"/>
        </w:rPr>
        <w:t xml:space="preserve">vivaldybės tarybos 2010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birželio 10 d. sprendimu </w:t>
      </w: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0A4BAE">
          <w:rPr>
            <w:rFonts w:ascii="Times New Roman" w:eastAsia="Times New Roman" w:hAnsi="Times New Roman" w:cs="Times New Roman"/>
            <w:sz w:val="24"/>
            <w:szCs w:val="24"/>
          </w:rPr>
          <w:t>Nr. 1-53-8</w:t>
        </w:r>
      </w:hyperlink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„Dėl Socialinės paramos teikimo Panevėžio miesto socialinės rizikos šeimoms tvarkos aprašo patvirtinimo”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patvirtintu </w:t>
      </w: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Socialinės paramos teikimo Panevėžio miesto socialinė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rizikos šeimoms tvarkos aprašu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</w:t>
      </w:r>
      <w:r w:rsidR="00DF7750" w:rsidRPr="000A4BAE">
        <w:rPr>
          <w:rFonts w:ascii="Times New Roman" w:hAnsi="Times New Roman" w:cs="Times New Roman"/>
          <w:sz w:val="24"/>
          <w:szCs w:val="24"/>
        </w:rPr>
        <w:t>–</w:t>
      </w:r>
      <w:r w:rsidR="00DF7750">
        <w:rPr>
          <w:rFonts w:ascii="Times New Roman" w:eastAsia="Times New Roman" w:hAnsi="Times New Roman" w:cs="Times New Roman"/>
          <w:sz w:val="24"/>
          <w:szCs w:val="24"/>
        </w:rPr>
        <w:t xml:space="preserve"> Aprašas)</w:t>
      </w: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Pagal šį 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04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prašą </w:t>
      </w:r>
      <w:r w:rsidR="00A041D5" w:rsidRPr="000A4BAE">
        <w:rPr>
          <w:rFonts w:ascii="Times New Roman" w:hAnsi="Times New Roman" w:cs="Times New Roman"/>
          <w:sz w:val="24"/>
          <w:szCs w:val="24"/>
        </w:rPr>
        <w:t>socialinė pašalp</w:t>
      </w:r>
      <w:r w:rsidR="00A041D5">
        <w:rPr>
          <w:rFonts w:ascii="Times New Roman" w:hAnsi="Times New Roman" w:cs="Times New Roman"/>
          <w:sz w:val="24"/>
          <w:szCs w:val="24"/>
        </w:rPr>
        <w:t xml:space="preserve">a ir išmokos vaikams </w:t>
      </w:r>
      <w:r w:rsidR="00A041D5" w:rsidRPr="000A4BAE">
        <w:rPr>
          <w:rFonts w:ascii="Times New Roman" w:hAnsi="Times New Roman" w:cs="Times New Roman"/>
          <w:sz w:val="24"/>
          <w:szCs w:val="24"/>
        </w:rPr>
        <w:t xml:space="preserve">asmenims, patiriantiems socialinę riziką, </w:t>
      </w:r>
      <w:r w:rsidR="00645653">
        <w:rPr>
          <w:rFonts w:ascii="Times New Roman" w:hAnsi="Times New Roman" w:cs="Times New Roman"/>
          <w:sz w:val="24"/>
          <w:szCs w:val="24"/>
        </w:rPr>
        <w:t xml:space="preserve">yra teikiama derinant dvi </w:t>
      </w:r>
      <w:r w:rsidR="00A041D5" w:rsidRPr="000A4BAE">
        <w:rPr>
          <w:rFonts w:ascii="Times New Roman" w:hAnsi="Times New Roman" w:cs="Times New Roman"/>
          <w:sz w:val="24"/>
          <w:szCs w:val="24"/>
        </w:rPr>
        <w:t>formas – nepinigin</w:t>
      </w:r>
      <w:r w:rsidR="00645653">
        <w:rPr>
          <w:rFonts w:ascii="Times New Roman" w:hAnsi="Times New Roman" w:cs="Times New Roman"/>
          <w:sz w:val="24"/>
          <w:szCs w:val="24"/>
        </w:rPr>
        <w:t>e</w:t>
      </w:r>
      <w:r w:rsidR="00A041D5" w:rsidRPr="000A4BAE">
        <w:rPr>
          <w:rFonts w:ascii="Times New Roman" w:hAnsi="Times New Roman" w:cs="Times New Roman"/>
          <w:sz w:val="24"/>
          <w:szCs w:val="24"/>
        </w:rPr>
        <w:t xml:space="preserve"> ir pinigais</w:t>
      </w:r>
      <w:r w:rsidR="00645653">
        <w:rPr>
          <w:rFonts w:ascii="Times New Roman" w:hAnsi="Times New Roman" w:cs="Times New Roman"/>
          <w:sz w:val="24"/>
          <w:szCs w:val="24"/>
        </w:rPr>
        <w:t xml:space="preserve">. </w:t>
      </w:r>
      <w:r w:rsidR="00A041D5" w:rsidRPr="000A4BAE">
        <w:rPr>
          <w:rFonts w:ascii="Times New Roman" w:hAnsi="Times New Roman" w:cs="Times New Roman"/>
          <w:sz w:val="24"/>
          <w:szCs w:val="24"/>
        </w:rPr>
        <w:t>Socialinės pašalpos</w:t>
      </w:r>
      <w:r w:rsidR="00645653">
        <w:rPr>
          <w:rFonts w:ascii="Times New Roman" w:hAnsi="Times New Roman" w:cs="Times New Roman"/>
          <w:sz w:val="24"/>
          <w:szCs w:val="24"/>
        </w:rPr>
        <w:t xml:space="preserve"> ar išmokų vaikams</w:t>
      </w:r>
      <w:r w:rsidR="00A041D5" w:rsidRPr="000A4BAE">
        <w:rPr>
          <w:rFonts w:ascii="Times New Roman" w:hAnsi="Times New Roman" w:cs="Times New Roman"/>
          <w:sz w:val="24"/>
          <w:szCs w:val="24"/>
        </w:rPr>
        <w:t xml:space="preserve"> dydis pinigais negali viršyti 50 procentų paskirtos socialinės pašalpos </w:t>
      </w:r>
      <w:r w:rsidR="00645653">
        <w:rPr>
          <w:rFonts w:ascii="Times New Roman" w:hAnsi="Times New Roman" w:cs="Times New Roman"/>
          <w:sz w:val="24"/>
          <w:szCs w:val="24"/>
        </w:rPr>
        <w:t xml:space="preserve">ar išmokos vaikams </w:t>
      </w:r>
      <w:r w:rsidR="00A041D5" w:rsidRPr="000A4BAE">
        <w:rPr>
          <w:rFonts w:ascii="Times New Roman" w:hAnsi="Times New Roman" w:cs="Times New Roman"/>
          <w:sz w:val="24"/>
          <w:szCs w:val="24"/>
        </w:rPr>
        <w:t>dydžio.</w:t>
      </w:r>
    </w:p>
    <w:p w14:paraId="5B22B286" w14:textId="38887DC3" w:rsidR="00E11249" w:rsidRPr="00E11249" w:rsidRDefault="00645653" w:rsidP="007D37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</w:rPr>
        <w:t>Tokia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prašo </w:t>
      </w:r>
      <w:r w:rsidR="00DF7750">
        <w:rPr>
          <w:rFonts w:ascii="Times New Roman" w:eastAsia="Times New Roman" w:hAnsi="Times New Roman" w:cs="Times New Roman"/>
          <w:color w:val="000000"/>
          <w:sz w:val="24"/>
          <w:szCs w:val="24"/>
        </w:rPr>
        <w:t>nuostata</w:t>
      </w:r>
      <w:r w:rsidR="00E11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neatitinka  </w:t>
      </w:r>
      <w:r w:rsidR="0002232E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p</w:t>
      </w:r>
      <w:r w:rsidR="00E11249" w:rsidRPr="00E11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iniginės socialinės paramos nepasiturintiems gyventojams įstatymo </w:t>
      </w:r>
      <w:r w:rsidR="0002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E11249" w:rsidRPr="00E11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r. </w:t>
      </w:r>
      <w:r w:rsidR="0002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IX</w:t>
      </w:r>
      <w:r w:rsidR="00E11249" w:rsidRPr="00E11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-1675 17 straipsnio pakeitimo įstatymo </w:t>
      </w:r>
      <w:r w:rsidR="0002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E11249" w:rsidRPr="00E11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r. </w:t>
      </w:r>
      <w:r w:rsidR="0002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XIII</w:t>
      </w:r>
      <w:r w:rsidR="00E11249" w:rsidRPr="00E11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-1960 pakeitimo</w:t>
      </w:r>
      <w:r w:rsidR="0002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įstatymu ir </w:t>
      </w:r>
      <w:r w:rsidR="0002232E" w:rsidRPr="000A4BAE">
        <w:rPr>
          <w:rFonts w:ascii="Times New Roman" w:hAnsi="Times New Roman" w:cs="Times New Roman"/>
          <w:sz w:val="24"/>
          <w:szCs w:val="24"/>
        </w:rPr>
        <w:t xml:space="preserve">Lietuvos Respublikos išmokų vaikams įstatymo (toliau – Įstatymas) Nr. I-621 </w:t>
      </w:r>
      <w:r w:rsidR="0002232E" w:rsidRPr="000A4BAE">
        <w:rPr>
          <w:rFonts w:ascii="Times New Roman" w:hAnsi="Times New Roman" w:cs="Times New Roman"/>
          <w:sz w:val="24"/>
          <w:szCs w:val="24"/>
        </w:rPr>
        <w:lastRenderedPageBreak/>
        <w:t>3, 16, 17, 19, 21 straipsnių, trečiojo skyriaus pavadinimo pakeitimo ir įstatymo papildymo 12</w:t>
      </w:r>
      <w:r w:rsidR="0002232E" w:rsidRPr="000A4B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4261">
        <w:rPr>
          <w:rFonts w:ascii="Times New Roman" w:hAnsi="Times New Roman" w:cs="Times New Roman"/>
          <w:sz w:val="24"/>
          <w:szCs w:val="24"/>
        </w:rPr>
        <w:t xml:space="preserve"> straipsniu pakeitimo įstatymo 6 strai</w:t>
      </w:r>
      <w:r w:rsidR="00421029">
        <w:rPr>
          <w:rFonts w:ascii="Times New Roman" w:hAnsi="Times New Roman" w:cs="Times New Roman"/>
          <w:sz w:val="24"/>
          <w:szCs w:val="24"/>
        </w:rPr>
        <w:t>ps</w:t>
      </w:r>
      <w:r w:rsidR="00244261">
        <w:rPr>
          <w:rFonts w:ascii="Times New Roman" w:hAnsi="Times New Roman" w:cs="Times New Roman"/>
          <w:sz w:val="24"/>
          <w:szCs w:val="24"/>
        </w:rPr>
        <w:t>n</w:t>
      </w:r>
      <w:r w:rsidR="00421029">
        <w:rPr>
          <w:rFonts w:ascii="Times New Roman" w:hAnsi="Times New Roman" w:cs="Times New Roman"/>
          <w:sz w:val="24"/>
          <w:szCs w:val="24"/>
        </w:rPr>
        <w:t>i</w:t>
      </w:r>
      <w:r w:rsidR="00244261">
        <w:rPr>
          <w:rFonts w:ascii="Times New Roman" w:hAnsi="Times New Roman" w:cs="Times New Roman"/>
          <w:sz w:val="24"/>
          <w:szCs w:val="24"/>
        </w:rPr>
        <w:t>o</w:t>
      </w:r>
      <w:r w:rsidR="0002232E">
        <w:rPr>
          <w:rFonts w:ascii="Times New Roman" w:hAnsi="Times New Roman" w:cs="Times New Roman"/>
          <w:sz w:val="24"/>
          <w:szCs w:val="24"/>
        </w:rPr>
        <w:t xml:space="preserve"> nuostatų.</w:t>
      </w:r>
    </w:p>
    <w:p w14:paraId="0F90D3AD" w14:textId="32D8F181" w:rsidR="0002232E" w:rsidRPr="000A4BAE" w:rsidRDefault="00645653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223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="0002232E"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02232E"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232E"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="0002232E"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440D325F" w14:textId="4B809E83" w:rsidR="0002232E" w:rsidRDefault="0002232E" w:rsidP="007D37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</w:t>
      </w:r>
      <w:r w:rsidR="004210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nustatyta galiojančius socialinės paramos teikimą reglamentuojančius </w:t>
      </w:r>
      <w:r w:rsidR="004210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įstatymus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atitinkanti paramos teikimo Panevėžio mieste tvarka asmenims, patiriantiems socialinę riziką.</w:t>
      </w:r>
    </w:p>
    <w:p w14:paraId="194AE579" w14:textId="4076B54B" w:rsidR="00A82C0E" w:rsidRPr="00A82C0E" w:rsidRDefault="00A82C0E" w:rsidP="0042102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Vadovaujantis </w:t>
      </w:r>
      <w:r w:rsidRPr="00A82C0E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p</w:t>
      </w:r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iniginės socialinės paramos nepasiturintiems gyventojams įstatymo Nr. IX-1675 17 straipsnio pakeitimo įstatymo Nr. XIII-1960 pakeitimo įstatymu</w:t>
      </w:r>
      <w:r w:rsidRPr="00A82C0E">
        <w:rPr>
          <w:rFonts w:ascii="Times New Roman" w:hAnsi="Times New Roman" w:cs="Times New Roman"/>
          <w:sz w:val="24"/>
          <w:szCs w:val="24"/>
        </w:rPr>
        <w:t>, b</w:t>
      </w:r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 įteisinta, kad patiriantiems socialinę riziką asmenims </w:t>
      </w:r>
      <w:r w:rsidRPr="00A82C0E">
        <w:rPr>
          <w:rFonts w:ascii="Times New Roman" w:hAnsi="Times New Roman" w:cs="Times New Roman"/>
          <w:sz w:val="24"/>
          <w:szCs w:val="24"/>
        </w:rPr>
        <w:t>socialinės pašalpos dydis pinigais galės viršyti 50 procentų p</w:t>
      </w:r>
      <w:r w:rsidRPr="00A82C0E">
        <w:rPr>
          <w:rFonts w:ascii="Times New Roman" w:hAnsi="Times New Roman" w:cs="Times New Roman"/>
          <w:color w:val="000000"/>
          <w:sz w:val="24"/>
          <w:szCs w:val="24"/>
        </w:rPr>
        <w:t xml:space="preserve">askirtos socialinės pašalpos dydį pagal  atvejo vadybininko, koordinuojančio atvejo vadybos procesą,  rekomendaciją. </w:t>
      </w:r>
      <w:r w:rsidRPr="00A82C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A82C0E">
        <w:rPr>
          <w:rFonts w:ascii="Times New Roman" w:hAnsi="Times New Roman" w:cs="Times New Roman"/>
          <w:bCs/>
          <w:sz w:val="24"/>
          <w:szCs w:val="24"/>
        </w:rPr>
        <w:t xml:space="preserve">Kai </w:t>
      </w:r>
      <w:r w:rsidRPr="00A82C0E">
        <w:rPr>
          <w:rFonts w:ascii="Times New Roman" w:hAnsi="Times New Roman" w:cs="Times New Roman"/>
          <w:color w:val="000000"/>
          <w:sz w:val="24"/>
          <w:szCs w:val="24"/>
        </w:rPr>
        <w:t xml:space="preserve">atvejo vadyba netaikoma, – </w:t>
      </w:r>
      <w:r w:rsidR="00A041D5">
        <w:rPr>
          <w:rFonts w:ascii="Times New Roman" w:hAnsi="Times New Roman" w:cs="Times New Roman"/>
          <w:color w:val="000000"/>
          <w:sz w:val="24"/>
          <w:szCs w:val="24"/>
        </w:rPr>
        <w:t xml:space="preserve">tokią rekomendaciją turės teisė </w:t>
      </w:r>
      <w:r w:rsidRPr="00A82C0E">
        <w:rPr>
          <w:rFonts w:ascii="Times New Roman" w:hAnsi="Times New Roman" w:cs="Times New Roman"/>
          <w:color w:val="000000"/>
          <w:sz w:val="24"/>
          <w:szCs w:val="24"/>
        </w:rPr>
        <w:t xml:space="preserve"> pateikti  socialinis darbuotojas, dirbantis su asmenimis, patiriančiais socialinę riziką. </w:t>
      </w:r>
    </w:p>
    <w:p w14:paraId="238A878B" w14:textId="765E8CCF" w:rsidR="007D3726" w:rsidRPr="00DF7750" w:rsidRDefault="007D3726" w:rsidP="004210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41D5">
        <w:rPr>
          <w:rFonts w:ascii="Times New Roman" w:hAnsi="Times New Roman" w:cs="Times New Roman"/>
          <w:sz w:val="24"/>
          <w:szCs w:val="24"/>
        </w:rPr>
        <w:t xml:space="preserve">Tokia pati galimybė, vadovaujantis </w:t>
      </w:r>
      <w:r w:rsidR="000A4BAE" w:rsidRPr="000A4BAE">
        <w:rPr>
          <w:rFonts w:ascii="Times New Roman" w:hAnsi="Times New Roman" w:cs="Times New Roman"/>
          <w:sz w:val="24"/>
          <w:szCs w:val="24"/>
        </w:rPr>
        <w:t>Lietuvos Respublikos išmokų vaikams įstatymo</w:t>
      </w:r>
      <w:r w:rsidR="00DF7750">
        <w:rPr>
          <w:rFonts w:ascii="Times New Roman" w:hAnsi="Times New Roman" w:cs="Times New Roman"/>
          <w:sz w:val="24"/>
          <w:szCs w:val="24"/>
        </w:rPr>
        <w:t xml:space="preserve"> Nr</w:t>
      </w:r>
      <w:r w:rsidR="000A4BAE" w:rsidRPr="000A4BAE">
        <w:rPr>
          <w:rFonts w:ascii="Times New Roman" w:hAnsi="Times New Roman" w:cs="Times New Roman"/>
          <w:sz w:val="24"/>
          <w:szCs w:val="24"/>
        </w:rPr>
        <w:t>. I-621 3, 16, 17, 19, 21 straipsnių, trečiojo skyriaus pavadinimo pakeitimo ir įstatymo papildymo 12</w:t>
      </w:r>
      <w:r w:rsidR="000A4BAE" w:rsidRPr="000A4B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4261">
        <w:rPr>
          <w:rFonts w:ascii="Times New Roman" w:hAnsi="Times New Roman" w:cs="Times New Roman"/>
          <w:sz w:val="24"/>
          <w:szCs w:val="24"/>
        </w:rPr>
        <w:t xml:space="preserve"> straipsniu pakeitimo įstatymo 6 straipsniu</w:t>
      </w:r>
      <w:r w:rsidR="00A041D5">
        <w:rPr>
          <w:rFonts w:ascii="Times New Roman" w:hAnsi="Times New Roman" w:cs="Times New Roman"/>
          <w:sz w:val="24"/>
          <w:szCs w:val="24"/>
        </w:rPr>
        <w:t xml:space="preserve">, įteisinta </w:t>
      </w:r>
      <w:r>
        <w:rPr>
          <w:rFonts w:ascii="Times New Roman" w:hAnsi="Times New Roman" w:cs="Times New Roman"/>
          <w:sz w:val="24"/>
          <w:szCs w:val="24"/>
        </w:rPr>
        <w:t xml:space="preserve">šioms išmokoms: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ei išmokai vaikui,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vaikui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gimus vienu metu daugiau kaip vienam vaikui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privalomosios prad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inės karo tarnybos kario vaikui,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besimokančio ar studiju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ojančio asmens vaiko priežiūrai, </w:t>
      </w:r>
      <w:r w:rsidRPr="00DF77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kartinei išmokai nėščiai moteriai. </w:t>
      </w:r>
    </w:p>
    <w:p w14:paraId="0F052830" w14:textId="47B5C12C" w:rsidR="00645653" w:rsidRPr="000A4BAE" w:rsidRDefault="00645653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51A4ADE1" w14:textId="43FCDC45" w:rsidR="000A4BAE" w:rsidRPr="007D3726" w:rsidRDefault="007D3726" w:rsidP="00C16F3B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56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Patvirtinus sprendimo projektą papildomos lėšos nebus reikalingos.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pašalpos pagal Piniginės socialinės paramos nepasiturintiems gyventojams įstatymą yra finansuojamos </w:t>
      </w:r>
      <w:r w:rsidR="000A4BAE" w:rsidRPr="000A4BA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iš savivaldybės biudžeto lėšų. Išmokos pagal Išmokų vaikams įstatymą yra finansuojamos iš valstybės biudžeto lėšų.</w:t>
      </w:r>
    </w:p>
    <w:p w14:paraId="084E43B9" w14:textId="62836819" w:rsidR="000A4BAE" w:rsidRPr="004C31CE" w:rsidRDefault="000A4BAE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D88D285" w14:textId="04E87828" w:rsidR="000A4BAE" w:rsidRPr="004C31CE" w:rsidRDefault="000A4BAE" w:rsidP="007D3726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  <w:r w:rsidR="00645653" w:rsidRPr="000A4BAE">
        <w:rPr>
          <w:rFonts w:ascii="Times New Roman" w:hAnsi="Times New Roman" w:cs="Times New Roman"/>
          <w:sz w:val="24"/>
          <w:szCs w:val="24"/>
        </w:rPr>
        <w:t>Sprendimo</w:t>
      </w:r>
      <w:r w:rsidR="00645653">
        <w:rPr>
          <w:rFonts w:ascii="Times New Roman" w:hAnsi="Times New Roman" w:cs="Times New Roman"/>
          <w:sz w:val="24"/>
          <w:szCs w:val="24"/>
        </w:rPr>
        <w:t xml:space="preserve"> projektas parengtas siekiant  užtikrinti tinkamą</w:t>
      </w:r>
      <w:r w:rsidR="00645653" w:rsidRPr="000A4BAE">
        <w:rPr>
          <w:rFonts w:ascii="Times New Roman" w:hAnsi="Times New Roman" w:cs="Times New Roman"/>
          <w:sz w:val="24"/>
          <w:szCs w:val="24"/>
        </w:rPr>
        <w:t xml:space="preserve"> socialinės paramos </w:t>
      </w:r>
      <w:r w:rsidR="00645653">
        <w:rPr>
          <w:rFonts w:ascii="Times New Roman" w:hAnsi="Times New Roman" w:cs="Times New Roman"/>
          <w:sz w:val="24"/>
          <w:szCs w:val="24"/>
        </w:rPr>
        <w:t xml:space="preserve">panaudojimą patenkinant būtiniausius </w:t>
      </w:r>
      <w:r w:rsidR="00645653" w:rsidRPr="000A4BAE">
        <w:rPr>
          <w:rFonts w:ascii="Times New Roman" w:hAnsi="Times New Roman" w:cs="Times New Roman"/>
          <w:sz w:val="24"/>
          <w:szCs w:val="24"/>
        </w:rPr>
        <w:t>asmenų, patiria</w:t>
      </w:r>
      <w:r w:rsidR="00645653">
        <w:rPr>
          <w:rFonts w:ascii="Times New Roman" w:hAnsi="Times New Roman" w:cs="Times New Roman"/>
          <w:sz w:val="24"/>
          <w:szCs w:val="24"/>
        </w:rPr>
        <w:t>nčių socialinę riziką, poreikius</w:t>
      </w:r>
      <w:r w:rsidR="00645653" w:rsidRPr="000A4BAE">
        <w:rPr>
          <w:rFonts w:ascii="Times New Roman" w:hAnsi="Times New Roman" w:cs="Times New Roman"/>
          <w:sz w:val="24"/>
          <w:szCs w:val="24"/>
        </w:rPr>
        <w:t>.</w:t>
      </w:r>
    </w:p>
    <w:p w14:paraId="450108A4" w14:textId="5DC737DE" w:rsidR="000A4BAE" w:rsidRPr="004C31CE" w:rsidRDefault="000A4BAE" w:rsidP="007D3726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201A61F" w14:textId="62162251" w:rsidR="000A4BAE" w:rsidRDefault="000A4BAE" w:rsidP="007D3726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C4EF48" w14:textId="53653E4B" w:rsidR="009E609B" w:rsidRDefault="009E609B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</w:t>
      </w:r>
      <w:r w:rsidR="007D3726">
        <w:rPr>
          <w:rFonts w:ascii="Times New Roman" w:hAnsi="Times New Roman" w:cs="Times New Roman"/>
          <w:sz w:val="24"/>
          <w:szCs w:val="24"/>
        </w:rPr>
        <w:t xml:space="preserve"> 1. </w:t>
      </w:r>
      <w:r w:rsidR="007D3726"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Socialinės paramos teikimo Panevėžio miesto socialinė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s rizik</w:t>
      </w:r>
      <w:r w:rsidR="00244261">
        <w:rPr>
          <w:rFonts w:ascii="Times New Roman" w:eastAsia="Times New Roman" w:hAnsi="Times New Roman" w:cs="Times New Roman"/>
          <w:color w:val="000000"/>
          <w:sz w:val="24"/>
          <w:szCs w:val="24"/>
        </w:rPr>
        <w:t>os šeimoms tvarkos aprašas, 2 lapai.</w:t>
      </w:r>
      <w:r w:rsidR="007D37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FB5077" w14:textId="34CB9724" w:rsidR="007D3726" w:rsidRDefault="007D3726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2. </w:t>
      </w:r>
      <w:bookmarkStart w:id="6" w:name="_Hlk15896104"/>
      <w:r w:rsidRPr="00A82C0E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p</w:t>
      </w:r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iniginės socialinės paramos nepasiturintiems gyventojams įstatymo</w:t>
      </w:r>
      <w:bookmarkEnd w:id="6"/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IX-1675 17 straipsnio pakeitimo įstatymo Nr. XIII-1960 pakeitimo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įstatymas, </w:t>
      </w:r>
      <w:r w:rsidR="00244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 lapai;</w:t>
      </w:r>
    </w:p>
    <w:p w14:paraId="0172131A" w14:textId="49280D6A" w:rsidR="00421029" w:rsidRDefault="00421029" w:rsidP="000A4BA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lastRenderedPageBreak/>
        <w:tab/>
        <w:t xml:space="preserve">   3. </w:t>
      </w:r>
      <w:r w:rsidRPr="00A82C0E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p</w:t>
      </w:r>
      <w:r w:rsidRPr="00A82C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iniginės socialinės paramos nepasiturintiems gyventojams įstatymo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išrašas, 1 lapas;</w:t>
      </w:r>
    </w:p>
    <w:p w14:paraId="3C4E175E" w14:textId="04FB0133" w:rsidR="007D3726" w:rsidRPr="000A4BAE" w:rsidRDefault="007D3726" w:rsidP="000A4BAE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  <w:t xml:space="preserve">   </w:t>
      </w:r>
      <w:r w:rsidR="004210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. </w:t>
      </w:r>
      <w:r w:rsidRPr="000A4BAE">
        <w:rPr>
          <w:rFonts w:ascii="Times New Roman" w:hAnsi="Times New Roman" w:cs="Times New Roman"/>
          <w:sz w:val="24"/>
          <w:szCs w:val="24"/>
        </w:rPr>
        <w:t>Lietuvos Respublikos išmokų vaikams įstatymo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0A4BAE">
        <w:rPr>
          <w:rFonts w:ascii="Times New Roman" w:hAnsi="Times New Roman" w:cs="Times New Roman"/>
          <w:sz w:val="24"/>
          <w:szCs w:val="24"/>
        </w:rPr>
        <w:t>. I-621 3, 16, 17, 19, 21 straipsnių, trečiojo skyriaus pavadinimo pakeitimo ir įstatymo papildymo 12</w:t>
      </w:r>
      <w:r w:rsidRPr="000A4B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4261">
        <w:rPr>
          <w:rFonts w:ascii="Times New Roman" w:hAnsi="Times New Roman" w:cs="Times New Roman"/>
          <w:sz w:val="24"/>
          <w:szCs w:val="24"/>
        </w:rPr>
        <w:t xml:space="preserve"> straipsniu pakeitimo įstatymas,   3 lapai.  </w:t>
      </w:r>
      <w:r w:rsidR="00421029">
        <w:rPr>
          <w:rFonts w:ascii="Times New Roman" w:hAnsi="Times New Roman" w:cs="Times New Roman"/>
          <w:sz w:val="24"/>
          <w:szCs w:val="24"/>
        </w:rPr>
        <w:t>Viso 8 lapai.</w:t>
      </w:r>
    </w:p>
    <w:p w14:paraId="044EBFD8" w14:textId="77777777" w:rsidR="000A4BAE" w:rsidRP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44353" w14:textId="77777777" w:rsid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5C226702" w14:textId="127F015F" w:rsidR="000A4BAE" w:rsidRPr="000A4BAE" w:rsidRDefault="000A4BAE" w:rsidP="000A4BAE">
      <w:pPr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Socialinių išmokų poskyrio vedėja</w:t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2ED691A4" w14:textId="77777777" w:rsidR="000A4BAE" w:rsidRPr="000A4BAE" w:rsidRDefault="000A4BAE" w:rsidP="000A4B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E1937" w14:textId="77777777" w:rsidR="000A4BAE" w:rsidRPr="000A4BAE" w:rsidRDefault="000A4BAE" w:rsidP="000A4B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712F" w14:textId="77777777" w:rsidR="000A4BAE" w:rsidRDefault="000A4BAE"/>
    <w:sectPr w:rsidR="000A4BAE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B5"/>
    <w:rsid w:val="0002232E"/>
    <w:rsid w:val="000A4BAE"/>
    <w:rsid w:val="00244261"/>
    <w:rsid w:val="00421029"/>
    <w:rsid w:val="006306A5"/>
    <w:rsid w:val="00645653"/>
    <w:rsid w:val="007D3726"/>
    <w:rsid w:val="009E609B"/>
    <w:rsid w:val="00A041D5"/>
    <w:rsid w:val="00A82C0E"/>
    <w:rsid w:val="00A879FF"/>
    <w:rsid w:val="00AD7AE2"/>
    <w:rsid w:val="00B943B5"/>
    <w:rsid w:val="00C16F3B"/>
    <w:rsid w:val="00C37114"/>
    <w:rsid w:val="00DF7750"/>
    <w:rsid w:val="00E11249"/>
    <w:rsid w:val="00FD6EF0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C077"/>
  <w15:chartTrackingRefBased/>
  <w15:docId w15:val="{AADBC796-D0A4-4838-A675-0E00C3B3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182.86.148/aktai/Default.aspx?Id=3&amp;DocId=21008534" TargetMode="External"/><Relationship Id="rId5" Type="http://schemas.openxmlformats.org/officeDocument/2006/relationships/hyperlink" Target="http://195.182.86.148/aktai/Default.aspx?Id=3&amp;DocId=21008534" TargetMode="External"/><Relationship Id="rId4" Type="http://schemas.openxmlformats.org/officeDocument/2006/relationships/hyperlink" Target="http://195.182.86.148/aktai/Default.aspx?Id=3&amp;DocId=2100853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cp:lastPrinted>2019-10-07T11:51:00Z</cp:lastPrinted>
  <dcterms:created xsi:type="dcterms:W3CDTF">2019-10-21T11:21:00Z</dcterms:created>
  <dcterms:modified xsi:type="dcterms:W3CDTF">2019-10-21T11:21:00Z</dcterms:modified>
</cp:coreProperties>
</file>