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99FAC" w14:textId="77777777" w:rsidR="0099467C" w:rsidRDefault="0099467C" w:rsidP="00A35E56">
      <w:pPr>
        <w:jc w:val="center"/>
        <w:rPr>
          <w:sz w:val="24"/>
          <w:szCs w:val="24"/>
        </w:rPr>
      </w:pPr>
      <w:bookmarkStart w:id="0" w:name="_GoBack"/>
      <w:bookmarkEnd w:id="0"/>
    </w:p>
    <w:tbl>
      <w:tblPr>
        <w:tblW w:w="5000" w:type="pct"/>
        <w:tblLook w:val="00A0" w:firstRow="1" w:lastRow="0" w:firstColumn="1" w:lastColumn="0" w:noHBand="0" w:noVBand="0"/>
      </w:tblPr>
      <w:tblGrid>
        <w:gridCol w:w="5576"/>
        <w:gridCol w:w="295"/>
        <w:gridCol w:w="1363"/>
        <w:gridCol w:w="530"/>
        <w:gridCol w:w="1874"/>
      </w:tblGrid>
      <w:tr w:rsidR="003A2F87" w:rsidRPr="003A2F87" w14:paraId="15799FB4" w14:textId="77777777" w:rsidTr="003A2F87">
        <w:tc>
          <w:tcPr>
            <w:tcW w:w="5576" w:type="dxa"/>
            <w:vMerge w:val="restart"/>
          </w:tcPr>
          <w:p w14:paraId="15799FAD" w14:textId="77777777" w:rsidR="003A2F87" w:rsidRPr="003A2F87" w:rsidRDefault="003A2F87" w:rsidP="003A2F87">
            <w:pPr>
              <w:rPr>
                <w:sz w:val="24"/>
                <w:szCs w:val="24"/>
              </w:rPr>
            </w:pPr>
            <w:bookmarkStart w:id="1" w:name="_Hlk26888603"/>
            <w:r w:rsidRPr="003A2F87">
              <w:rPr>
                <w:sz w:val="24"/>
                <w:szCs w:val="24"/>
              </w:rPr>
              <w:t>Panevėžio m. savivaldybės administracijos</w:t>
            </w:r>
            <w:r w:rsidRPr="003A2F87">
              <w:rPr>
                <w:sz w:val="24"/>
                <w:szCs w:val="24"/>
              </w:rPr>
              <w:tab/>
            </w:r>
            <w:r w:rsidRPr="003A2F87">
              <w:rPr>
                <w:sz w:val="24"/>
                <w:szCs w:val="24"/>
              </w:rPr>
              <w:tab/>
            </w:r>
            <w:r w:rsidRPr="003A2F87">
              <w:rPr>
                <w:sz w:val="24"/>
                <w:szCs w:val="24"/>
              </w:rPr>
              <w:tab/>
            </w:r>
          </w:p>
          <w:p w14:paraId="15799FAE" w14:textId="77777777" w:rsidR="003A2F87" w:rsidRPr="003A2F87" w:rsidRDefault="003A2F87" w:rsidP="003A2F87">
            <w:pPr>
              <w:rPr>
                <w:sz w:val="24"/>
                <w:szCs w:val="24"/>
              </w:rPr>
            </w:pPr>
            <w:r w:rsidRPr="003A2F87">
              <w:rPr>
                <w:sz w:val="24"/>
                <w:szCs w:val="24"/>
              </w:rPr>
              <w:t>Kultūros ir meno skyriui</w:t>
            </w:r>
          </w:p>
          <w:p w14:paraId="15799FAF" w14:textId="77777777" w:rsidR="003A2F87" w:rsidRPr="003A2F87" w:rsidRDefault="003A2F87" w:rsidP="003A2F87">
            <w:pPr>
              <w:jc w:val="center"/>
              <w:rPr>
                <w:sz w:val="24"/>
                <w:szCs w:val="24"/>
              </w:rPr>
            </w:pPr>
          </w:p>
        </w:tc>
        <w:tc>
          <w:tcPr>
            <w:tcW w:w="295" w:type="dxa"/>
          </w:tcPr>
          <w:p w14:paraId="15799FB0" w14:textId="77777777" w:rsidR="003A2F87" w:rsidRPr="003A2F87" w:rsidRDefault="003A2F87" w:rsidP="003A2F87">
            <w:pPr>
              <w:jc w:val="center"/>
              <w:rPr>
                <w:sz w:val="24"/>
                <w:szCs w:val="24"/>
              </w:rPr>
            </w:pPr>
          </w:p>
        </w:tc>
        <w:tc>
          <w:tcPr>
            <w:tcW w:w="1363" w:type="dxa"/>
          </w:tcPr>
          <w:p w14:paraId="15799FB1" w14:textId="77777777" w:rsidR="003A2F87" w:rsidRPr="003A2F87" w:rsidRDefault="003A2F87" w:rsidP="003A2F87">
            <w:pPr>
              <w:jc w:val="center"/>
              <w:rPr>
                <w:sz w:val="24"/>
                <w:szCs w:val="24"/>
              </w:rPr>
            </w:pPr>
            <w:r w:rsidRPr="003A2F87">
              <w:rPr>
                <w:sz w:val="24"/>
                <w:szCs w:val="24"/>
              </w:rPr>
              <w:fldChar w:fldCharType="begin">
                <w:ffData>
                  <w:name w:val="dokumentoData"/>
                  <w:enabled/>
                  <w:calcOnExit w:val="0"/>
                  <w:textInput/>
                </w:ffData>
              </w:fldChar>
            </w:r>
            <w:r w:rsidRPr="003A2F87">
              <w:rPr>
                <w:sz w:val="24"/>
                <w:szCs w:val="24"/>
              </w:rPr>
              <w:instrText xml:space="preserve"> FORMTEXT </w:instrText>
            </w:r>
            <w:r w:rsidRPr="003A2F87">
              <w:rPr>
                <w:sz w:val="24"/>
                <w:szCs w:val="24"/>
              </w:rPr>
            </w:r>
            <w:r w:rsidRPr="003A2F87">
              <w:rPr>
                <w:sz w:val="24"/>
                <w:szCs w:val="24"/>
              </w:rPr>
              <w:fldChar w:fldCharType="separate"/>
            </w:r>
            <w:r w:rsidRPr="003A2F87">
              <w:rPr>
                <w:sz w:val="24"/>
                <w:szCs w:val="24"/>
              </w:rPr>
              <w:t> </w:t>
            </w:r>
            <w:r w:rsidRPr="003A2F87">
              <w:rPr>
                <w:sz w:val="24"/>
                <w:szCs w:val="24"/>
              </w:rPr>
              <w:t> </w:t>
            </w:r>
            <w:r w:rsidRPr="003A2F87">
              <w:rPr>
                <w:sz w:val="24"/>
                <w:szCs w:val="24"/>
              </w:rPr>
              <w:t> </w:t>
            </w:r>
            <w:r w:rsidRPr="003A2F87">
              <w:rPr>
                <w:sz w:val="24"/>
                <w:szCs w:val="24"/>
              </w:rPr>
              <w:t> </w:t>
            </w:r>
            <w:r w:rsidRPr="003A2F87">
              <w:rPr>
                <w:sz w:val="24"/>
                <w:szCs w:val="24"/>
              </w:rPr>
              <w:t> </w:t>
            </w:r>
            <w:r w:rsidRPr="003A2F87">
              <w:rPr>
                <w:sz w:val="24"/>
                <w:szCs w:val="24"/>
              </w:rPr>
              <w:fldChar w:fldCharType="end"/>
            </w:r>
          </w:p>
        </w:tc>
        <w:tc>
          <w:tcPr>
            <w:tcW w:w="530" w:type="dxa"/>
          </w:tcPr>
          <w:p w14:paraId="15799FB2" w14:textId="77777777" w:rsidR="003A2F87" w:rsidRPr="003A2F87" w:rsidRDefault="003A2F87" w:rsidP="003A2F87">
            <w:pPr>
              <w:jc w:val="center"/>
              <w:rPr>
                <w:sz w:val="24"/>
                <w:szCs w:val="24"/>
              </w:rPr>
            </w:pPr>
            <w:r w:rsidRPr="003A2F87">
              <w:rPr>
                <w:sz w:val="24"/>
                <w:szCs w:val="24"/>
              </w:rPr>
              <w:t xml:space="preserve">Nr. </w:t>
            </w:r>
          </w:p>
        </w:tc>
        <w:tc>
          <w:tcPr>
            <w:tcW w:w="1874" w:type="dxa"/>
          </w:tcPr>
          <w:p w14:paraId="15799FB3" w14:textId="77777777" w:rsidR="003A2F87" w:rsidRPr="003A2F87" w:rsidRDefault="003A2F87" w:rsidP="003A2F87">
            <w:pPr>
              <w:jc w:val="center"/>
              <w:rPr>
                <w:sz w:val="24"/>
                <w:szCs w:val="24"/>
              </w:rPr>
            </w:pPr>
            <w:r w:rsidRPr="003A2F87">
              <w:rPr>
                <w:sz w:val="24"/>
                <w:szCs w:val="24"/>
              </w:rPr>
              <w:fldChar w:fldCharType="begin">
                <w:ffData>
                  <w:name w:val="registravimoNr"/>
                  <w:enabled/>
                  <w:calcOnExit w:val="0"/>
                  <w:textInput/>
                </w:ffData>
              </w:fldChar>
            </w:r>
            <w:r w:rsidRPr="003A2F87">
              <w:rPr>
                <w:sz w:val="24"/>
                <w:szCs w:val="24"/>
              </w:rPr>
              <w:instrText xml:space="preserve"> FORMTEXT </w:instrText>
            </w:r>
            <w:r w:rsidRPr="003A2F87">
              <w:rPr>
                <w:sz w:val="24"/>
                <w:szCs w:val="24"/>
              </w:rPr>
            </w:r>
            <w:r w:rsidRPr="003A2F87">
              <w:rPr>
                <w:sz w:val="24"/>
                <w:szCs w:val="24"/>
              </w:rPr>
              <w:fldChar w:fldCharType="separate"/>
            </w:r>
            <w:r w:rsidRPr="003A2F87">
              <w:rPr>
                <w:sz w:val="24"/>
                <w:szCs w:val="24"/>
              </w:rPr>
              <w:t> </w:t>
            </w:r>
            <w:r w:rsidRPr="003A2F87">
              <w:rPr>
                <w:sz w:val="24"/>
                <w:szCs w:val="24"/>
              </w:rPr>
              <w:t> </w:t>
            </w:r>
            <w:r w:rsidRPr="003A2F87">
              <w:rPr>
                <w:sz w:val="24"/>
                <w:szCs w:val="24"/>
              </w:rPr>
              <w:t> </w:t>
            </w:r>
            <w:r w:rsidRPr="003A2F87">
              <w:rPr>
                <w:sz w:val="24"/>
                <w:szCs w:val="24"/>
              </w:rPr>
              <w:t> </w:t>
            </w:r>
            <w:r w:rsidRPr="003A2F87">
              <w:rPr>
                <w:sz w:val="24"/>
                <w:szCs w:val="24"/>
              </w:rPr>
              <w:t> </w:t>
            </w:r>
            <w:r w:rsidRPr="003A2F87">
              <w:rPr>
                <w:sz w:val="24"/>
                <w:szCs w:val="24"/>
              </w:rPr>
              <w:fldChar w:fldCharType="end"/>
            </w:r>
          </w:p>
        </w:tc>
      </w:tr>
      <w:tr w:rsidR="003A2F87" w:rsidRPr="003A2F87" w14:paraId="15799FBA" w14:textId="77777777" w:rsidTr="003A2F87">
        <w:tc>
          <w:tcPr>
            <w:tcW w:w="5576" w:type="dxa"/>
            <w:vMerge/>
          </w:tcPr>
          <w:p w14:paraId="15799FB5" w14:textId="77777777" w:rsidR="003A2F87" w:rsidRPr="003A2F87" w:rsidRDefault="003A2F87" w:rsidP="003A2F87">
            <w:pPr>
              <w:jc w:val="center"/>
              <w:rPr>
                <w:sz w:val="24"/>
                <w:szCs w:val="24"/>
              </w:rPr>
            </w:pPr>
          </w:p>
        </w:tc>
        <w:tc>
          <w:tcPr>
            <w:tcW w:w="295" w:type="dxa"/>
          </w:tcPr>
          <w:p w14:paraId="15799FB6" w14:textId="77777777" w:rsidR="003A2F87" w:rsidRPr="003A2F87" w:rsidRDefault="003A2F87" w:rsidP="003A2F87">
            <w:pPr>
              <w:jc w:val="center"/>
              <w:rPr>
                <w:sz w:val="24"/>
                <w:szCs w:val="24"/>
              </w:rPr>
            </w:pPr>
          </w:p>
        </w:tc>
        <w:tc>
          <w:tcPr>
            <w:tcW w:w="1363" w:type="dxa"/>
          </w:tcPr>
          <w:p w14:paraId="15799FB7" w14:textId="77777777" w:rsidR="003A2F87" w:rsidRPr="003A2F87" w:rsidRDefault="003A2F87" w:rsidP="003A2F87">
            <w:pPr>
              <w:jc w:val="center"/>
              <w:rPr>
                <w:sz w:val="24"/>
                <w:szCs w:val="24"/>
              </w:rPr>
            </w:pPr>
          </w:p>
        </w:tc>
        <w:tc>
          <w:tcPr>
            <w:tcW w:w="530" w:type="dxa"/>
          </w:tcPr>
          <w:p w14:paraId="15799FB8" w14:textId="77777777" w:rsidR="003A2F87" w:rsidRPr="003A2F87" w:rsidRDefault="003A2F87" w:rsidP="003A2F87">
            <w:pPr>
              <w:jc w:val="center"/>
              <w:rPr>
                <w:sz w:val="24"/>
                <w:szCs w:val="24"/>
              </w:rPr>
            </w:pPr>
          </w:p>
        </w:tc>
        <w:tc>
          <w:tcPr>
            <w:tcW w:w="1874" w:type="dxa"/>
          </w:tcPr>
          <w:p w14:paraId="15799FB9" w14:textId="77777777" w:rsidR="003A2F87" w:rsidRPr="003A2F87" w:rsidRDefault="003A2F87" w:rsidP="003A2F87">
            <w:pPr>
              <w:jc w:val="center"/>
              <w:rPr>
                <w:sz w:val="24"/>
                <w:szCs w:val="24"/>
              </w:rPr>
            </w:pPr>
          </w:p>
        </w:tc>
      </w:tr>
      <w:tr w:rsidR="003A2F87" w:rsidRPr="003A2F87" w14:paraId="15799FBD" w14:textId="77777777" w:rsidTr="003A2F87">
        <w:trPr>
          <w:trHeight w:val="253"/>
        </w:trPr>
        <w:tc>
          <w:tcPr>
            <w:tcW w:w="5576" w:type="dxa"/>
            <w:vMerge/>
          </w:tcPr>
          <w:p w14:paraId="15799FBB" w14:textId="77777777" w:rsidR="003A2F87" w:rsidRPr="003A2F87" w:rsidRDefault="003A2F87" w:rsidP="003A2F87">
            <w:pPr>
              <w:jc w:val="center"/>
              <w:rPr>
                <w:sz w:val="24"/>
                <w:szCs w:val="24"/>
              </w:rPr>
            </w:pPr>
          </w:p>
        </w:tc>
        <w:tc>
          <w:tcPr>
            <w:tcW w:w="4062" w:type="dxa"/>
            <w:gridSpan w:val="4"/>
          </w:tcPr>
          <w:p w14:paraId="15799FBC" w14:textId="77777777" w:rsidR="003A2F87" w:rsidRPr="003A2F87" w:rsidRDefault="003A2F87" w:rsidP="003A2F87">
            <w:pPr>
              <w:jc w:val="center"/>
              <w:rPr>
                <w:sz w:val="24"/>
                <w:szCs w:val="24"/>
              </w:rPr>
            </w:pPr>
          </w:p>
        </w:tc>
      </w:tr>
    </w:tbl>
    <w:bookmarkEnd w:id="1"/>
    <w:p w14:paraId="15799FBE" w14:textId="77777777" w:rsidR="003A2F87" w:rsidRPr="003A2F87" w:rsidRDefault="003A2F87" w:rsidP="003A2F87">
      <w:pPr>
        <w:jc w:val="center"/>
        <w:rPr>
          <w:b/>
          <w:sz w:val="24"/>
          <w:szCs w:val="24"/>
        </w:rPr>
      </w:pPr>
      <w:r w:rsidRPr="003A2F87">
        <w:rPr>
          <w:b/>
          <w:sz w:val="24"/>
          <w:szCs w:val="24"/>
        </w:rPr>
        <w:fldChar w:fldCharType="begin">
          <w:ffData>
            <w:name w:val="tekstoAntraste"/>
            <w:enabled/>
            <w:calcOnExit w:val="0"/>
            <w:textInput>
              <w:default w:val="DĖL TEIKIAMŲ MOKAMŲ PASLAUGŲ IR PREKIŲ ANTKAINIO KAINORAŠČIO "/>
              <w:format w:val="Didžiosios raidės"/>
            </w:textInput>
          </w:ffData>
        </w:fldChar>
      </w:r>
      <w:bookmarkStart w:id="2" w:name="tekstoAntraste"/>
      <w:r w:rsidRPr="003A2F87">
        <w:rPr>
          <w:b/>
          <w:sz w:val="24"/>
          <w:szCs w:val="24"/>
        </w:rPr>
        <w:instrText xml:space="preserve"> FORMTEXT </w:instrText>
      </w:r>
      <w:r w:rsidRPr="003A2F87">
        <w:rPr>
          <w:b/>
          <w:sz w:val="24"/>
          <w:szCs w:val="24"/>
        </w:rPr>
      </w:r>
      <w:r w:rsidRPr="003A2F87">
        <w:rPr>
          <w:b/>
          <w:sz w:val="24"/>
          <w:szCs w:val="24"/>
        </w:rPr>
        <w:fldChar w:fldCharType="separate"/>
      </w:r>
      <w:r w:rsidRPr="003A2F87">
        <w:rPr>
          <w:b/>
          <w:sz w:val="24"/>
          <w:szCs w:val="24"/>
        </w:rPr>
        <w:t xml:space="preserve">DĖL TEIKIAMŲ MOKAMŲ PASLAUGŲ IR PREKIŲ ANTKAINIO KAINORAŠČIO </w:t>
      </w:r>
      <w:r w:rsidRPr="003A2F87">
        <w:rPr>
          <w:sz w:val="24"/>
          <w:szCs w:val="24"/>
        </w:rPr>
        <w:fldChar w:fldCharType="end"/>
      </w:r>
      <w:bookmarkEnd w:id="2"/>
    </w:p>
    <w:p w14:paraId="15799FBF" w14:textId="77777777" w:rsidR="003A2F87" w:rsidRPr="003A2F87" w:rsidRDefault="003A2F87" w:rsidP="003A2F87">
      <w:pPr>
        <w:jc w:val="center"/>
        <w:rPr>
          <w:sz w:val="24"/>
          <w:szCs w:val="24"/>
        </w:rPr>
      </w:pPr>
    </w:p>
    <w:p w14:paraId="15799FC0" w14:textId="77777777" w:rsidR="003A2F87" w:rsidRPr="003A2F87" w:rsidRDefault="003A2F87" w:rsidP="003A2F87">
      <w:pPr>
        <w:rPr>
          <w:sz w:val="24"/>
          <w:szCs w:val="24"/>
        </w:rPr>
      </w:pPr>
      <w:r w:rsidRPr="003A2F87">
        <w:rPr>
          <w:sz w:val="24"/>
          <w:szCs w:val="24"/>
        </w:rPr>
        <w:tab/>
        <w:t xml:space="preserve">Prašome teikti Panevėžio miesto savivaldybės tarybai patvirtinti Stasio Eidrigevičiaus menų centro (SEMC) teikiamų mokamų paslaugų ir prekių antkainio kainoraštį patvirtinant  įkainius. </w:t>
      </w:r>
    </w:p>
    <w:p w14:paraId="15799FC1" w14:textId="77777777" w:rsidR="003A2F87" w:rsidRPr="003A2F87" w:rsidRDefault="003A2F87" w:rsidP="003A2F87">
      <w:pPr>
        <w:rPr>
          <w:sz w:val="24"/>
          <w:szCs w:val="24"/>
        </w:rPr>
      </w:pPr>
      <w:r w:rsidRPr="003A2F87">
        <w:rPr>
          <w:sz w:val="24"/>
          <w:szCs w:val="24"/>
        </w:rPr>
        <w:t xml:space="preserve">Įkainiai prašomi tvirtinti siekiant pristatyti SEMC regiono, nacionalinės ir tarptautinės reikšmės renginiuose, kuriuose, be kitų veiklų būtų prekiaujama reprezentuojančiais leidiniais, suvenyrais ar organizuojami SEMC viešinimo renginiai, kurie prisidėtų ir prie kultūrinio Panevėžio įvaizdžio kūrimo </w:t>
      </w:r>
      <w:r w:rsidR="005937FF">
        <w:rPr>
          <w:sz w:val="24"/>
          <w:szCs w:val="24"/>
        </w:rPr>
        <w:t xml:space="preserve">naudojant aukštos meninės vertės </w:t>
      </w:r>
      <w:r w:rsidRPr="003A2F87">
        <w:rPr>
          <w:sz w:val="24"/>
          <w:szCs w:val="24"/>
        </w:rPr>
        <w:t>atributikos platinimą bei renginius.</w:t>
      </w:r>
    </w:p>
    <w:p w14:paraId="15799FC2" w14:textId="77777777" w:rsidR="003A2F87" w:rsidRPr="003A2F87" w:rsidRDefault="003A2F87" w:rsidP="003A2F87">
      <w:pPr>
        <w:rPr>
          <w:sz w:val="24"/>
          <w:szCs w:val="24"/>
        </w:rPr>
      </w:pPr>
      <w:r w:rsidRPr="003A2F87">
        <w:rPr>
          <w:sz w:val="24"/>
          <w:szCs w:val="24"/>
        </w:rPr>
        <w:t xml:space="preserve">Prašome tvirtinti </w:t>
      </w:r>
      <w:r w:rsidRPr="003A2F87">
        <w:rPr>
          <w:sz w:val="24"/>
          <w:szCs w:val="24"/>
          <w:lang w:val="en-GB"/>
        </w:rPr>
        <w:t>20 proc antkain</w:t>
      </w:r>
      <w:r w:rsidRPr="003A2F87">
        <w:rPr>
          <w:sz w:val="24"/>
          <w:szCs w:val="24"/>
        </w:rPr>
        <w:t>į, dėl keleto priežasčių</w:t>
      </w:r>
      <w:r w:rsidRPr="003A2F87">
        <w:rPr>
          <w:sz w:val="24"/>
          <w:szCs w:val="24"/>
          <w:lang w:val="en-GB"/>
        </w:rPr>
        <w:t>:</w:t>
      </w:r>
      <w:r w:rsidRPr="003A2F87">
        <w:rPr>
          <w:sz w:val="24"/>
          <w:szCs w:val="24"/>
        </w:rPr>
        <w:t xml:space="preserve"> antkainis kompensuotų su leidinių ar atributikos logistika susijusiomis išlaidomis, platinat partnerių leidinius, ar SEMC produkciją kitų platinimo partnerių taškuose leistų suvienodinti platinimo kainą ir taip stipriai neiškreiptų specifinės meno leidinių ir atributikos rinkos pardavinėjant aukštos vertės dalykus už žemą kainą; kaina turi ir ugdomąjį pobūdį už aukštos meninė vertės leidinius ar suvenyrus mokėti atitinkamą kainą.  </w:t>
      </w:r>
    </w:p>
    <w:p w14:paraId="15799FC3" w14:textId="77777777" w:rsidR="003A2F87" w:rsidRPr="003A2F87" w:rsidRDefault="003A2F87" w:rsidP="003A2F87">
      <w:pPr>
        <w:rPr>
          <w:sz w:val="24"/>
          <w:szCs w:val="24"/>
        </w:rPr>
      </w:pPr>
      <w:r w:rsidRPr="003A2F87">
        <w:rPr>
          <w:sz w:val="24"/>
          <w:szCs w:val="24"/>
        </w:rPr>
        <w:t>Gautos lėšos bus panaudojamos naujų SEMC produktų, paslaugų ir procesų tvaresniam ryšius su visuomene kūrimui.</w:t>
      </w:r>
    </w:p>
    <w:tbl>
      <w:tblPr>
        <w:tblStyle w:val="Lentelstinklelis"/>
        <w:tblW w:w="5000" w:type="pct"/>
        <w:tblLook w:val="04A0" w:firstRow="1" w:lastRow="0" w:firstColumn="1" w:lastColumn="0" w:noHBand="0" w:noVBand="1"/>
      </w:tblPr>
      <w:tblGrid>
        <w:gridCol w:w="4179"/>
        <w:gridCol w:w="2239"/>
        <w:gridCol w:w="3215"/>
      </w:tblGrid>
      <w:tr w:rsidR="003A2F87" w:rsidRPr="003A2F87" w14:paraId="15799FC7" w14:textId="77777777" w:rsidTr="00E567F9">
        <w:tc>
          <w:tcPr>
            <w:tcW w:w="4056" w:type="dxa"/>
            <w:tcBorders>
              <w:top w:val="single" w:sz="4" w:space="0" w:color="FFFFFF"/>
              <w:left w:val="single" w:sz="4" w:space="0" w:color="FFFFFF"/>
              <w:bottom w:val="single" w:sz="4" w:space="0" w:color="FFFFFF"/>
              <w:right w:val="single" w:sz="4" w:space="0" w:color="FFFFFF"/>
            </w:tcBorders>
          </w:tcPr>
          <w:p w14:paraId="15799FC4" w14:textId="77777777" w:rsidR="003A2F87" w:rsidRPr="003A2F87" w:rsidRDefault="003A2F87" w:rsidP="003A2F87">
            <w:pPr>
              <w:spacing w:after="160" w:line="259" w:lineRule="auto"/>
              <w:rPr>
                <w:sz w:val="24"/>
                <w:szCs w:val="24"/>
              </w:rPr>
            </w:pPr>
          </w:p>
        </w:tc>
        <w:tc>
          <w:tcPr>
            <w:tcW w:w="2173" w:type="dxa"/>
            <w:tcBorders>
              <w:top w:val="single" w:sz="4" w:space="0" w:color="FFFFFF"/>
              <w:left w:val="single" w:sz="4" w:space="0" w:color="FFFFFF"/>
              <w:bottom w:val="single" w:sz="4" w:space="0" w:color="FFFFFF"/>
              <w:right w:val="nil"/>
            </w:tcBorders>
          </w:tcPr>
          <w:p w14:paraId="15799FC5" w14:textId="77777777" w:rsidR="003A2F87" w:rsidRPr="003A2F87" w:rsidRDefault="003A2F87" w:rsidP="003A2F87">
            <w:pPr>
              <w:spacing w:after="160" w:line="259" w:lineRule="auto"/>
              <w:rPr>
                <w:sz w:val="24"/>
                <w:szCs w:val="24"/>
              </w:rPr>
            </w:pPr>
          </w:p>
        </w:tc>
        <w:tc>
          <w:tcPr>
            <w:tcW w:w="3121" w:type="dxa"/>
            <w:tcBorders>
              <w:top w:val="nil"/>
              <w:left w:val="nil"/>
              <w:bottom w:val="nil"/>
              <w:right w:val="nil"/>
            </w:tcBorders>
          </w:tcPr>
          <w:p w14:paraId="15799FC6" w14:textId="77777777" w:rsidR="003A2F87" w:rsidRPr="003A2F87" w:rsidRDefault="003A2F87" w:rsidP="003A2F87">
            <w:pPr>
              <w:spacing w:after="160" w:line="259" w:lineRule="auto"/>
              <w:rPr>
                <w:sz w:val="24"/>
                <w:szCs w:val="24"/>
              </w:rPr>
            </w:pPr>
          </w:p>
        </w:tc>
      </w:tr>
    </w:tbl>
    <w:p w14:paraId="15799FC8" w14:textId="77777777" w:rsidR="003A2F87" w:rsidRPr="003A2F87" w:rsidRDefault="003A2F87" w:rsidP="003A2F87">
      <w:pPr>
        <w:jc w:val="center"/>
        <w:rPr>
          <w:sz w:val="24"/>
          <w:szCs w:val="24"/>
        </w:rPr>
      </w:pPr>
    </w:p>
    <w:p w14:paraId="15799FC9" w14:textId="77777777" w:rsidR="003A2F87" w:rsidRPr="003A2F87" w:rsidRDefault="003A2F87" w:rsidP="003A2F87">
      <w:pPr>
        <w:jc w:val="center"/>
        <w:rPr>
          <w:sz w:val="24"/>
          <w:szCs w:val="24"/>
        </w:rPr>
      </w:pPr>
    </w:p>
    <w:p w14:paraId="15799FCA" w14:textId="77777777" w:rsidR="003A2F87" w:rsidRPr="003A2F87" w:rsidRDefault="003A2F87" w:rsidP="003A2F87">
      <w:pPr>
        <w:jc w:val="center"/>
        <w:rPr>
          <w:sz w:val="24"/>
          <w:szCs w:val="24"/>
        </w:rPr>
      </w:pPr>
    </w:p>
    <w:p w14:paraId="15799FCB" w14:textId="77777777" w:rsidR="003A2F87" w:rsidRPr="003A2F87" w:rsidRDefault="003A2F87" w:rsidP="003A2F87">
      <w:pPr>
        <w:jc w:val="center"/>
        <w:rPr>
          <w:sz w:val="24"/>
          <w:szCs w:val="24"/>
        </w:rPr>
      </w:pPr>
    </w:p>
    <w:p w14:paraId="15799FCC" w14:textId="77777777" w:rsidR="003A2F87" w:rsidRPr="003A2F87" w:rsidRDefault="003A2F87" w:rsidP="003A2F87">
      <w:pPr>
        <w:jc w:val="center"/>
        <w:rPr>
          <w:b/>
          <w:sz w:val="24"/>
          <w:szCs w:val="24"/>
        </w:rPr>
      </w:pPr>
    </w:p>
    <w:p w14:paraId="15799FCD" w14:textId="77777777" w:rsidR="003A2F87" w:rsidRPr="003A2F87" w:rsidRDefault="003A2F87" w:rsidP="003A2F87">
      <w:pPr>
        <w:jc w:val="center"/>
        <w:rPr>
          <w:b/>
          <w:sz w:val="24"/>
          <w:szCs w:val="24"/>
        </w:rPr>
      </w:pPr>
    </w:p>
    <w:p w14:paraId="15799FCE" w14:textId="77777777" w:rsidR="003A2F87" w:rsidRPr="003A2F87" w:rsidRDefault="003A2F87" w:rsidP="003A2F87">
      <w:pPr>
        <w:jc w:val="center"/>
        <w:rPr>
          <w:b/>
          <w:sz w:val="24"/>
          <w:szCs w:val="24"/>
        </w:rPr>
      </w:pPr>
    </w:p>
    <w:p w14:paraId="15799FCF" w14:textId="77777777" w:rsidR="003A2F87" w:rsidRPr="003A2F87" w:rsidRDefault="003A2F87" w:rsidP="003A2F87">
      <w:pPr>
        <w:rPr>
          <w:sz w:val="24"/>
          <w:szCs w:val="24"/>
        </w:rPr>
      </w:pPr>
      <w:r w:rsidRPr="003A2F87">
        <w:rPr>
          <w:sz w:val="24"/>
          <w:szCs w:val="24"/>
        </w:rPr>
        <w:t>Kristina Jakubauskaitė-Veršelienė, tel. (8 620) 73061, el. p.   info</w:t>
      </w:r>
      <w:r w:rsidRPr="003A2F87">
        <w:rPr>
          <w:sz w:val="24"/>
          <w:szCs w:val="24"/>
          <w:lang w:val="en-GB"/>
        </w:rPr>
        <w:t>@semc.lt</w:t>
      </w:r>
      <w:r w:rsidRPr="003A2F87">
        <w:rPr>
          <w:sz w:val="24"/>
          <w:szCs w:val="24"/>
        </w:rPr>
        <w:t xml:space="preserve"> </w:t>
      </w:r>
    </w:p>
    <w:p w14:paraId="15799FD0" w14:textId="77777777" w:rsidR="003A2F87" w:rsidRPr="003A2F87" w:rsidRDefault="003A2F87" w:rsidP="003A2F87">
      <w:pPr>
        <w:jc w:val="center"/>
        <w:rPr>
          <w:sz w:val="24"/>
          <w:szCs w:val="24"/>
        </w:rPr>
      </w:pPr>
    </w:p>
    <w:p w14:paraId="15799FD1" w14:textId="77777777" w:rsidR="003A2F87" w:rsidRPr="003A2F87" w:rsidRDefault="003A2F87" w:rsidP="003A2F87">
      <w:pPr>
        <w:jc w:val="center"/>
        <w:rPr>
          <w:sz w:val="24"/>
          <w:szCs w:val="24"/>
        </w:rPr>
      </w:pPr>
    </w:p>
    <w:p w14:paraId="15799FD2" w14:textId="77777777" w:rsidR="003A2F87" w:rsidRPr="003A2F87" w:rsidRDefault="003A2F87" w:rsidP="003A2F87">
      <w:pPr>
        <w:jc w:val="center"/>
        <w:rPr>
          <w:sz w:val="24"/>
          <w:szCs w:val="24"/>
        </w:rPr>
      </w:pPr>
    </w:p>
    <w:p w14:paraId="15799FD3" w14:textId="77777777" w:rsidR="003A2F87" w:rsidRPr="003A2F87" w:rsidRDefault="003A2F87" w:rsidP="003A2F87">
      <w:pPr>
        <w:jc w:val="center"/>
        <w:rPr>
          <w:b/>
          <w:sz w:val="24"/>
          <w:szCs w:val="24"/>
        </w:rPr>
      </w:pPr>
    </w:p>
    <w:p w14:paraId="15799FD4" w14:textId="77777777" w:rsidR="003A2F87" w:rsidRPr="003A2F87" w:rsidRDefault="003A2F87" w:rsidP="003A2F87">
      <w:pPr>
        <w:jc w:val="center"/>
        <w:rPr>
          <w:b/>
          <w:sz w:val="24"/>
          <w:szCs w:val="24"/>
        </w:rPr>
      </w:pPr>
      <w:r>
        <w:rPr>
          <w:b/>
          <w:sz w:val="24"/>
          <w:szCs w:val="24"/>
        </w:rPr>
        <w:t>STASIO EIDRIGEVIČIAUS MENŲ CENTRO (KODAS 304929400</w:t>
      </w:r>
      <w:r w:rsidRPr="003A2F87">
        <w:rPr>
          <w:b/>
          <w:sz w:val="24"/>
          <w:szCs w:val="24"/>
        </w:rPr>
        <w:t>)</w:t>
      </w:r>
    </w:p>
    <w:p w14:paraId="15799FD5" w14:textId="77777777" w:rsidR="003A2F87" w:rsidRPr="003A2F87" w:rsidRDefault="003A2F87" w:rsidP="003A2F87">
      <w:pPr>
        <w:jc w:val="center"/>
        <w:rPr>
          <w:b/>
          <w:sz w:val="24"/>
          <w:szCs w:val="24"/>
        </w:rPr>
      </w:pPr>
      <w:r w:rsidRPr="003A2F87">
        <w:rPr>
          <w:b/>
          <w:sz w:val="24"/>
          <w:szCs w:val="24"/>
        </w:rPr>
        <w:t>TEIKIAMŲ MOKAMŲ PASLAUGŲ IR PREKIŲ ANTKAINIO KAINORAŠTIS</w:t>
      </w:r>
    </w:p>
    <w:p w14:paraId="15799FD6" w14:textId="77777777" w:rsidR="003A2F87" w:rsidRPr="003A2F87" w:rsidRDefault="003A2F87" w:rsidP="003A2F87">
      <w:pPr>
        <w:jc w:val="center"/>
        <w:rPr>
          <w:b/>
          <w:sz w:val="24"/>
          <w:szCs w:val="24"/>
        </w:rPr>
      </w:pPr>
    </w:p>
    <w:p w14:paraId="15799FD7" w14:textId="77777777" w:rsidR="003A2F87" w:rsidRPr="003A2F87" w:rsidRDefault="003A2F87" w:rsidP="003A2F87">
      <w:pPr>
        <w:jc w:val="center"/>
        <w:rPr>
          <w:b/>
          <w:sz w:val="24"/>
          <w:szCs w:val="24"/>
        </w:rPr>
      </w:pPr>
    </w:p>
    <w:tbl>
      <w:tblPr>
        <w:tblW w:w="9645" w:type="dxa"/>
        <w:tblInd w:w="-6" w:type="dxa"/>
        <w:tblLayout w:type="fixed"/>
        <w:tblCellMar>
          <w:left w:w="10" w:type="dxa"/>
          <w:right w:w="10" w:type="dxa"/>
        </w:tblCellMar>
        <w:tblLook w:val="0000" w:firstRow="0" w:lastRow="0" w:firstColumn="0" w:lastColumn="0" w:noHBand="0" w:noVBand="0"/>
      </w:tblPr>
      <w:tblGrid>
        <w:gridCol w:w="6"/>
        <w:gridCol w:w="702"/>
        <w:gridCol w:w="6"/>
        <w:gridCol w:w="5377"/>
        <w:gridCol w:w="6"/>
        <w:gridCol w:w="1699"/>
        <w:gridCol w:w="1843"/>
        <w:gridCol w:w="6"/>
      </w:tblGrid>
      <w:tr w:rsidR="003A2F87" w:rsidRPr="003A2F87" w14:paraId="15799FDE" w14:textId="77777777" w:rsidTr="00E567F9">
        <w:trPr>
          <w:gridAfter w:val="1"/>
          <w:wAfter w:w="6" w:type="dxa"/>
          <w:cantSplit/>
          <w:trHeight w:val="604"/>
        </w:trPr>
        <w:tc>
          <w:tcPr>
            <w:tcW w:w="7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799FD8" w14:textId="77777777" w:rsidR="003A2F87" w:rsidRPr="003A2F87" w:rsidRDefault="003A2F87" w:rsidP="003A2F87">
            <w:pPr>
              <w:jc w:val="center"/>
              <w:rPr>
                <w:b/>
                <w:sz w:val="24"/>
                <w:szCs w:val="24"/>
              </w:rPr>
            </w:pPr>
            <w:r w:rsidRPr="003A2F87">
              <w:rPr>
                <w:b/>
                <w:sz w:val="24"/>
                <w:szCs w:val="24"/>
              </w:rPr>
              <w:t>Eil.</w:t>
            </w:r>
          </w:p>
          <w:p w14:paraId="15799FD9" w14:textId="77777777" w:rsidR="003A2F87" w:rsidRPr="003A2F87" w:rsidRDefault="003A2F87" w:rsidP="003A2F87">
            <w:pPr>
              <w:jc w:val="center"/>
              <w:rPr>
                <w:b/>
                <w:sz w:val="24"/>
                <w:szCs w:val="24"/>
              </w:rPr>
            </w:pPr>
            <w:r w:rsidRPr="003A2F87">
              <w:rPr>
                <w:b/>
                <w:sz w:val="24"/>
                <w:szCs w:val="24"/>
              </w:rPr>
              <w:t>Nr.</w:t>
            </w:r>
          </w:p>
        </w:tc>
        <w:tc>
          <w:tcPr>
            <w:tcW w:w="5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799FDA" w14:textId="77777777" w:rsidR="003A2F87" w:rsidRPr="003A2F87" w:rsidRDefault="003A2F87" w:rsidP="003A2F87">
            <w:pPr>
              <w:jc w:val="center"/>
              <w:rPr>
                <w:b/>
                <w:sz w:val="24"/>
                <w:szCs w:val="24"/>
              </w:rPr>
            </w:pPr>
            <w:r w:rsidRPr="003A2F87">
              <w:rPr>
                <w:b/>
                <w:sz w:val="24"/>
                <w:szCs w:val="24"/>
              </w:rPr>
              <w:t>Paslaugų pavadinimas</w:t>
            </w:r>
          </w:p>
        </w:tc>
        <w:tc>
          <w:tcPr>
            <w:tcW w:w="170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799FDB" w14:textId="77777777" w:rsidR="003A2F87" w:rsidRPr="003A2F87" w:rsidRDefault="003A2F87" w:rsidP="003A2F87">
            <w:pPr>
              <w:jc w:val="center"/>
              <w:rPr>
                <w:b/>
                <w:sz w:val="24"/>
                <w:szCs w:val="24"/>
              </w:rPr>
            </w:pPr>
            <w:r w:rsidRPr="003A2F87">
              <w:rPr>
                <w:b/>
                <w:sz w:val="24"/>
                <w:szCs w:val="24"/>
              </w:rPr>
              <w:t>Mato vnt.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799FDC" w14:textId="77777777" w:rsidR="003A2F87" w:rsidRPr="003A2F87" w:rsidRDefault="003A2F87" w:rsidP="003A2F87">
            <w:pPr>
              <w:jc w:val="center"/>
              <w:rPr>
                <w:b/>
                <w:sz w:val="24"/>
                <w:szCs w:val="24"/>
              </w:rPr>
            </w:pPr>
            <w:r w:rsidRPr="003A2F87">
              <w:rPr>
                <w:b/>
                <w:sz w:val="24"/>
                <w:szCs w:val="24"/>
              </w:rPr>
              <w:t>Tarifas</w:t>
            </w:r>
          </w:p>
          <w:p w14:paraId="15799FDD" w14:textId="77777777" w:rsidR="003A2F87" w:rsidRPr="003A2F87" w:rsidRDefault="003A2F87" w:rsidP="003A2F87">
            <w:pPr>
              <w:jc w:val="center"/>
              <w:rPr>
                <w:b/>
                <w:sz w:val="24"/>
                <w:szCs w:val="24"/>
              </w:rPr>
            </w:pPr>
            <w:r w:rsidRPr="003A2F87">
              <w:rPr>
                <w:b/>
                <w:sz w:val="24"/>
                <w:szCs w:val="24"/>
              </w:rPr>
              <w:t>(Eur)</w:t>
            </w:r>
          </w:p>
        </w:tc>
      </w:tr>
      <w:tr w:rsidR="003A2F87" w:rsidRPr="003A2F87" w14:paraId="15799FE3" w14:textId="77777777" w:rsidTr="00E567F9">
        <w:trPr>
          <w:gridAfter w:val="1"/>
          <w:wAfter w:w="6" w:type="dxa"/>
          <w:cantSplit/>
        </w:trPr>
        <w:tc>
          <w:tcPr>
            <w:tcW w:w="7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DF" w14:textId="77777777" w:rsidR="003A2F87" w:rsidRPr="003A2F87" w:rsidRDefault="003A2F87" w:rsidP="003A2F87">
            <w:pPr>
              <w:jc w:val="center"/>
              <w:rPr>
                <w:b/>
                <w:sz w:val="24"/>
                <w:szCs w:val="24"/>
              </w:rPr>
            </w:pPr>
            <w:r w:rsidRPr="003A2F87">
              <w:rPr>
                <w:b/>
                <w:sz w:val="24"/>
                <w:szCs w:val="24"/>
              </w:rPr>
              <w:t>1</w:t>
            </w:r>
          </w:p>
        </w:tc>
        <w:tc>
          <w:tcPr>
            <w:tcW w:w="5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0" w14:textId="77777777" w:rsidR="003A2F87" w:rsidRPr="003A2F87" w:rsidRDefault="003A2F87" w:rsidP="003A2F87">
            <w:pPr>
              <w:jc w:val="center"/>
              <w:rPr>
                <w:b/>
                <w:sz w:val="24"/>
                <w:szCs w:val="24"/>
              </w:rPr>
            </w:pPr>
            <w:r w:rsidRPr="003A2F87">
              <w:rPr>
                <w:b/>
                <w:sz w:val="24"/>
                <w:szCs w:val="24"/>
              </w:rPr>
              <w:t>2</w:t>
            </w:r>
          </w:p>
        </w:tc>
        <w:tc>
          <w:tcPr>
            <w:tcW w:w="170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1" w14:textId="77777777" w:rsidR="003A2F87" w:rsidRPr="003A2F87" w:rsidRDefault="003A2F87" w:rsidP="003A2F87">
            <w:pPr>
              <w:jc w:val="center"/>
              <w:rPr>
                <w:b/>
                <w:sz w:val="24"/>
                <w:szCs w:val="24"/>
              </w:rPr>
            </w:pPr>
            <w:r w:rsidRPr="003A2F87">
              <w:rPr>
                <w:b/>
                <w:sz w:val="24"/>
                <w:szCs w:val="24"/>
              </w:rPr>
              <w:t>3</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2" w14:textId="77777777" w:rsidR="003A2F87" w:rsidRPr="003A2F87" w:rsidRDefault="003A2F87" w:rsidP="003A2F87">
            <w:pPr>
              <w:jc w:val="center"/>
              <w:rPr>
                <w:b/>
                <w:sz w:val="24"/>
                <w:szCs w:val="24"/>
              </w:rPr>
            </w:pPr>
            <w:r w:rsidRPr="003A2F87">
              <w:rPr>
                <w:b/>
                <w:sz w:val="24"/>
                <w:szCs w:val="24"/>
              </w:rPr>
              <w:t>4</w:t>
            </w:r>
          </w:p>
        </w:tc>
      </w:tr>
      <w:tr w:rsidR="003A2F87" w:rsidRPr="003A2F87" w14:paraId="15799FE7" w14:textId="77777777" w:rsidTr="00E567F9">
        <w:trPr>
          <w:gridBefore w:val="1"/>
          <w:wBefore w:w="6" w:type="dxa"/>
          <w:cantSplit/>
          <w:trHeight w:val="283"/>
        </w:trPr>
        <w:tc>
          <w:tcPr>
            <w:tcW w:w="6091"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5799FE4" w14:textId="77777777" w:rsidR="003A2F87" w:rsidRPr="003A2F87" w:rsidRDefault="003A2F87" w:rsidP="003A2F87">
            <w:pPr>
              <w:jc w:val="center"/>
              <w:rPr>
                <w:b/>
                <w:sz w:val="24"/>
                <w:szCs w:val="24"/>
              </w:rPr>
            </w:pPr>
            <w:r w:rsidRPr="003A2F87">
              <w:rPr>
                <w:b/>
                <w:sz w:val="24"/>
                <w:szCs w:val="24"/>
                <w:lang w:val="en-GB"/>
              </w:rPr>
              <w:t>1</w:t>
            </w:r>
            <w:r w:rsidRPr="003A2F87">
              <w:rPr>
                <w:b/>
                <w:sz w:val="24"/>
                <w:szCs w:val="24"/>
              </w:rPr>
              <w:t>. PASLAUGOS</w:t>
            </w:r>
          </w:p>
        </w:tc>
        <w:tc>
          <w:tcPr>
            <w:tcW w:w="169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5799FE5" w14:textId="77777777" w:rsidR="003A2F87" w:rsidRPr="003A2F87" w:rsidRDefault="003A2F87" w:rsidP="003A2F87">
            <w:pPr>
              <w:jc w:val="center"/>
              <w:rPr>
                <w:sz w:val="24"/>
                <w:szCs w:val="24"/>
              </w:rPr>
            </w:pPr>
          </w:p>
        </w:tc>
        <w:tc>
          <w:tcPr>
            <w:tcW w:w="184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5799FE6" w14:textId="77777777" w:rsidR="003A2F87" w:rsidRPr="003A2F87" w:rsidRDefault="003A2F87" w:rsidP="003A2F87">
            <w:pPr>
              <w:jc w:val="center"/>
              <w:rPr>
                <w:sz w:val="24"/>
                <w:szCs w:val="24"/>
              </w:rPr>
            </w:pPr>
          </w:p>
        </w:tc>
      </w:tr>
      <w:tr w:rsidR="003A2F87" w:rsidRPr="003A2F87" w14:paraId="15799FEC" w14:textId="77777777" w:rsidTr="00E567F9">
        <w:trPr>
          <w:gridBefore w:val="1"/>
          <w:wBefore w:w="6" w:type="dxa"/>
          <w:cantSplit/>
          <w:trHeight w:val="283"/>
        </w:trPr>
        <w:tc>
          <w:tcPr>
            <w:tcW w:w="7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8" w14:textId="77777777" w:rsidR="003A2F87" w:rsidRPr="003A2F87" w:rsidRDefault="003A2F87" w:rsidP="003A2F87">
            <w:pPr>
              <w:jc w:val="center"/>
              <w:rPr>
                <w:sz w:val="24"/>
                <w:szCs w:val="24"/>
              </w:rPr>
            </w:pPr>
            <w:r w:rsidRPr="003A2F87">
              <w:rPr>
                <w:sz w:val="24"/>
                <w:szCs w:val="24"/>
              </w:rPr>
              <w:t>1.2.</w:t>
            </w:r>
          </w:p>
        </w:tc>
        <w:tc>
          <w:tcPr>
            <w:tcW w:w="5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9" w14:textId="77777777" w:rsidR="003A2F87" w:rsidRPr="003A2F87" w:rsidRDefault="003A2F87" w:rsidP="003A2F87">
            <w:pPr>
              <w:rPr>
                <w:sz w:val="24"/>
                <w:szCs w:val="24"/>
              </w:rPr>
            </w:pPr>
            <w:r w:rsidRPr="003A2F87">
              <w:rPr>
                <w:sz w:val="24"/>
                <w:szCs w:val="24"/>
              </w:rPr>
              <w:t>Prekyba SEMC leidiniais, suvenyrais</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A" w14:textId="77777777" w:rsidR="003A2F87" w:rsidRPr="003A2F87" w:rsidRDefault="003A2F87" w:rsidP="003A2F87">
            <w:pPr>
              <w:jc w:val="center"/>
              <w:rPr>
                <w:sz w:val="24"/>
                <w:szCs w:val="24"/>
              </w:rPr>
            </w:pPr>
            <w:r w:rsidRPr="003A2F87">
              <w:rPr>
                <w:sz w:val="24"/>
                <w:szCs w:val="24"/>
              </w:rPr>
              <w:t>1 vnt.</w:t>
            </w:r>
          </w:p>
        </w:tc>
        <w:tc>
          <w:tcPr>
            <w:tcW w:w="184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B" w14:textId="77777777" w:rsidR="003A2F87" w:rsidRPr="003A2F87" w:rsidRDefault="003A2F87" w:rsidP="003A2F87">
            <w:pPr>
              <w:jc w:val="center"/>
              <w:rPr>
                <w:sz w:val="24"/>
                <w:szCs w:val="24"/>
              </w:rPr>
            </w:pPr>
            <w:r w:rsidRPr="003A2F87">
              <w:rPr>
                <w:sz w:val="24"/>
                <w:szCs w:val="24"/>
              </w:rPr>
              <w:t>20 proc. nuo leidinio savikainos</w:t>
            </w:r>
          </w:p>
        </w:tc>
      </w:tr>
      <w:tr w:rsidR="003A2F87" w:rsidRPr="003A2F87" w14:paraId="15799FF1" w14:textId="77777777" w:rsidTr="00E567F9">
        <w:trPr>
          <w:gridBefore w:val="1"/>
          <w:wBefore w:w="6" w:type="dxa"/>
          <w:cantSplit/>
          <w:trHeight w:val="289"/>
        </w:trPr>
        <w:tc>
          <w:tcPr>
            <w:tcW w:w="70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D" w14:textId="77777777" w:rsidR="003A2F87" w:rsidRPr="003A2F87" w:rsidRDefault="003A2F87" w:rsidP="003A2F87">
            <w:pPr>
              <w:jc w:val="center"/>
              <w:rPr>
                <w:sz w:val="24"/>
                <w:szCs w:val="24"/>
              </w:rPr>
            </w:pPr>
            <w:r w:rsidRPr="003A2F87">
              <w:rPr>
                <w:sz w:val="24"/>
                <w:szCs w:val="24"/>
              </w:rPr>
              <w:t>1.3.</w:t>
            </w:r>
          </w:p>
        </w:tc>
        <w:tc>
          <w:tcPr>
            <w:tcW w:w="538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E" w14:textId="77777777" w:rsidR="003A2F87" w:rsidRPr="003A2F87" w:rsidRDefault="003A2F87" w:rsidP="003A2F87">
            <w:pPr>
              <w:rPr>
                <w:sz w:val="24"/>
                <w:szCs w:val="24"/>
              </w:rPr>
            </w:pPr>
            <w:r w:rsidRPr="003A2F87">
              <w:rPr>
                <w:sz w:val="24"/>
                <w:szCs w:val="24"/>
              </w:rPr>
              <w:t>Prekyba kitais leidiniais, suvenyrais</w:t>
            </w:r>
          </w:p>
        </w:tc>
        <w:tc>
          <w:tcPr>
            <w:tcW w:w="16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EF" w14:textId="77777777" w:rsidR="003A2F87" w:rsidRPr="003A2F87" w:rsidRDefault="003A2F87" w:rsidP="003A2F87">
            <w:pPr>
              <w:jc w:val="center"/>
              <w:rPr>
                <w:sz w:val="24"/>
                <w:szCs w:val="24"/>
              </w:rPr>
            </w:pPr>
            <w:r w:rsidRPr="003A2F87">
              <w:rPr>
                <w:sz w:val="24"/>
                <w:szCs w:val="24"/>
              </w:rPr>
              <w:t>1 vnt.</w:t>
            </w:r>
          </w:p>
        </w:tc>
        <w:tc>
          <w:tcPr>
            <w:tcW w:w="184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99FF0" w14:textId="77777777" w:rsidR="003A2F87" w:rsidRPr="003A2F87" w:rsidRDefault="003A2F87" w:rsidP="003A2F87">
            <w:pPr>
              <w:jc w:val="center"/>
              <w:rPr>
                <w:sz w:val="24"/>
                <w:szCs w:val="24"/>
              </w:rPr>
            </w:pPr>
            <w:r w:rsidRPr="003A2F87">
              <w:rPr>
                <w:sz w:val="24"/>
                <w:szCs w:val="24"/>
              </w:rPr>
              <w:t>20 proc. leidinio vertės</w:t>
            </w:r>
          </w:p>
        </w:tc>
      </w:tr>
    </w:tbl>
    <w:p w14:paraId="15799FF2" w14:textId="77777777" w:rsidR="003A2F87" w:rsidRPr="003A2F87" w:rsidRDefault="003A2F87" w:rsidP="003A2F87">
      <w:pPr>
        <w:rPr>
          <w:sz w:val="24"/>
          <w:szCs w:val="24"/>
        </w:rPr>
      </w:pPr>
    </w:p>
    <w:p w14:paraId="15799FF3" w14:textId="77777777" w:rsidR="009F6072" w:rsidRPr="00243F8F" w:rsidRDefault="009F6072" w:rsidP="00A35E56">
      <w:pPr>
        <w:jc w:val="center"/>
        <w:rPr>
          <w:sz w:val="24"/>
          <w:szCs w:val="24"/>
        </w:rPr>
      </w:pPr>
    </w:p>
    <w:sectPr w:rsidR="009F6072" w:rsidRPr="00243F8F">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99FF6" w14:textId="77777777" w:rsidR="00DD11DB" w:rsidRDefault="00DD11DB" w:rsidP="00A32AAB">
      <w:pPr>
        <w:spacing w:after="0" w:line="240" w:lineRule="auto"/>
      </w:pPr>
      <w:r>
        <w:separator/>
      </w:r>
    </w:p>
  </w:endnote>
  <w:endnote w:type="continuationSeparator" w:id="0">
    <w:p w14:paraId="15799FF7" w14:textId="77777777" w:rsidR="00DD11DB" w:rsidRDefault="00DD11DB" w:rsidP="00A3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99FFC" w14:textId="77777777" w:rsidR="00A32AAB" w:rsidRDefault="00A32AAB" w:rsidP="00A32AAB">
    <w:pPr>
      <w:pStyle w:val="Porat"/>
      <w:jc w:val="center"/>
    </w:pPr>
    <w:r>
      <w:t xml:space="preserve">Biudžetinė įstaiga, Respublikos g. 40, 35173 Panevėžys, </w:t>
    </w:r>
  </w:p>
  <w:p w14:paraId="15799FFD" w14:textId="77777777" w:rsidR="00A32AAB" w:rsidRDefault="0087196C" w:rsidP="00A32AAB">
    <w:pPr>
      <w:pStyle w:val="Porat"/>
      <w:jc w:val="center"/>
    </w:pPr>
    <w:r>
      <w:t xml:space="preserve">tel. +370 </w:t>
    </w:r>
    <w:r>
      <w:rPr>
        <w:lang w:val="en-GB"/>
      </w:rPr>
      <w:t>62073061</w:t>
    </w:r>
    <w:r w:rsidR="00A32AAB">
      <w:t>, el.</w:t>
    </w:r>
    <w:r>
      <w:t xml:space="preserve"> p. </w:t>
    </w:r>
    <w:hyperlink r:id="rId1" w:history="1">
      <w:r w:rsidRPr="005D1BFA">
        <w:rPr>
          <w:rStyle w:val="Hipersaitas"/>
        </w:rPr>
        <w:t>info@semc.lt</w:t>
      </w:r>
    </w:hyperlink>
  </w:p>
  <w:p w14:paraId="15799FFE" w14:textId="77777777" w:rsidR="00A32AAB" w:rsidRDefault="00A32AAB" w:rsidP="00A32AAB">
    <w:pPr>
      <w:pStyle w:val="Porat"/>
      <w:jc w:val="center"/>
    </w:pPr>
    <w:r>
      <w:t>Duomenys kaupiami ir saugomi Juridinių asmenų registre, kodas 304929400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99FF4" w14:textId="77777777" w:rsidR="00DD11DB" w:rsidRDefault="00DD11DB" w:rsidP="00A32AAB">
      <w:pPr>
        <w:spacing w:after="0" w:line="240" w:lineRule="auto"/>
      </w:pPr>
      <w:r>
        <w:separator/>
      </w:r>
    </w:p>
  </w:footnote>
  <w:footnote w:type="continuationSeparator" w:id="0">
    <w:p w14:paraId="15799FF5" w14:textId="77777777" w:rsidR="00DD11DB" w:rsidRDefault="00DD11DB" w:rsidP="00A32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99FF8" w14:textId="77777777" w:rsidR="00A32AAB" w:rsidRDefault="00A32AAB" w:rsidP="00A32AAB">
    <w:pPr>
      <w:pStyle w:val="Antrat1"/>
      <w:rPr>
        <w:rFonts w:ascii="Times New Roman" w:hAnsi="Times New Roman"/>
        <w:b/>
      </w:rPr>
    </w:pPr>
  </w:p>
  <w:p w14:paraId="15799FF9" w14:textId="77777777" w:rsidR="00864BF7" w:rsidRDefault="00864BF7" w:rsidP="00A32AAB">
    <w:pPr>
      <w:pStyle w:val="Antrat1"/>
      <w:rPr>
        <w:rFonts w:ascii="Times New Roman" w:hAnsi="Times New Roman"/>
        <w:b/>
      </w:rPr>
    </w:pPr>
  </w:p>
  <w:p w14:paraId="15799FFA" w14:textId="77777777" w:rsidR="00A32AAB" w:rsidRDefault="00A32AAB" w:rsidP="00A32AAB">
    <w:pPr>
      <w:pStyle w:val="Antrat1"/>
      <w:rPr>
        <w:rFonts w:ascii="Times New Roman" w:hAnsi="Times New Roman"/>
        <w:b/>
        <w:sz w:val="24"/>
      </w:rPr>
    </w:pPr>
    <w:r>
      <w:rPr>
        <w:rFonts w:ascii="Times New Roman" w:hAnsi="Times New Roman"/>
        <w:b/>
      </w:rPr>
      <w:t xml:space="preserve">STASIO EIDRIGEVIČIAUS MENŲ CENTRAS </w:t>
    </w:r>
  </w:p>
  <w:p w14:paraId="15799FFB" w14:textId="77777777" w:rsidR="00A32AAB" w:rsidRDefault="00A32A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3F40"/>
    <w:multiLevelType w:val="hybridMultilevel"/>
    <w:tmpl w:val="95B610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03"/>
    <w:rsid w:val="0007384B"/>
    <w:rsid w:val="00082731"/>
    <w:rsid w:val="000D2821"/>
    <w:rsid w:val="00215724"/>
    <w:rsid w:val="00243F8F"/>
    <w:rsid w:val="003A2F87"/>
    <w:rsid w:val="003F5C88"/>
    <w:rsid w:val="004C2254"/>
    <w:rsid w:val="00516D3A"/>
    <w:rsid w:val="00581003"/>
    <w:rsid w:val="00584A8C"/>
    <w:rsid w:val="005937FF"/>
    <w:rsid w:val="005C52C0"/>
    <w:rsid w:val="005F02AE"/>
    <w:rsid w:val="00653A2B"/>
    <w:rsid w:val="0066420E"/>
    <w:rsid w:val="006B47A4"/>
    <w:rsid w:val="006C50FE"/>
    <w:rsid w:val="007A0418"/>
    <w:rsid w:val="00864BF7"/>
    <w:rsid w:val="0087196C"/>
    <w:rsid w:val="009435F6"/>
    <w:rsid w:val="0099467C"/>
    <w:rsid w:val="009E0FF0"/>
    <w:rsid w:val="009F6072"/>
    <w:rsid w:val="00A12141"/>
    <w:rsid w:val="00A1576D"/>
    <w:rsid w:val="00A20FC7"/>
    <w:rsid w:val="00A32AAB"/>
    <w:rsid w:val="00A35E56"/>
    <w:rsid w:val="00A6190C"/>
    <w:rsid w:val="00CD135F"/>
    <w:rsid w:val="00D6425A"/>
    <w:rsid w:val="00DD11DB"/>
    <w:rsid w:val="00E96D4E"/>
    <w:rsid w:val="00EA2E0E"/>
    <w:rsid w:val="00F00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99FAC"/>
  <w15:chartTrackingRefBased/>
  <w15:docId w15:val="{1AC81182-7C90-4B8B-ADBD-71D46D31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32AAB"/>
    <w:pPr>
      <w:keepNext/>
      <w:spacing w:after="0" w:line="240" w:lineRule="auto"/>
      <w:jc w:val="center"/>
      <w:outlineLvl w:val="0"/>
    </w:pPr>
    <w:rPr>
      <w:rFonts w:ascii="HelveticaLT" w:eastAsia="Times New Roman" w:hAnsi="HelveticaLT" w:cs="Times New Roman"/>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2A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2AAB"/>
  </w:style>
  <w:style w:type="paragraph" w:styleId="Porat">
    <w:name w:val="footer"/>
    <w:basedOn w:val="prastasis"/>
    <w:link w:val="PoratDiagrama"/>
    <w:uiPriority w:val="99"/>
    <w:unhideWhenUsed/>
    <w:rsid w:val="00A32A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2AAB"/>
  </w:style>
  <w:style w:type="character" w:customStyle="1" w:styleId="Antrat1Diagrama">
    <w:name w:val="Antraštė 1 Diagrama"/>
    <w:basedOn w:val="Numatytasispastraiposriftas"/>
    <w:link w:val="Antrat1"/>
    <w:rsid w:val="00A32AAB"/>
    <w:rPr>
      <w:rFonts w:ascii="HelveticaLT" w:eastAsia="Times New Roman" w:hAnsi="HelveticaLT" w:cs="Times New Roman"/>
      <w:sz w:val="28"/>
      <w:szCs w:val="20"/>
    </w:rPr>
  </w:style>
  <w:style w:type="paragraph" w:styleId="Sraopastraipa">
    <w:name w:val="List Paragraph"/>
    <w:basedOn w:val="prastasis"/>
    <w:uiPriority w:val="34"/>
    <w:qFormat/>
    <w:rsid w:val="006B47A4"/>
    <w:pPr>
      <w:ind w:left="720"/>
      <w:contextualSpacing/>
    </w:pPr>
  </w:style>
  <w:style w:type="character" w:styleId="Hipersaitas">
    <w:name w:val="Hyperlink"/>
    <w:basedOn w:val="Numatytasispastraiposriftas"/>
    <w:uiPriority w:val="99"/>
    <w:unhideWhenUsed/>
    <w:rsid w:val="0087196C"/>
    <w:rPr>
      <w:color w:val="0563C1" w:themeColor="hyperlink"/>
      <w:u w:val="single"/>
    </w:rPr>
  </w:style>
  <w:style w:type="table" w:styleId="Lentelstinklelis">
    <w:name w:val="Table Grid"/>
    <w:basedOn w:val="prastojilentel"/>
    <w:rsid w:val="003A2F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9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e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Jaku</dc:creator>
  <cp:keywords/>
  <dc:description/>
  <cp:lastModifiedBy>Daiva Breivienė</cp:lastModifiedBy>
  <cp:revision>2</cp:revision>
  <dcterms:created xsi:type="dcterms:W3CDTF">2020-02-11T10:05:00Z</dcterms:created>
  <dcterms:modified xsi:type="dcterms:W3CDTF">2020-02-11T10:05:00Z</dcterms:modified>
</cp:coreProperties>
</file>