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47C9" w14:textId="77777777" w:rsidR="000F6558" w:rsidRDefault="00265ECA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674226DE" w14:textId="77777777" w:rsidR="00E75036" w:rsidRDefault="00E75036" w:rsidP="00E75036">
      <w:pPr>
        <w:jc w:val="center"/>
        <w:rPr>
          <w:rFonts w:hint="eastAsia"/>
          <w:b/>
          <w:lang w:eastAsia="lt-LT"/>
        </w:rPr>
      </w:pPr>
      <w:bookmarkStart w:id="1" w:name="Pavadinimas"/>
      <w:r>
        <w:rPr>
          <w:b/>
          <w:lang w:eastAsia="lt-LT"/>
        </w:rPr>
        <w:t>DĖL MOKESČIŲ LENGVATŲ DĖL COVID – 19 (KORONAVIRUSO INFEKCIJOS) PASKELBTO KARANTINO TEIKIMO TVARKOS APRAŠO PATVIRTINIMO</w:t>
      </w:r>
    </w:p>
    <w:bookmarkEnd w:id="1"/>
    <w:p w14:paraId="181874A7" w14:textId="77777777" w:rsidR="00E75036" w:rsidRDefault="00E75036">
      <w:pPr>
        <w:pStyle w:val="Standard"/>
        <w:jc w:val="center"/>
        <w:rPr>
          <w:szCs w:val="20"/>
          <w:lang w:eastAsia="en-US"/>
        </w:rPr>
      </w:pPr>
    </w:p>
    <w:p w14:paraId="78DC47CB" w14:textId="16510215" w:rsidR="000F6558" w:rsidRDefault="00265ECA">
      <w:pPr>
        <w:pStyle w:val="Standard"/>
        <w:jc w:val="center"/>
      </w:pPr>
      <w:r>
        <w:rPr>
          <w:szCs w:val="20"/>
          <w:lang w:eastAsia="en-US"/>
        </w:rPr>
        <w:t>20</w:t>
      </w:r>
      <w:r w:rsidR="00C03CE7">
        <w:rPr>
          <w:szCs w:val="20"/>
          <w:lang w:eastAsia="en-US"/>
        </w:rPr>
        <w:t>20</w:t>
      </w:r>
      <w:r>
        <w:rPr>
          <w:szCs w:val="20"/>
          <w:lang w:eastAsia="en-US"/>
        </w:rPr>
        <w:t xml:space="preserve"> m</w:t>
      </w:r>
      <w:r w:rsidR="00C03CE7">
        <w:rPr>
          <w:szCs w:val="20"/>
          <w:lang w:eastAsia="en-US"/>
        </w:rPr>
        <w:t xml:space="preserve">. </w:t>
      </w:r>
      <w:r w:rsidR="002907BC">
        <w:rPr>
          <w:szCs w:val="20"/>
          <w:lang w:eastAsia="en-US"/>
        </w:rPr>
        <w:t>birželio</w:t>
      </w:r>
      <w:r>
        <w:rPr>
          <w:szCs w:val="20"/>
          <w:lang w:eastAsia="en-US"/>
        </w:rPr>
        <w:t xml:space="preserve"> </w:t>
      </w:r>
      <w:r w:rsidR="00B07069">
        <w:rPr>
          <w:szCs w:val="20"/>
          <w:lang w:eastAsia="en-US"/>
        </w:rPr>
        <w:t>1</w:t>
      </w:r>
      <w:r w:rsidR="00E75036">
        <w:rPr>
          <w:szCs w:val="20"/>
          <w:lang w:eastAsia="en-US"/>
        </w:rPr>
        <w:t>1</w:t>
      </w:r>
      <w:r>
        <w:rPr>
          <w:szCs w:val="20"/>
          <w:lang w:eastAsia="en-US"/>
        </w:rPr>
        <w:t xml:space="preserve"> d.</w:t>
      </w:r>
    </w:p>
    <w:p w14:paraId="78DC47CC" w14:textId="77777777" w:rsidR="000F6558" w:rsidRDefault="00265ECA">
      <w:pPr>
        <w:pStyle w:val="Standard"/>
        <w:jc w:val="center"/>
      </w:pPr>
      <w:r>
        <w:rPr>
          <w:szCs w:val="20"/>
          <w:lang w:eastAsia="en-US"/>
        </w:rPr>
        <w:t>Panevėžys</w:t>
      </w:r>
      <w:r>
        <w:t xml:space="preserve">           </w:t>
      </w:r>
    </w:p>
    <w:tbl>
      <w:tblPr>
        <w:tblW w:w="978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0F6558" w14:paraId="78DC47E3" w14:textId="77777777" w:rsidTr="002907BC">
        <w:tc>
          <w:tcPr>
            <w:tcW w:w="9782" w:type="dxa"/>
            <w:shd w:val="clear" w:color="auto" w:fill="auto"/>
            <w:vAlign w:val="center"/>
          </w:tcPr>
          <w:p w14:paraId="78DC47CD" w14:textId="77777777" w:rsidR="00D36C7D" w:rsidRDefault="00D36C7D" w:rsidP="00640BC6">
            <w:pPr>
              <w:pStyle w:val="Standard"/>
              <w:spacing w:line="276" w:lineRule="auto"/>
              <w:jc w:val="both"/>
              <w:rPr>
                <w:b/>
                <w:bCs/>
                <w:szCs w:val="20"/>
                <w:lang w:eastAsia="en-US"/>
              </w:rPr>
            </w:pPr>
            <w:bookmarkStart w:id="2" w:name="ctl03_DocumentHtml"/>
            <w:bookmarkEnd w:id="2"/>
            <w:r>
              <w:rPr>
                <w:b/>
                <w:bCs/>
                <w:szCs w:val="20"/>
                <w:lang w:eastAsia="en-US"/>
              </w:rPr>
              <w:t>1. Problemos esmė:</w:t>
            </w:r>
          </w:p>
          <w:p w14:paraId="65FBACE8" w14:textId="05926064" w:rsidR="00B07069" w:rsidRDefault="00B07069" w:rsidP="00B07069">
            <w:pPr>
              <w:pStyle w:val="Betarp"/>
              <w:shd w:val="clear" w:color="auto" w:fill="FFFFFF" w:themeFill="background1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7069">
              <w:rPr>
                <w:rFonts w:ascii="Times New Roman" w:hAnsi="Times New Roman" w:cs="Times New Roman"/>
                <w:sz w:val="24"/>
                <w:szCs w:val="24"/>
              </w:rPr>
              <w:t xml:space="preserve">ėl ekstremalios COVID-19 situacijos ir </w:t>
            </w:r>
            <w:r w:rsidR="00E75036">
              <w:rPr>
                <w:rFonts w:ascii="Times New Roman" w:hAnsi="Times New Roman" w:cs="Times New Roman"/>
                <w:sz w:val="24"/>
                <w:szCs w:val="24"/>
              </w:rPr>
              <w:t>paskelbto</w:t>
            </w:r>
            <w:r w:rsidRPr="00B07069">
              <w:rPr>
                <w:rFonts w:ascii="Times New Roman" w:hAnsi="Times New Roman" w:cs="Times New Roman"/>
                <w:sz w:val="24"/>
                <w:szCs w:val="24"/>
              </w:rPr>
              <w:t xml:space="preserve"> karantino,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Panevėžio m. savivaldybė, siekdama padėti </w:t>
            </w:r>
            <w:r w:rsidR="006B1930">
              <w:rPr>
                <w:rFonts w:ascii="Times New Roman" w:hAnsi="Times New Roman" w:cs="Times New Roman"/>
                <w:sz w:val="24"/>
                <w:szCs w:val="24"/>
              </w:rPr>
              <w:t>Panevėžio miesto verslo subjektams įveikti ekonominius sunkumus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464">
              <w:rPr>
                <w:rFonts w:ascii="Times New Roman" w:hAnsi="Times New Roman" w:cs="Times New Roman"/>
                <w:sz w:val="24"/>
                <w:szCs w:val="24"/>
              </w:rPr>
              <w:t>kuriems veiklos buvo sustabdytos ar apribotos,</w:t>
            </w:r>
            <w:r w:rsidR="001723CD">
              <w:rPr>
                <w:rFonts w:ascii="Times New Roman" w:hAnsi="Times New Roman" w:cs="Times New Roman"/>
                <w:sz w:val="24"/>
                <w:szCs w:val="24"/>
              </w:rPr>
              <w:t xml:space="preserve"> 2020-04-30 sprendimu Nr. 1-86 </w:t>
            </w:r>
            <w:r w:rsidR="001723CD" w:rsidRPr="001723CD">
              <w:rPr>
                <w:rFonts w:ascii="Times New Roman" w:hAnsi="Times New Roman" w:cs="Times New Roman"/>
                <w:sz w:val="24"/>
                <w:szCs w:val="24"/>
              </w:rPr>
              <w:t>„Dėl</w:t>
            </w:r>
            <w:r w:rsidR="001723CD" w:rsidRPr="00172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23CD" w:rsidRPr="001723CD">
              <w:rPr>
                <w:rFonts w:ascii="Times New Roman" w:hAnsi="Times New Roman" w:cs="Times New Roman"/>
                <w:sz w:val="24"/>
                <w:szCs w:val="24"/>
              </w:rPr>
              <w:t>nekilnojamojo turto, žemės ir valstybinės žemės nuomos mokesčių lengvatų suteikimo“</w:t>
            </w:r>
            <w:r w:rsidR="001723CD">
              <w:rPr>
                <w:rFonts w:ascii="Times New Roman" w:hAnsi="Times New Roman" w:cs="Times New Roman"/>
                <w:sz w:val="24"/>
                <w:szCs w:val="24"/>
              </w:rPr>
              <w:t xml:space="preserve"> nusprendė taikyti </w:t>
            </w:r>
            <w:r w:rsidR="006B1930" w:rsidRPr="006B19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žemės, nekilnojamojo turto ir nuomos mokesčio už valstybinę žemę</w:t>
            </w:r>
            <w:r w:rsidRPr="006B1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mokesčių lengvat</w:t>
            </w:r>
            <w:r w:rsidR="00007464">
              <w:rPr>
                <w:rFonts w:ascii="Times New Roman" w:hAnsi="Times New Roman" w:cs="Times New Roman"/>
                <w:sz w:val="24"/>
                <w:szCs w:val="24"/>
              </w:rPr>
              <w:t>as savivaldybės biudžeto sąskaita.</w:t>
            </w:r>
          </w:p>
          <w:p w14:paraId="05CFBC42" w14:textId="3DD0F82A" w:rsidR="00B07069" w:rsidRPr="00B07069" w:rsidRDefault="00B07069" w:rsidP="00B07069">
            <w:pPr>
              <w:rPr>
                <w:rFonts w:ascii="Times New Roman" w:hAnsi="Times New Roman" w:cs="Times New Roman"/>
              </w:rPr>
            </w:pPr>
            <w:r w:rsidRPr="00D36C7D">
              <w:rPr>
                <w:lang w:val="sv-SE"/>
              </w:rPr>
              <w:t> </w:t>
            </w:r>
          </w:p>
          <w:p w14:paraId="78DC47D1" w14:textId="77777777" w:rsidR="00885884" w:rsidRDefault="00D36C7D" w:rsidP="00640BC6">
            <w:pPr>
              <w:pStyle w:val="TableContents"/>
              <w:tabs>
                <w:tab w:val="left" w:pos="9390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2.</w:t>
            </w:r>
            <w:r>
              <w:t xml:space="preserve"> </w:t>
            </w:r>
            <w:r>
              <w:rPr>
                <w:b/>
              </w:rPr>
              <w:t>Kaip šiuo metu sprendžiami sprendimo projekte aptarti klausimai:</w:t>
            </w:r>
          </w:p>
          <w:p w14:paraId="21893DB2" w14:textId="1EFF1AA9" w:rsidR="00007464" w:rsidRDefault="00885884" w:rsidP="00640BC6">
            <w:pPr>
              <w:pStyle w:val="Standard"/>
              <w:spacing w:line="276" w:lineRule="auto"/>
              <w:ind w:firstLine="558"/>
              <w:jc w:val="both"/>
            </w:pPr>
            <w:r>
              <w:rPr>
                <w:b/>
              </w:rPr>
              <w:t xml:space="preserve">     </w:t>
            </w:r>
            <w:r w:rsidR="00D36C7D" w:rsidRPr="00D36C7D">
              <w:rPr>
                <w:b/>
              </w:rPr>
              <w:t xml:space="preserve">  </w:t>
            </w:r>
            <w:r w:rsidR="00031595">
              <w:t xml:space="preserve">Parengtas </w:t>
            </w:r>
            <w:r w:rsidR="00D36C7D" w:rsidRPr="00D36C7D">
              <w:t xml:space="preserve">Panevėžio miesto </w:t>
            </w:r>
            <w:r w:rsidR="00031595">
              <w:t>savivaldybės tarybos sprendimas „</w:t>
            </w:r>
            <w:r w:rsidR="00031595" w:rsidRPr="002907BC">
              <w:t>Dėl</w:t>
            </w:r>
            <w:r w:rsidR="00031595" w:rsidRPr="002907BC">
              <w:rPr>
                <w:bCs/>
              </w:rPr>
              <w:t xml:space="preserve"> </w:t>
            </w:r>
            <w:r w:rsidR="002907BC" w:rsidRPr="002907BC">
              <w:rPr>
                <w:lang w:eastAsia="lt-LT"/>
              </w:rPr>
              <w:t xml:space="preserve">mokesčių lengvatų dėl </w:t>
            </w:r>
            <w:r w:rsidR="002907BC">
              <w:rPr>
                <w:lang w:eastAsia="lt-LT"/>
              </w:rPr>
              <w:t>COVID – 19</w:t>
            </w:r>
            <w:r w:rsidR="00AC603F">
              <w:rPr>
                <w:lang w:eastAsia="lt-LT"/>
              </w:rPr>
              <w:t xml:space="preserve"> (koronaviruso infekcijos) </w:t>
            </w:r>
            <w:r w:rsidR="00E75036">
              <w:rPr>
                <w:lang w:eastAsia="lt-LT"/>
              </w:rPr>
              <w:t>paskelbto</w:t>
            </w:r>
            <w:r w:rsidR="00AC603F">
              <w:rPr>
                <w:lang w:eastAsia="lt-LT"/>
              </w:rPr>
              <w:t xml:space="preserve"> karantino teikimo tvarkos apraš</w:t>
            </w:r>
            <w:r w:rsidR="00007464">
              <w:rPr>
                <w:lang w:eastAsia="lt-LT"/>
              </w:rPr>
              <w:t>o patvirtinimo</w:t>
            </w:r>
            <w:r w:rsidR="002907BC" w:rsidRPr="002907BC">
              <w:t>“</w:t>
            </w:r>
            <w:r w:rsidR="002907BC">
              <w:t xml:space="preserve">, </w:t>
            </w:r>
            <w:r w:rsidR="00007464">
              <w:rPr>
                <w:lang w:eastAsia="lt-LT"/>
              </w:rPr>
              <w:t xml:space="preserve">kuriame  reglamentuota Panevėžio miesto savivaldybės  teritorijoje registruotų </w:t>
            </w:r>
            <w:r w:rsidR="00007464" w:rsidRPr="001D7A57">
              <w:rPr>
                <w:lang w:eastAsia="lt-LT"/>
              </w:rPr>
              <w:t>asmenų</w:t>
            </w:r>
            <w:r w:rsidR="00007464">
              <w:rPr>
                <w:lang w:eastAsia="lt-LT"/>
              </w:rPr>
              <w:t xml:space="preserve"> žemės, nekilnojamojo turto mokesčių ir nuomos mokesčio už valstybinę žemę sumažinimo tvarka, lengvatų teikimo sąlygos ir reikalavimai, prašymų pateikimo tvarka.</w:t>
            </w:r>
          </w:p>
          <w:p w14:paraId="78DC47D3" w14:textId="77777777" w:rsidR="009C7215" w:rsidRDefault="009C7215" w:rsidP="00640BC6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b/>
              </w:rPr>
            </w:pPr>
          </w:p>
          <w:p w14:paraId="78DC47D4" w14:textId="77777777" w:rsidR="00D36C7D" w:rsidRDefault="00D36C7D" w:rsidP="00640BC6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 Sprendimo priėmimo būtinumo pagrindimas, kokių pozityvių rezultatų laukiama:</w:t>
            </w:r>
          </w:p>
          <w:p w14:paraId="78DC47D5" w14:textId="481A8FE3" w:rsidR="00D36C7D" w:rsidRPr="00D36C7D" w:rsidRDefault="00D36C7D" w:rsidP="00640BC6">
            <w:pPr>
              <w:pStyle w:val="TableContents"/>
              <w:spacing w:line="276" w:lineRule="auto"/>
              <w:ind w:right="-10" w:firstLine="416"/>
              <w:jc w:val="both"/>
            </w:pPr>
            <w:r>
              <w:t xml:space="preserve">        </w:t>
            </w:r>
            <w:r w:rsidRPr="00D36C7D">
              <w:rPr>
                <w:lang w:val="sv-SE"/>
              </w:rPr>
              <w:t xml:space="preserve">Lietuvos Respublikos vietos savivaldos įstatymo 16 straipsnio 2 dalies 18 punktas numato, kad savivaldybių tarybos priima sprendimus teikti mokesčių lengvatas savivaldybės biudžeto sąskaita. </w:t>
            </w:r>
            <w:r w:rsidRPr="00D36C7D">
              <w:t xml:space="preserve">Priėmus teikiamą svarstyti sprendimo projektą, </w:t>
            </w:r>
            <w:r w:rsidR="005F0AAE">
              <w:t>mokesčių mokėtojai, kurių veikla dėl karantino buvo apribota ar uždrausta, sutaupytas lėšas galės panaudoti kitoms svarbioms ekonominėms reikmėms.</w:t>
            </w:r>
          </w:p>
          <w:p w14:paraId="78DC47D6" w14:textId="77777777" w:rsidR="009C7215" w:rsidRDefault="009C7215" w:rsidP="00640BC6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7" w14:textId="77777777" w:rsidR="00D36C7D" w:rsidRDefault="00D36C7D" w:rsidP="00640BC6">
            <w:pPr>
              <w:pStyle w:val="Standard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4. Skaičiavimai, išlaidų sąmatos, finansavimo šaltiniai:</w:t>
            </w:r>
          </w:p>
          <w:p w14:paraId="78DC47D9" w14:textId="12919D73" w:rsidR="009C7215" w:rsidRDefault="001723CD" w:rsidP="001723CD">
            <w:pPr>
              <w:pStyle w:val="Standard"/>
              <w:spacing w:line="276" w:lineRule="auto"/>
              <w:ind w:firstLine="983"/>
              <w:jc w:val="both"/>
            </w:pPr>
            <w:r>
              <w:t xml:space="preserve">Remiantis 2019 m. surinktais mokesčiais, preliminariai vertinama, kad šiuo sprendimu priimtos lengvatos sudarytų iki </w:t>
            </w:r>
            <w:r>
              <w:rPr>
                <w:lang w:val="en-US"/>
              </w:rPr>
              <w:t>200 000 Eur / m</w:t>
            </w:r>
            <w:r>
              <w:t xml:space="preserve">ėn. </w:t>
            </w:r>
          </w:p>
          <w:p w14:paraId="203F41BD" w14:textId="77777777" w:rsidR="001723CD" w:rsidRDefault="001723CD" w:rsidP="001723CD">
            <w:pPr>
              <w:pStyle w:val="Standard"/>
              <w:spacing w:line="276" w:lineRule="auto"/>
              <w:ind w:firstLine="983"/>
              <w:jc w:val="both"/>
              <w:rPr>
                <w:b/>
              </w:rPr>
            </w:pPr>
          </w:p>
          <w:p w14:paraId="78DC47DA" w14:textId="77777777" w:rsidR="00885884" w:rsidRDefault="00D36C7D" w:rsidP="00640BC6">
            <w:pPr>
              <w:pStyle w:val="Standard"/>
              <w:spacing w:line="276" w:lineRule="auto"/>
              <w:jc w:val="both"/>
            </w:pPr>
            <w:r>
              <w:rPr>
                <w:b/>
              </w:rPr>
              <w:t>5. Galimos neigiamos pasekmės priėmus sprendimą, kokių priemonių reikėtų imtis, kad tokių pasekmių būtų išvengta:</w:t>
            </w:r>
            <w:r>
              <w:t xml:space="preserve"> </w:t>
            </w:r>
          </w:p>
          <w:p w14:paraId="78DC47DB" w14:textId="77777777" w:rsidR="00D36C7D" w:rsidRDefault="00885884" w:rsidP="00640BC6">
            <w:pPr>
              <w:pStyle w:val="Standard"/>
              <w:spacing w:line="276" w:lineRule="auto"/>
              <w:ind w:firstLine="558"/>
              <w:jc w:val="both"/>
            </w:pPr>
            <w:r>
              <w:t xml:space="preserve">       </w:t>
            </w:r>
            <w:r w:rsidR="00D36C7D">
              <w:t xml:space="preserve"> Neigiamų pasekmių nenumatoma.</w:t>
            </w:r>
          </w:p>
          <w:p w14:paraId="78DC47DC" w14:textId="77777777" w:rsidR="009C7215" w:rsidRDefault="009C7215" w:rsidP="00640BC6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D" w14:textId="77777777" w:rsidR="00D36C7D" w:rsidRDefault="00D36C7D" w:rsidP="00640BC6">
            <w:pPr>
              <w:pStyle w:val="Standard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6. Kieno iniciatyva parengtas sprendimo projektas:</w:t>
            </w:r>
          </w:p>
          <w:p w14:paraId="78DC47DE" w14:textId="77777777" w:rsidR="00D36C7D" w:rsidRDefault="00D36C7D" w:rsidP="00B07069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  <w:r>
              <w:t xml:space="preserve">        </w:t>
            </w:r>
            <w:r w:rsidRPr="00DB2348">
              <w:t>Sprendimo projektas parengtas savivaldybės administracijos</w:t>
            </w:r>
            <w:r w:rsidR="00DB234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8DC47DF" w14:textId="77777777" w:rsidR="00DB2348" w:rsidRDefault="00DB2348" w:rsidP="00640BC6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0" w14:textId="77777777" w:rsidR="00DB2348" w:rsidRDefault="00DB2348" w:rsidP="00640BC6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1" w14:textId="77777777" w:rsidR="00885884" w:rsidRDefault="00885884" w:rsidP="00640BC6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2" w14:textId="2471E795" w:rsidR="000F6558" w:rsidRDefault="00D36C7D" w:rsidP="00640BC6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Miesto plėtros skyriaus vyriausioji specialistė                                                                 </w:t>
            </w:r>
            <w:r w:rsidR="002907BC">
              <w:t>Daina Pilkauskienė</w:t>
            </w:r>
            <w:r>
              <w:t xml:space="preserve"> </w:t>
            </w:r>
            <w:bookmarkStart w:id="3" w:name="ctl03_DocumentChanges"/>
            <w:bookmarkEnd w:id="3"/>
          </w:p>
        </w:tc>
      </w:tr>
      <w:tr w:rsidR="000F6558" w14:paraId="78DC47E5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4" w14:textId="77777777" w:rsidR="000F6558" w:rsidRDefault="000F6558" w:rsidP="00D957D5">
            <w:pPr>
              <w:pStyle w:val="TableContents"/>
              <w:jc w:val="both"/>
              <w:rPr>
                <w:sz w:val="22"/>
                <w:szCs w:val="22"/>
              </w:rPr>
            </w:pPr>
            <w:bookmarkStart w:id="4" w:name="ctl03_DocumentPriedai"/>
            <w:bookmarkEnd w:id="4"/>
          </w:p>
        </w:tc>
      </w:tr>
      <w:tr w:rsidR="004971D5" w14:paraId="78DC47E7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6" w14:textId="77777777" w:rsidR="004971D5" w:rsidRDefault="004971D5" w:rsidP="00D957D5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78DC47E8" w14:textId="77777777" w:rsidR="000F6558" w:rsidRDefault="000F6558" w:rsidP="00D200B2">
      <w:pPr>
        <w:pStyle w:val="Textbody"/>
        <w:spacing w:line="276" w:lineRule="auto"/>
        <w:jc w:val="both"/>
      </w:pPr>
      <w:bookmarkStart w:id="5" w:name="ctl03_DocumentApacia"/>
      <w:bookmarkEnd w:id="5"/>
    </w:p>
    <w:sectPr w:rsidR="000F655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785D" w14:textId="77777777" w:rsidR="00EC48D8" w:rsidRDefault="00EC48D8">
      <w:pPr>
        <w:rPr>
          <w:rFonts w:hint="eastAsia"/>
        </w:rPr>
      </w:pPr>
      <w:r>
        <w:separator/>
      </w:r>
    </w:p>
  </w:endnote>
  <w:endnote w:type="continuationSeparator" w:id="0">
    <w:p w14:paraId="7D27C677" w14:textId="77777777" w:rsidR="00EC48D8" w:rsidRDefault="00EC48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F943B" w14:textId="77777777" w:rsidR="00EC48D8" w:rsidRDefault="00EC48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9A22FC" w14:textId="77777777" w:rsidR="00EC48D8" w:rsidRDefault="00EC48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02B9"/>
    <w:multiLevelType w:val="multilevel"/>
    <w:tmpl w:val="5A946B3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324"/>
    <w:multiLevelType w:val="multilevel"/>
    <w:tmpl w:val="3F4E062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8"/>
    <w:rsid w:val="00007464"/>
    <w:rsid w:val="00031595"/>
    <w:rsid w:val="00042CDC"/>
    <w:rsid w:val="0005080C"/>
    <w:rsid w:val="000A6061"/>
    <w:rsid w:val="000E77BC"/>
    <w:rsid w:val="000F5025"/>
    <w:rsid w:val="000F6558"/>
    <w:rsid w:val="001723CD"/>
    <w:rsid w:val="001937B5"/>
    <w:rsid w:val="002238D7"/>
    <w:rsid w:val="00265ECA"/>
    <w:rsid w:val="002907BC"/>
    <w:rsid w:val="004971D5"/>
    <w:rsid w:val="004E3668"/>
    <w:rsid w:val="005308A6"/>
    <w:rsid w:val="005C5786"/>
    <w:rsid w:val="005F0AAE"/>
    <w:rsid w:val="00640BC6"/>
    <w:rsid w:val="006B1930"/>
    <w:rsid w:val="006B2DFE"/>
    <w:rsid w:val="006B43A1"/>
    <w:rsid w:val="00783298"/>
    <w:rsid w:val="007E2D4B"/>
    <w:rsid w:val="00834A20"/>
    <w:rsid w:val="00850B93"/>
    <w:rsid w:val="00885884"/>
    <w:rsid w:val="009570E2"/>
    <w:rsid w:val="009C7215"/>
    <w:rsid w:val="00A345AD"/>
    <w:rsid w:val="00A566A8"/>
    <w:rsid w:val="00A6425D"/>
    <w:rsid w:val="00AC603F"/>
    <w:rsid w:val="00AF5292"/>
    <w:rsid w:val="00B07069"/>
    <w:rsid w:val="00BE4D2E"/>
    <w:rsid w:val="00C03CE7"/>
    <w:rsid w:val="00C46370"/>
    <w:rsid w:val="00D200B2"/>
    <w:rsid w:val="00D36C7D"/>
    <w:rsid w:val="00D6613B"/>
    <w:rsid w:val="00D957D5"/>
    <w:rsid w:val="00DB2348"/>
    <w:rsid w:val="00DE072C"/>
    <w:rsid w:val="00E75036"/>
    <w:rsid w:val="00EC48D8"/>
    <w:rsid w:val="00F41036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7C9"/>
  <w15:docId w15:val="{9A2459F0-53EE-420A-805F-93D5219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07B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3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character" w:customStyle="1" w:styleId="Antrat7Diagrama">
    <w:name w:val="Antraštė 7 Diagrama"/>
    <w:basedOn w:val="Numatytasispastraiposriftas"/>
    <w:link w:val="Antrat7"/>
    <w:rsid w:val="00D6613B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Betarp">
    <w:name w:val="No Spacing"/>
    <w:uiPriority w:val="1"/>
    <w:qFormat/>
    <w:rsid w:val="0003159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907B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2020-06-11T08:06:00Z</cp:lastPrinted>
  <dcterms:created xsi:type="dcterms:W3CDTF">2020-06-12T06:53:00Z</dcterms:created>
  <dcterms:modified xsi:type="dcterms:W3CDTF">2020-06-12T06:53:00Z</dcterms:modified>
</cp:coreProperties>
</file>