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AFF46" w14:textId="77777777" w:rsidR="009D040C" w:rsidRPr="00C855E1" w:rsidRDefault="009D040C" w:rsidP="009D040C">
      <w:pPr>
        <w:widowControl w:val="0"/>
        <w:suppressAutoHyphens/>
        <w:ind w:left="6237"/>
        <w:rPr>
          <w:rFonts w:eastAsia="Lucida Sans Unicode"/>
          <w:b/>
          <w:bCs/>
          <w:szCs w:val="28"/>
          <w:lang w:eastAsia="ar-SA"/>
        </w:rPr>
      </w:pPr>
      <w:bookmarkStart w:id="0" w:name="_GoBack"/>
      <w:r w:rsidRPr="00C855E1">
        <w:rPr>
          <w:rFonts w:eastAsia="Lucida Sans Unicode"/>
          <w:b/>
          <w:bCs/>
          <w:szCs w:val="28"/>
          <w:lang w:eastAsia="ar-SA"/>
        </w:rPr>
        <w:t>Projekto</w:t>
      </w:r>
    </w:p>
    <w:p w14:paraId="30514588" w14:textId="057A0C8B" w:rsidR="009D040C" w:rsidRPr="00C855E1" w:rsidRDefault="009D040C" w:rsidP="009D040C">
      <w:pPr>
        <w:widowControl w:val="0"/>
        <w:suppressAutoHyphens/>
        <w:ind w:left="6237"/>
        <w:rPr>
          <w:rFonts w:eastAsia="Lucida Sans Unicode"/>
          <w:b/>
          <w:bCs/>
          <w:szCs w:val="28"/>
          <w:lang w:eastAsia="ar-SA"/>
        </w:rPr>
      </w:pPr>
      <w:r w:rsidRPr="00C855E1">
        <w:rPr>
          <w:rFonts w:eastAsia="Lucida Sans Unicode"/>
          <w:b/>
          <w:bCs/>
          <w:szCs w:val="28"/>
          <w:lang w:eastAsia="ar-SA"/>
        </w:rPr>
        <w:t>lyginamasis variantas</w:t>
      </w:r>
    </w:p>
    <w:bookmarkEnd w:id="0"/>
    <w:p w14:paraId="4D4C3EF2" w14:textId="3F801924" w:rsidR="009D040C" w:rsidRPr="00FC6C75" w:rsidRDefault="009D040C" w:rsidP="009D040C">
      <w:pPr>
        <w:widowControl w:val="0"/>
        <w:suppressAutoHyphens/>
        <w:ind w:left="6237"/>
        <w:rPr>
          <w:rFonts w:eastAsia="Lucida Sans Unicode"/>
          <w:b/>
          <w:bCs/>
          <w:sz w:val="28"/>
          <w:szCs w:val="28"/>
          <w:lang w:eastAsia="ar-SA"/>
        </w:rPr>
      </w:pPr>
      <w:r>
        <w:rPr>
          <w:rFonts w:eastAsia="Lucida Sans Unicode"/>
          <w:b/>
          <w:bCs/>
          <w:sz w:val="28"/>
          <w:szCs w:val="28"/>
          <w:lang w:eastAsia="ar-SA"/>
        </w:rPr>
        <w:t xml:space="preserve"> </w:t>
      </w:r>
    </w:p>
    <w:p w14:paraId="0F2C96E3" w14:textId="77777777" w:rsidR="00FC6C75" w:rsidRPr="00FC6C75" w:rsidRDefault="00FC6C75" w:rsidP="00FC6C75">
      <w:pPr>
        <w:widowControl w:val="0"/>
        <w:suppressAutoHyphens/>
        <w:jc w:val="center"/>
        <w:rPr>
          <w:rFonts w:eastAsia="Lucida Sans Unicode"/>
          <w:b/>
          <w:bCs/>
          <w:sz w:val="28"/>
          <w:szCs w:val="28"/>
          <w:lang w:eastAsia="ar-SA"/>
        </w:rPr>
      </w:pPr>
      <w:r w:rsidRPr="00FC6C75">
        <w:rPr>
          <w:rFonts w:eastAsia="Lucida Sans Unicode"/>
          <w:b/>
          <w:bCs/>
          <w:sz w:val="28"/>
          <w:szCs w:val="28"/>
          <w:lang w:eastAsia="ar-SA"/>
        </w:rPr>
        <w:t>PANEVĖŽIO MIESTO SAVIVALDYBĖS TARYBA</w:t>
      </w:r>
    </w:p>
    <w:p w14:paraId="0F2C96E4" w14:textId="77777777" w:rsidR="00FC6C75" w:rsidRPr="00FC6C75" w:rsidRDefault="00FC6C75" w:rsidP="00FC6C75">
      <w:pPr>
        <w:widowControl w:val="0"/>
        <w:suppressAutoHyphens/>
        <w:jc w:val="center"/>
        <w:rPr>
          <w:rFonts w:eastAsia="Lucida Sans Unicode"/>
          <w:b/>
          <w:bCs/>
          <w:sz w:val="28"/>
          <w:szCs w:val="28"/>
          <w:lang w:eastAsia="ar-SA"/>
        </w:rPr>
      </w:pPr>
    </w:p>
    <w:p w14:paraId="0F2C96E5" w14:textId="77777777" w:rsidR="00B314D8" w:rsidRDefault="00B314D8" w:rsidP="00B314D8">
      <w:pPr>
        <w:widowControl w:val="0"/>
        <w:suppressAutoHyphens/>
        <w:jc w:val="center"/>
        <w:rPr>
          <w:rFonts w:eastAsia="Lucida Sans Unicode"/>
          <w:b/>
          <w:bCs/>
          <w:szCs w:val="24"/>
          <w:lang w:eastAsia="ar-SA"/>
        </w:rPr>
      </w:pPr>
      <w:r>
        <w:rPr>
          <w:rFonts w:eastAsia="Lucida Sans Unicode"/>
          <w:b/>
          <w:bCs/>
          <w:szCs w:val="24"/>
          <w:lang w:eastAsia="ar-SA"/>
        </w:rPr>
        <w:t>SPRENDIMAS</w:t>
      </w:r>
    </w:p>
    <w:p w14:paraId="0F2C96E6" w14:textId="2334AAA5" w:rsidR="002B290D" w:rsidRPr="00AA0BE9" w:rsidRDefault="002B290D" w:rsidP="002B290D">
      <w:pPr>
        <w:jc w:val="center"/>
        <w:rPr>
          <w:b/>
          <w:szCs w:val="24"/>
        </w:rPr>
      </w:pPr>
      <w:r w:rsidRPr="00AA0BE9">
        <w:rPr>
          <w:b/>
          <w:szCs w:val="24"/>
        </w:rPr>
        <w:t xml:space="preserve">DĖL </w:t>
      </w:r>
      <w:r w:rsidR="008656BB">
        <w:rPr>
          <w:b/>
          <w:szCs w:val="24"/>
        </w:rPr>
        <w:t xml:space="preserve">PANEVĖŽIO MIESTO </w:t>
      </w:r>
      <w:r w:rsidRPr="00AA0BE9">
        <w:rPr>
          <w:b/>
          <w:szCs w:val="24"/>
        </w:rPr>
        <w:t>SAVIVALDYBĖS BIUDŽETINIŲ ĮSTAIGŲ VADOVŲ DARBO APMOKĖJIMO SISTEMOS</w:t>
      </w:r>
      <w:r w:rsidR="008656BB">
        <w:rPr>
          <w:b/>
          <w:szCs w:val="24"/>
        </w:rPr>
        <w:t>,</w:t>
      </w:r>
      <w:r w:rsidRPr="00AA0BE9">
        <w:rPr>
          <w:b/>
          <w:szCs w:val="24"/>
        </w:rPr>
        <w:t xml:space="preserve"> PATVIRTIN</w:t>
      </w:r>
      <w:r w:rsidR="008656BB">
        <w:rPr>
          <w:b/>
          <w:szCs w:val="24"/>
        </w:rPr>
        <w:t>TOS</w:t>
      </w:r>
      <w:r w:rsidRPr="00AA0BE9">
        <w:rPr>
          <w:b/>
          <w:szCs w:val="24"/>
        </w:rPr>
        <w:t xml:space="preserve"> SAVIVALDYBĖS TARYBOS 20</w:t>
      </w:r>
      <w:r w:rsidR="008656BB">
        <w:rPr>
          <w:b/>
          <w:szCs w:val="24"/>
        </w:rPr>
        <w:t>20</w:t>
      </w:r>
      <w:r w:rsidRPr="00AA0BE9">
        <w:rPr>
          <w:b/>
          <w:szCs w:val="24"/>
        </w:rPr>
        <w:t xml:space="preserve"> M. </w:t>
      </w:r>
      <w:r w:rsidR="008656BB">
        <w:rPr>
          <w:b/>
          <w:szCs w:val="24"/>
        </w:rPr>
        <w:t xml:space="preserve">SAUSIO </w:t>
      </w:r>
      <w:r w:rsidR="0034645D">
        <w:rPr>
          <w:b/>
          <w:szCs w:val="24"/>
        </w:rPr>
        <w:t>30 D. SPRENDIM</w:t>
      </w:r>
      <w:r w:rsidR="008656BB">
        <w:rPr>
          <w:b/>
          <w:szCs w:val="24"/>
        </w:rPr>
        <w:t>U</w:t>
      </w:r>
      <w:r w:rsidR="0034645D">
        <w:rPr>
          <w:b/>
          <w:szCs w:val="24"/>
        </w:rPr>
        <w:t xml:space="preserve"> NR. 1</w:t>
      </w:r>
      <w:proofErr w:type="gramStart"/>
      <w:r w:rsidR="0034645D">
        <w:rPr>
          <w:b/>
          <w:szCs w:val="24"/>
        </w:rPr>
        <w:t>-</w:t>
      </w:r>
      <w:proofErr w:type="gramEnd"/>
      <w:r w:rsidR="008656BB">
        <w:rPr>
          <w:b/>
          <w:szCs w:val="24"/>
        </w:rPr>
        <w:t>7,</w:t>
      </w:r>
      <w:r w:rsidRPr="00AA0BE9">
        <w:rPr>
          <w:b/>
          <w:szCs w:val="24"/>
        </w:rPr>
        <w:t xml:space="preserve"> </w:t>
      </w:r>
      <w:r w:rsidR="008656BB">
        <w:rPr>
          <w:b/>
          <w:szCs w:val="24"/>
        </w:rPr>
        <w:t>PAKEITIMO</w:t>
      </w:r>
    </w:p>
    <w:p w14:paraId="0F2C96E7" w14:textId="77777777" w:rsidR="0038072F" w:rsidRPr="00932D99" w:rsidRDefault="0038072F" w:rsidP="0038072F">
      <w:pPr>
        <w:ind w:right="-142"/>
        <w:jc w:val="center"/>
      </w:pPr>
    </w:p>
    <w:p w14:paraId="0F2C96E9" w14:textId="2DB70258" w:rsidR="00B314D8" w:rsidRDefault="00B314D8" w:rsidP="00B314D8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t>20</w:t>
      </w:r>
      <w:r w:rsidR="0034645D">
        <w:rPr>
          <w:rFonts w:eastAsia="Lucida Sans Unicode"/>
          <w:szCs w:val="24"/>
          <w:lang w:eastAsia="ar-SA"/>
        </w:rPr>
        <w:t>2</w:t>
      </w:r>
      <w:r w:rsidR="008656BB">
        <w:rPr>
          <w:rFonts w:eastAsia="Lucida Sans Unicode"/>
          <w:szCs w:val="24"/>
          <w:lang w:eastAsia="ar-SA"/>
        </w:rPr>
        <w:t>1</w:t>
      </w:r>
      <w:r>
        <w:rPr>
          <w:rFonts w:eastAsia="Lucida Sans Unicode"/>
          <w:szCs w:val="24"/>
          <w:lang w:eastAsia="ar-SA"/>
        </w:rPr>
        <w:t xml:space="preserve"> m. </w:t>
      </w:r>
      <w:r w:rsidR="0034645D">
        <w:rPr>
          <w:rFonts w:eastAsia="Lucida Sans Unicode"/>
          <w:szCs w:val="24"/>
          <w:lang w:eastAsia="ar-SA"/>
        </w:rPr>
        <w:t xml:space="preserve">sausio </w:t>
      </w:r>
      <w:r w:rsidR="008656BB">
        <w:rPr>
          <w:rFonts w:eastAsia="Lucida Sans Unicode"/>
          <w:szCs w:val="24"/>
          <w:lang w:eastAsia="ar-SA"/>
        </w:rPr>
        <w:t>28</w:t>
      </w:r>
      <w:r w:rsidR="00882479">
        <w:rPr>
          <w:rFonts w:eastAsia="Lucida Sans Unicode"/>
          <w:szCs w:val="24"/>
          <w:lang w:eastAsia="ar-SA"/>
        </w:rPr>
        <w:t xml:space="preserve"> </w:t>
      </w:r>
      <w:r>
        <w:rPr>
          <w:rFonts w:eastAsia="Lucida Sans Unicode"/>
          <w:szCs w:val="24"/>
          <w:lang w:eastAsia="ar-SA"/>
        </w:rPr>
        <w:t xml:space="preserve">d. Nr. </w:t>
      </w:r>
      <w:r w:rsidR="0034645D">
        <w:rPr>
          <w:rFonts w:eastAsia="Lucida Sans Unicode"/>
          <w:szCs w:val="24"/>
          <w:lang w:eastAsia="ar-SA"/>
        </w:rPr>
        <w:t>1-</w:t>
      </w:r>
    </w:p>
    <w:p w14:paraId="0F2C96EA" w14:textId="77777777" w:rsidR="00B314D8" w:rsidRDefault="00B314D8" w:rsidP="00B314D8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  <w:r>
        <w:rPr>
          <w:rFonts w:eastAsia="Lucida Sans Unicode"/>
          <w:szCs w:val="24"/>
          <w:lang w:eastAsia="ar-SA"/>
        </w:rPr>
        <w:t>Panevėžys</w:t>
      </w:r>
    </w:p>
    <w:p w14:paraId="0F2C96EB" w14:textId="77777777" w:rsidR="00FC6C75" w:rsidRDefault="00FC6C75" w:rsidP="005078E0">
      <w:pPr>
        <w:spacing w:line="276" w:lineRule="auto"/>
        <w:jc w:val="center"/>
        <w:rPr>
          <w:bCs/>
          <w:szCs w:val="24"/>
        </w:rPr>
      </w:pPr>
    </w:p>
    <w:p w14:paraId="0F2C96EC" w14:textId="77777777" w:rsidR="00FC6C75" w:rsidRDefault="00FC6C75" w:rsidP="005078E0">
      <w:pPr>
        <w:spacing w:line="276" w:lineRule="auto"/>
        <w:jc w:val="center"/>
        <w:rPr>
          <w:bCs/>
          <w:szCs w:val="24"/>
        </w:rPr>
      </w:pPr>
    </w:p>
    <w:p w14:paraId="0F2C96ED" w14:textId="4A0BDEDF" w:rsidR="002B290D" w:rsidRPr="006F3FA6" w:rsidRDefault="002B290D" w:rsidP="002B290D">
      <w:pPr>
        <w:spacing w:line="360" w:lineRule="auto"/>
        <w:ind w:firstLine="851"/>
        <w:jc w:val="both"/>
      </w:pPr>
      <w:r w:rsidRPr="008656BB">
        <w:t xml:space="preserve">Vadovaudamasi Lietuvos Respublikos vietos savivaldos įstatymo 16 straipsnio 4 dalimi, 18 straipsnio 1 dalimi, </w:t>
      </w:r>
      <w:r w:rsidRPr="006F3FA6">
        <w:t xml:space="preserve">Lietuvos Respublikos valstybės ir savivaldybių įstaigų darbuotojų </w:t>
      </w:r>
      <w:r w:rsidR="0034645D" w:rsidRPr="006F3FA6">
        <w:t xml:space="preserve">darbo apmokėjimo ir komisijų narių atlygio už darbą įstatymo </w:t>
      </w:r>
      <w:r w:rsidR="006F3FA6" w:rsidRPr="006F3FA6">
        <w:t xml:space="preserve">Nr. XIII-198, 1, </w:t>
      </w:r>
      <w:r w:rsidR="0034645D" w:rsidRPr="006F3FA6">
        <w:t>5</w:t>
      </w:r>
      <w:r w:rsidR="006F3FA6" w:rsidRPr="006F3FA6">
        <w:t>, 7, 9, 10, 11, 12, 16 straipsnių ir 1, 2</w:t>
      </w:r>
      <w:r w:rsidR="0034645D" w:rsidRPr="006F3FA6">
        <w:t>,</w:t>
      </w:r>
      <w:r w:rsidR="006F3FA6" w:rsidRPr="006F3FA6">
        <w:t xml:space="preserve"> 3, 4, 5 priedų pakeitimo įstatymu, priimtu 2020 m. gruodžio 23 d. Nr. XIV-127</w:t>
      </w:r>
      <w:r w:rsidRPr="006F3FA6">
        <w:t xml:space="preserve">, Panevėžio miesto </w:t>
      </w:r>
      <w:proofErr w:type="gramStart"/>
      <w:r w:rsidRPr="006F3FA6">
        <w:t>savivaldybės taryba</w:t>
      </w:r>
      <w:proofErr w:type="gramEnd"/>
      <w:r w:rsidRPr="006F3FA6">
        <w:t xml:space="preserve"> n u s p r e n d ž i a:</w:t>
      </w:r>
    </w:p>
    <w:p w14:paraId="4D48CFDB" w14:textId="0327FC96" w:rsidR="008656BB" w:rsidRDefault="008656BB" w:rsidP="008656BB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</w:t>
      </w:r>
      <w:r w:rsidRPr="006905A3">
        <w:rPr>
          <w:rFonts w:eastAsia="Calibri"/>
          <w:szCs w:val="24"/>
        </w:rPr>
        <w:t xml:space="preserve">akeisti </w:t>
      </w:r>
      <w:r>
        <w:rPr>
          <w:rFonts w:eastAsia="Calibri"/>
          <w:szCs w:val="24"/>
        </w:rPr>
        <w:t>Panevėžio miesto savivaldybės biudžetinių įstaigų vadovų darbo apmokėjimo sistemos, patvirtintos S</w:t>
      </w:r>
      <w:r w:rsidRPr="006905A3">
        <w:rPr>
          <w:rFonts w:eastAsia="Calibri"/>
          <w:szCs w:val="24"/>
        </w:rPr>
        <w:t>avivaldybės tarybos 20</w:t>
      </w:r>
      <w:r w:rsidR="006F3FA6">
        <w:rPr>
          <w:rFonts w:eastAsia="Calibri"/>
          <w:szCs w:val="24"/>
        </w:rPr>
        <w:t>20</w:t>
      </w:r>
      <w:r w:rsidRPr="006905A3">
        <w:rPr>
          <w:rFonts w:eastAsia="Calibri"/>
          <w:szCs w:val="24"/>
        </w:rPr>
        <w:t xml:space="preserve"> m. </w:t>
      </w:r>
      <w:r w:rsidR="006F3FA6">
        <w:rPr>
          <w:rFonts w:eastAsia="Calibri"/>
          <w:szCs w:val="24"/>
        </w:rPr>
        <w:t>sausio</w:t>
      </w:r>
      <w:r>
        <w:rPr>
          <w:rFonts w:eastAsia="Calibri"/>
          <w:szCs w:val="24"/>
        </w:rPr>
        <w:t xml:space="preserve"> 30 </w:t>
      </w:r>
      <w:r w:rsidRPr="006905A3">
        <w:rPr>
          <w:rFonts w:eastAsia="Calibri"/>
          <w:szCs w:val="24"/>
        </w:rPr>
        <w:t>d. sprend</w:t>
      </w:r>
      <w:r>
        <w:rPr>
          <w:rFonts w:eastAsia="Calibri"/>
          <w:szCs w:val="24"/>
        </w:rPr>
        <w:t>imu Nr. 1</w:t>
      </w:r>
      <w:proofErr w:type="gramStart"/>
      <w:r>
        <w:rPr>
          <w:rFonts w:eastAsia="Calibri"/>
          <w:szCs w:val="24"/>
        </w:rPr>
        <w:t>-</w:t>
      </w:r>
      <w:proofErr w:type="gramEnd"/>
      <w:r w:rsidR="006F3FA6">
        <w:rPr>
          <w:rFonts w:eastAsia="Calibri"/>
          <w:szCs w:val="24"/>
        </w:rPr>
        <w:t>7</w:t>
      </w:r>
      <w:r>
        <w:rPr>
          <w:rFonts w:eastAsia="Calibri"/>
          <w:szCs w:val="24"/>
        </w:rPr>
        <w:t>:</w:t>
      </w:r>
    </w:p>
    <w:p w14:paraId="30E237C2" w14:textId="77777777" w:rsidR="009D040C" w:rsidRDefault="006F3FA6" w:rsidP="009D040C">
      <w:pPr>
        <w:pStyle w:val="Sraopastraipa"/>
        <w:numPr>
          <w:ilvl w:val="0"/>
          <w:numId w:val="19"/>
        </w:numPr>
        <w:tabs>
          <w:tab w:val="left" w:pos="993"/>
        </w:tabs>
        <w:spacing w:line="360" w:lineRule="auto"/>
        <w:ind w:left="0" w:firstLine="720"/>
        <w:jc w:val="both"/>
        <w:rPr>
          <w:rFonts w:eastAsia="Calibri"/>
          <w:szCs w:val="24"/>
        </w:rPr>
      </w:pPr>
      <w:r w:rsidRPr="006F3FA6">
        <w:rPr>
          <w:rFonts w:eastAsia="Calibri"/>
          <w:szCs w:val="24"/>
        </w:rPr>
        <w:t>9</w:t>
      </w:r>
      <w:r w:rsidR="008656BB" w:rsidRPr="006F3FA6">
        <w:rPr>
          <w:rFonts w:eastAsia="Calibri"/>
          <w:szCs w:val="24"/>
        </w:rPr>
        <w:t>.3 papunktį ir išdėstyti jį taip:</w:t>
      </w:r>
    </w:p>
    <w:p w14:paraId="16FBE50A" w14:textId="75136EF5" w:rsidR="006F3FA6" w:rsidRPr="00276690" w:rsidRDefault="008656BB" w:rsidP="009D040C">
      <w:pPr>
        <w:pStyle w:val="Sraopastraipa"/>
        <w:spacing w:line="360" w:lineRule="auto"/>
        <w:ind w:left="0" w:firstLine="720"/>
        <w:jc w:val="both"/>
        <w:rPr>
          <w:rFonts w:eastAsia="Calibri"/>
          <w:szCs w:val="24"/>
        </w:rPr>
      </w:pPr>
      <w:r w:rsidRPr="00276690">
        <w:rPr>
          <w:bCs/>
          <w:szCs w:val="24"/>
        </w:rPr>
        <w:t>„</w:t>
      </w:r>
      <w:r w:rsidR="006F3FA6" w:rsidRPr="00276690">
        <w:rPr>
          <w:bCs/>
          <w:szCs w:val="24"/>
        </w:rPr>
        <w:t xml:space="preserve">9.3. </w:t>
      </w:r>
      <w:r w:rsidR="009D040C" w:rsidRPr="009D040C">
        <w:rPr>
          <w:bCs/>
          <w:szCs w:val="24"/>
        </w:rPr>
        <w:t xml:space="preserve">mokėjimas už darbą poilsio ir švenčių dienomis, nakties ir viršvalandinį darbą, </w:t>
      </w:r>
      <w:r w:rsidR="009D040C" w:rsidRPr="009D040C">
        <w:rPr>
          <w:bCs/>
          <w:strike/>
          <w:szCs w:val="24"/>
        </w:rPr>
        <w:t>budėjimą ir darbą, esant nukrypimų nuo normalių darbo sąlygų</w:t>
      </w:r>
      <w:r w:rsidR="009D040C" w:rsidRPr="009D040C">
        <w:rPr>
          <w:bCs/>
          <w:szCs w:val="24"/>
        </w:rPr>
        <w:t>;</w:t>
      </w:r>
      <w:r w:rsidRPr="00276690">
        <w:rPr>
          <w:bCs/>
          <w:szCs w:val="24"/>
        </w:rPr>
        <w:t>“.</w:t>
      </w:r>
    </w:p>
    <w:p w14:paraId="01802F60" w14:textId="3ACECEFE" w:rsidR="006F3FA6" w:rsidRDefault="006F3FA6" w:rsidP="00276690">
      <w:pPr>
        <w:pStyle w:val="Sraopastraipa"/>
        <w:numPr>
          <w:ilvl w:val="0"/>
          <w:numId w:val="19"/>
        </w:numPr>
        <w:tabs>
          <w:tab w:val="left" w:pos="993"/>
        </w:tabs>
        <w:spacing w:line="360" w:lineRule="auto"/>
        <w:ind w:left="0" w:firstLine="720"/>
        <w:jc w:val="both"/>
        <w:rPr>
          <w:bCs/>
          <w:szCs w:val="24"/>
        </w:rPr>
      </w:pPr>
      <w:r w:rsidRPr="00276690">
        <w:rPr>
          <w:bCs/>
          <w:szCs w:val="24"/>
        </w:rPr>
        <w:t>15.3 papunktį ir išdėstyti jį taip:</w:t>
      </w:r>
    </w:p>
    <w:p w14:paraId="1B744ADF" w14:textId="77777777" w:rsidR="008C7F69" w:rsidRPr="00276690" w:rsidRDefault="006F3FA6" w:rsidP="00276690">
      <w:pPr>
        <w:pStyle w:val="Sraopastraipa"/>
        <w:tabs>
          <w:tab w:val="left" w:pos="993"/>
        </w:tabs>
        <w:spacing w:line="360" w:lineRule="auto"/>
        <w:ind w:left="0" w:firstLine="720"/>
        <w:jc w:val="both"/>
        <w:rPr>
          <w:szCs w:val="24"/>
        </w:rPr>
      </w:pPr>
      <w:r w:rsidRPr="00276690">
        <w:rPr>
          <w:bCs/>
          <w:szCs w:val="24"/>
        </w:rPr>
        <w:t>„</w:t>
      </w:r>
      <w:r w:rsidRPr="00276690">
        <w:rPr>
          <w:szCs w:val="24"/>
          <w:lang w:eastAsia="lt-LT"/>
        </w:rPr>
        <w:t>15.3. Į</w:t>
      </w:r>
      <w:r w:rsidRPr="00276690">
        <w:rPr>
          <w:szCs w:val="24"/>
        </w:rPr>
        <w:t xml:space="preserve">staigos vadovo pareiginės algos kintamoji dalis gali būti nustatyta priėmimo į darbą metu, </w:t>
      </w:r>
      <w:r w:rsidRPr="00276690">
        <w:rPr>
          <w:szCs w:val="24"/>
          <w:lang w:eastAsia="lt-LT"/>
        </w:rPr>
        <w:t xml:space="preserve">taip pat Įstaigos vadovui grįžus iš vaiko priežiūros atostogų, </w:t>
      </w:r>
      <w:r w:rsidRPr="00276690">
        <w:rPr>
          <w:szCs w:val="24"/>
        </w:rPr>
        <w:t xml:space="preserve">atsižvelgiant į vadovo profesinę kvalifikaciją ir jam keliamus uždavinius, tačiau ji negali būti didesnė kaip 20 procentų pareiginės algos pastoviosios dalies ir negali būti mokama ilgiau kaip iki to Įstaigos vadovo </w:t>
      </w:r>
      <w:r w:rsidR="008C7F69" w:rsidRPr="009D040C">
        <w:rPr>
          <w:b/>
          <w:szCs w:val="24"/>
        </w:rPr>
        <w:t>kito</w:t>
      </w:r>
      <w:r w:rsidR="008C7F69" w:rsidRPr="00276690">
        <w:rPr>
          <w:szCs w:val="24"/>
        </w:rPr>
        <w:t xml:space="preserve"> </w:t>
      </w:r>
      <w:r w:rsidRPr="00276690">
        <w:rPr>
          <w:szCs w:val="24"/>
        </w:rPr>
        <w:t>kasmetinio veiklos vertinimo;</w:t>
      </w:r>
      <w:r w:rsidR="008C7F69" w:rsidRPr="00276690">
        <w:rPr>
          <w:szCs w:val="24"/>
        </w:rPr>
        <w:t>“.</w:t>
      </w:r>
    </w:p>
    <w:p w14:paraId="6FA3B6C4" w14:textId="378CF722" w:rsidR="008C7F69" w:rsidRDefault="008C7F69" w:rsidP="00276690">
      <w:pPr>
        <w:pStyle w:val="Sraopastraipa"/>
        <w:numPr>
          <w:ilvl w:val="0"/>
          <w:numId w:val="19"/>
        </w:numPr>
        <w:tabs>
          <w:tab w:val="left" w:pos="993"/>
        </w:tabs>
        <w:spacing w:line="360" w:lineRule="auto"/>
        <w:ind w:left="0" w:firstLine="720"/>
        <w:jc w:val="both"/>
        <w:rPr>
          <w:szCs w:val="24"/>
        </w:rPr>
      </w:pPr>
      <w:r w:rsidRPr="00276690">
        <w:rPr>
          <w:szCs w:val="24"/>
        </w:rPr>
        <w:t>16.1 papunktį ir išdėstyti jį taip:</w:t>
      </w:r>
    </w:p>
    <w:p w14:paraId="6C69ED56" w14:textId="1680FA3F" w:rsidR="009D040C" w:rsidRPr="009D040C" w:rsidRDefault="009D040C" w:rsidP="009D040C">
      <w:pPr>
        <w:pStyle w:val="Sraopastraipa"/>
        <w:tabs>
          <w:tab w:val="left" w:pos="709"/>
        </w:tabs>
        <w:spacing w:line="360" w:lineRule="auto"/>
        <w:ind w:left="0" w:firstLine="720"/>
        <w:jc w:val="both"/>
        <w:rPr>
          <w:strike/>
          <w:szCs w:val="24"/>
        </w:rPr>
      </w:pPr>
      <w:r w:rsidRPr="009D040C">
        <w:rPr>
          <w:rFonts w:eastAsia="Calibri"/>
          <w:bCs/>
          <w:szCs w:val="24"/>
        </w:rPr>
        <w:t>„</w:t>
      </w:r>
      <w:r w:rsidRPr="009D040C">
        <w:rPr>
          <w:rFonts w:eastAsia="Calibri"/>
          <w:bCs/>
          <w:strike/>
          <w:szCs w:val="24"/>
        </w:rPr>
        <w:t>16.1. p</w:t>
      </w:r>
      <w:r w:rsidRPr="009D040C">
        <w:rPr>
          <w:strike/>
          <w:szCs w:val="24"/>
        </w:rPr>
        <w:t xml:space="preserve">riemokos Įstaigų vadovams už papildomą darbo krūvį, kai yra padidėjęs darbų mastas, atliekant pareigybės aprašyme nustatytas funkcijas, bet neviršijama nustatyta darbo laiko trukmė, </w:t>
      </w:r>
      <w:r w:rsidRPr="009D040C">
        <w:rPr>
          <w:bCs/>
          <w:strike/>
          <w:szCs w:val="24"/>
          <w:lang w:eastAsia="lt-LT"/>
        </w:rPr>
        <w:t xml:space="preserve">už pavadavimą, kai raštu pavedama laikinai atlikti kito darbuotojo funkcijas </w:t>
      </w:r>
      <w:r w:rsidRPr="009D040C">
        <w:rPr>
          <w:strike/>
          <w:szCs w:val="24"/>
        </w:rPr>
        <w:t>ar už papildomų pareigų ar užduočių, nenustatytų pareigybės aprašyme ir suformuluotų raštu, vykdymą gali siekti iki 30 procentų pareiginės algos pastoviosios dalies dydžio;</w:t>
      </w:r>
    </w:p>
    <w:p w14:paraId="7F4DE815" w14:textId="6D0CED98" w:rsidR="008C7F69" w:rsidRPr="009D040C" w:rsidRDefault="008C7F69" w:rsidP="00276690">
      <w:pPr>
        <w:pStyle w:val="Sraopastraipa"/>
        <w:tabs>
          <w:tab w:val="left" w:pos="993"/>
        </w:tabs>
        <w:spacing w:line="360" w:lineRule="auto"/>
        <w:ind w:left="0" w:firstLine="720"/>
        <w:jc w:val="both"/>
        <w:rPr>
          <w:b/>
          <w:szCs w:val="24"/>
        </w:rPr>
      </w:pPr>
      <w:r w:rsidRPr="009D040C">
        <w:rPr>
          <w:rFonts w:eastAsia="Calibri"/>
          <w:b/>
          <w:bCs/>
          <w:szCs w:val="24"/>
        </w:rPr>
        <w:t xml:space="preserve">16.1. Įstaigų vadovams, atsižvelgiant į </w:t>
      </w:r>
      <w:r w:rsidRPr="009D040C">
        <w:rPr>
          <w:b/>
          <w:color w:val="000000"/>
          <w:spacing w:val="2"/>
          <w:szCs w:val="24"/>
        </w:rPr>
        <w:t xml:space="preserve">atliekamų funkcijų ar užduočių </w:t>
      </w:r>
      <w:r w:rsidRPr="009D040C">
        <w:rPr>
          <w:b/>
          <w:spacing w:val="2"/>
          <w:szCs w:val="24"/>
        </w:rPr>
        <w:t>sudėtingumą, mastą ir pobūdį, gali būti skiriamos šios priemokos</w:t>
      </w:r>
      <w:r w:rsidRPr="009D040C">
        <w:rPr>
          <w:b/>
          <w:szCs w:val="24"/>
        </w:rPr>
        <w:t>:</w:t>
      </w:r>
    </w:p>
    <w:p w14:paraId="022BB3DA" w14:textId="77777777" w:rsidR="008C7F69" w:rsidRPr="009D040C" w:rsidRDefault="008C7F69" w:rsidP="00276690">
      <w:pPr>
        <w:pStyle w:val="Sraopastraipa"/>
        <w:tabs>
          <w:tab w:val="left" w:pos="993"/>
        </w:tabs>
        <w:spacing w:line="360" w:lineRule="auto"/>
        <w:ind w:left="0" w:firstLine="720"/>
        <w:jc w:val="both"/>
        <w:rPr>
          <w:b/>
          <w:szCs w:val="24"/>
        </w:rPr>
      </w:pPr>
      <w:r w:rsidRPr="009D040C">
        <w:rPr>
          <w:b/>
          <w:szCs w:val="24"/>
        </w:rPr>
        <w:lastRenderedPageBreak/>
        <w:t xml:space="preserve">16.1.1. </w:t>
      </w:r>
      <w:r w:rsidRPr="009D040C">
        <w:rPr>
          <w:b/>
          <w:bCs/>
          <w:szCs w:val="24"/>
        </w:rPr>
        <w:t>už papildomą darbo krūvį, kai yra padidėjęs darbų mastas, atliekant pareigybės aprašyme nustatytas funkcijas, bet neviršijama nustatyta darbo laiko trukmė;</w:t>
      </w:r>
    </w:p>
    <w:p w14:paraId="53CE3CF8" w14:textId="77777777" w:rsidR="008C7F69" w:rsidRPr="009D040C" w:rsidRDefault="008C7F69" w:rsidP="00276690">
      <w:pPr>
        <w:pStyle w:val="Sraopastraipa"/>
        <w:tabs>
          <w:tab w:val="left" w:pos="993"/>
        </w:tabs>
        <w:spacing w:line="360" w:lineRule="auto"/>
        <w:ind w:left="0" w:firstLine="720"/>
        <w:jc w:val="both"/>
        <w:rPr>
          <w:b/>
          <w:bCs/>
          <w:szCs w:val="24"/>
        </w:rPr>
      </w:pPr>
      <w:r w:rsidRPr="009D040C">
        <w:rPr>
          <w:b/>
          <w:bCs/>
          <w:szCs w:val="24"/>
        </w:rPr>
        <w:t>16.1.2. už pavadavimą, kai raštu pavedama laikinai atlikti kito darbuotojo pareigybei nustatytas funkcijas;</w:t>
      </w:r>
    </w:p>
    <w:p w14:paraId="13BB4809" w14:textId="77777777" w:rsidR="008C7F69" w:rsidRPr="009D040C" w:rsidRDefault="008C7F69" w:rsidP="00276690">
      <w:pPr>
        <w:pStyle w:val="Sraopastraipa"/>
        <w:tabs>
          <w:tab w:val="left" w:pos="993"/>
        </w:tabs>
        <w:spacing w:line="360" w:lineRule="auto"/>
        <w:ind w:left="0" w:firstLine="720"/>
        <w:jc w:val="both"/>
        <w:rPr>
          <w:b/>
          <w:bCs/>
          <w:szCs w:val="24"/>
        </w:rPr>
      </w:pPr>
      <w:r w:rsidRPr="009D040C">
        <w:rPr>
          <w:b/>
          <w:bCs/>
          <w:szCs w:val="24"/>
        </w:rPr>
        <w:t>16.1.</w:t>
      </w:r>
      <w:r w:rsidRPr="009D040C">
        <w:rPr>
          <w:b/>
          <w:szCs w:val="24"/>
        </w:rPr>
        <w:t xml:space="preserve">3. </w:t>
      </w:r>
      <w:r w:rsidRPr="009D040C">
        <w:rPr>
          <w:b/>
          <w:bCs/>
          <w:szCs w:val="24"/>
        </w:rPr>
        <w:t>už papildomų funkcijų ar užduočių, nenustatytų pareigybės aprašyme ir suformuluotų raštu, vykdymą;</w:t>
      </w:r>
    </w:p>
    <w:p w14:paraId="4ADC0372" w14:textId="77777777" w:rsidR="00506DE1" w:rsidRPr="009D040C" w:rsidRDefault="008C7F69" w:rsidP="00276690">
      <w:pPr>
        <w:pStyle w:val="Sraopastraipa"/>
        <w:tabs>
          <w:tab w:val="left" w:pos="993"/>
        </w:tabs>
        <w:spacing w:line="360" w:lineRule="auto"/>
        <w:ind w:left="0" w:firstLine="720"/>
        <w:jc w:val="both"/>
        <w:rPr>
          <w:rFonts w:eastAsia="Calibri"/>
          <w:b/>
          <w:bCs/>
          <w:szCs w:val="24"/>
        </w:rPr>
      </w:pPr>
      <w:r w:rsidRPr="009D040C">
        <w:rPr>
          <w:b/>
          <w:bCs/>
          <w:szCs w:val="24"/>
        </w:rPr>
        <w:t>16.1.4. už darbą, esant nukrypimų nuo normalių darbo sąlygų.“.</w:t>
      </w:r>
    </w:p>
    <w:p w14:paraId="2B1ACED6" w14:textId="77777777" w:rsidR="009D040C" w:rsidRDefault="008C7F69" w:rsidP="009D040C">
      <w:pPr>
        <w:pStyle w:val="Sraopastraipa"/>
        <w:numPr>
          <w:ilvl w:val="0"/>
          <w:numId w:val="19"/>
        </w:numPr>
        <w:tabs>
          <w:tab w:val="left" w:pos="993"/>
        </w:tabs>
        <w:spacing w:line="360" w:lineRule="auto"/>
        <w:ind w:left="0" w:firstLine="720"/>
        <w:jc w:val="both"/>
        <w:rPr>
          <w:rFonts w:eastAsia="Calibri"/>
          <w:bCs/>
          <w:szCs w:val="24"/>
        </w:rPr>
      </w:pPr>
      <w:r w:rsidRPr="00276690">
        <w:rPr>
          <w:rFonts w:eastAsia="Calibri"/>
          <w:bCs/>
          <w:szCs w:val="24"/>
        </w:rPr>
        <w:t>16.2 papunktį ir išdėstyti jį taip:</w:t>
      </w:r>
    </w:p>
    <w:p w14:paraId="1FE87325" w14:textId="2C53661C" w:rsidR="009D040C" w:rsidRPr="009D040C" w:rsidRDefault="009D040C" w:rsidP="009D040C">
      <w:pPr>
        <w:pStyle w:val="Sraopastraipa"/>
        <w:tabs>
          <w:tab w:val="left" w:pos="993"/>
        </w:tabs>
        <w:spacing w:line="360" w:lineRule="auto"/>
        <w:ind w:left="0" w:firstLine="720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„</w:t>
      </w:r>
      <w:r w:rsidRPr="009D040C">
        <w:rPr>
          <w:strike/>
          <w:szCs w:val="24"/>
        </w:rPr>
        <w:t>16.2. priemokų ir pareiginės algos kintamosios dalies suma negali viršyti 60 procentų nustatytos pareiginės algos pastoviosios dalies dydžio;</w:t>
      </w:r>
    </w:p>
    <w:p w14:paraId="2F23282A" w14:textId="2403CE97" w:rsidR="00506DE1" w:rsidRPr="000C49AD" w:rsidRDefault="00506DE1" w:rsidP="00276690">
      <w:pPr>
        <w:pStyle w:val="Sraopastraipa"/>
        <w:tabs>
          <w:tab w:val="left" w:pos="993"/>
        </w:tabs>
        <w:spacing w:line="360" w:lineRule="auto"/>
        <w:ind w:left="0" w:firstLine="720"/>
        <w:jc w:val="both"/>
        <w:rPr>
          <w:b/>
          <w:bCs/>
          <w:szCs w:val="24"/>
          <w:shd w:val="clear" w:color="auto" w:fill="FFFFFF"/>
        </w:rPr>
      </w:pPr>
      <w:r w:rsidRPr="000C49AD">
        <w:rPr>
          <w:rFonts w:eastAsia="Calibri"/>
          <w:b/>
          <w:bCs/>
          <w:szCs w:val="24"/>
        </w:rPr>
        <w:t xml:space="preserve">16.2. </w:t>
      </w:r>
      <w:r w:rsidRPr="000C49AD">
        <w:rPr>
          <w:b/>
          <w:color w:val="000000"/>
          <w:spacing w:val="2"/>
          <w:szCs w:val="24"/>
        </w:rPr>
        <w:t>16.1.1–16.1.3 papunkčiuose nustatytos priemokos gali siekti iki 30 procentų pareiginės algos pastoviosios dalies dydžio</w:t>
      </w:r>
      <w:r w:rsidRPr="000C49AD">
        <w:rPr>
          <w:b/>
          <w:spacing w:val="2"/>
          <w:szCs w:val="24"/>
        </w:rPr>
        <w:t xml:space="preserve"> ir gali būti skiriamos ne ilgiau kaip iki kalendorinių metų pabaigos</w:t>
      </w:r>
      <w:r w:rsidRPr="000C49AD">
        <w:rPr>
          <w:b/>
          <w:color w:val="000000"/>
          <w:spacing w:val="2"/>
          <w:szCs w:val="24"/>
        </w:rPr>
        <w:t xml:space="preserve">. Šių </w:t>
      </w:r>
      <w:r w:rsidRPr="000C49AD">
        <w:rPr>
          <w:b/>
          <w:bCs/>
          <w:szCs w:val="24"/>
        </w:rPr>
        <w:t>priemokų ir pareiginės algos kintamosios dalies suma negali viršyti 60 procentų nustatytos pareiginės algos pastoviosios dalies dydžio.</w:t>
      </w:r>
      <w:r w:rsidR="004242AB" w:rsidRPr="000C49AD">
        <w:rPr>
          <w:b/>
          <w:bCs/>
          <w:szCs w:val="24"/>
        </w:rPr>
        <w:t xml:space="preserve"> 16.1.</w:t>
      </w:r>
      <w:r w:rsidRPr="000C49AD">
        <w:rPr>
          <w:b/>
          <w:bCs/>
          <w:szCs w:val="24"/>
        </w:rPr>
        <w:t xml:space="preserve">4 </w:t>
      </w:r>
      <w:r w:rsidR="004242AB" w:rsidRPr="000C49AD">
        <w:rPr>
          <w:b/>
          <w:bCs/>
          <w:szCs w:val="24"/>
        </w:rPr>
        <w:t xml:space="preserve">papunktyje </w:t>
      </w:r>
      <w:r w:rsidRPr="000C49AD">
        <w:rPr>
          <w:b/>
          <w:bCs/>
          <w:szCs w:val="24"/>
        </w:rPr>
        <w:t>nustatyta priemoka gali siekti iki 20 procentų pareiginės algos pastoviosios dalies dydžio ir gali būti skiriama iki darbo, esant nukrypimų nuo normalių darbo sąlygų, pabaigos</w:t>
      </w:r>
      <w:r w:rsidR="004242AB" w:rsidRPr="000C49AD">
        <w:rPr>
          <w:b/>
          <w:bCs/>
          <w:szCs w:val="24"/>
        </w:rPr>
        <w:t>. 16.1.4 pa</w:t>
      </w:r>
      <w:r w:rsidRPr="000C49AD">
        <w:rPr>
          <w:b/>
          <w:color w:val="000000"/>
          <w:szCs w:val="24"/>
        </w:rPr>
        <w:t>punkt</w:t>
      </w:r>
      <w:r w:rsidR="004242AB" w:rsidRPr="000C49AD">
        <w:rPr>
          <w:b/>
          <w:color w:val="000000"/>
          <w:szCs w:val="24"/>
        </w:rPr>
        <w:t>yje</w:t>
      </w:r>
      <w:r w:rsidRPr="000C49AD">
        <w:rPr>
          <w:b/>
          <w:color w:val="000000"/>
          <w:szCs w:val="24"/>
        </w:rPr>
        <w:t xml:space="preserve"> nustatyta priemoka neskiriama, jei </w:t>
      </w:r>
      <w:r w:rsidR="004242AB" w:rsidRPr="000C49AD">
        <w:rPr>
          <w:b/>
          <w:color w:val="000000"/>
          <w:szCs w:val="24"/>
        </w:rPr>
        <w:t>Įstaigos vadovui</w:t>
      </w:r>
      <w:r w:rsidRPr="000C49AD">
        <w:rPr>
          <w:b/>
          <w:color w:val="000000"/>
          <w:szCs w:val="24"/>
        </w:rPr>
        <w:t xml:space="preserve"> karantino metu taikomi specialiuose įstatymuose </w:t>
      </w:r>
      <w:r w:rsidRPr="000C49AD">
        <w:rPr>
          <w:b/>
          <w:bCs/>
          <w:szCs w:val="24"/>
          <w:shd w:val="clear" w:color="auto" w:fill="FFFFFF"/>
        </w:rPr>
        <w:t>nustatyti darbo apmokėjimo dydžiai</w:t>
      </w:r>
      <w:r w:rsidR="004242AB" w:rsidRPr="000C49AD">
        <w:rPr>
          <w:b/>
          <w:bCs/>
          <w:szCs w:val="24"/>
          <w:shd w:val="clear" w:color="auto" w:fill="FFFFFF"/>
        </w:rPr>
        <w:t>;“.</w:t>
      </w:r>
    </w:p>
    <w:p w14:paraId="47467F7B" w14:textId="13EC3595" w:rsidR="004242AB" w:rsidRDefault="004242AB" w:rsidP="00276690">
      <w:pPr>
        <w:pStyle w:val="Sraopastraipa"/>
        <w:numPr>
          <w:ilvl w:val="0"/>
          <w:numId w:val="19"/>
        </w:numPr>
        <w:tabs>
          <w:tab w:val="left" w:pos="993"/>
        </w:tabs>
        <w:spacing w:line="360" w:lineRule="auto"/>
        <w:ind w:left="0" w:firstLine="720"/>
        <w:jc w:val="both"/>
        <w:rPr>
          <w:bCs/>
          <w:szCs w:val="24"/>
          <w:shd w:val="clear" w:color="auto" w:fill="FFFFFF"/>
        </w:rPr>
      </w:pPr>
      <w:r w:rsidRPr="00276690">
        <w:rPr>
          <w:bCs/>
          <w:szCs w:val="24"/>
          <w:shd w:val="clear" w:color="auto" w:fill="FFFFFF"/>
        </w:rPr>
        <w:t>17 punktą ir išdėstyti jį taip:</w:t>
      </w:r>
    </w:p>
    <w:p w14:paraId="77ECD757" w14:textId="48E0F58F" w:rsidR="009D040C" w:rsidRPr="009D040C" w:rsidRDefault="009D040C" w:rsidP="009D040C">
      <w:pPr>
        <w:pStyle w:val="Sraopastraipa"/>
        <w:spacing w:line="360" w:lineRule="auto"/>
        <w:ind w:left="0" w:firstLine="720"/>
        <w:jc w:val="both"/>
        <w:rPr>
          <w:szCs w:val="24"/>
        </w:rPr>
      </w:pPr>
      <w:r>
        <w:rPr>
          <w:szCs w:val="24"/>
        </w:rPr>
        <w:t>„</w:t>
      </w:r>
      <w:r w:rsidRPr="009D040C">
        <w:rPr>
          <w:szCs w:val="24"/>
        </w:rPr>
        <w:t xml:space="preserve">17. </w:t>
      </w:r>
      <w:r w:rsidRPr="009D040C">
        <w:rPr>
          <w:bCs/>
          <w:szCs w:val="24"/>
        </w:rPr>
        <w:t>M</w:t>
      </w:r>
      <w:r w:rsidRPr="009D040C">
        <w:rPr>
          <w:szCs w:val="24"/>
        </w:rPr>
        <w:t>okėjimas už darbą poilsio ir švenčių dienomis, nakties ir viršvalandinį darbą</w:t>
      </w:r>
      <w:r w:rsidRPr="009D040C">
        <w:rPr>
          <w:strike/>
          <w:szCs w:val="24"/>
        </w:rPr>
        <w:t>, budėjimą ir darbą, esant nukrypimų nuo normalių darbo sąlygų</w:t>
      </w:r>
      <w:r w:rsidRPr="009D040C">
        <w:rPr>
          <w:szCs w:val="24"/>
        </w:rPr>
        <w:t>:</w:t>
      </w:r>
      <w:r>
        <w:rPr>
          <w:szCs w:val="24"/>
        </w:rPr>
        <w:t>“.</w:t>
      </w:r>
    </w:p>
    <w:p w14:paraId="2C6EA520" w14:textId="69A55EE0" w:rsidR="008656BB" w:rsidRPr="00276690" w:rsidRDefault="008656BB" w:rsidP="00276690">
      <w:pPr>
        <w:pStyle w:val="Sraopastraipa"/>
        <w:numPr>
          <w:ilvl w:val="0"/>
          <w:numId w:val="19"/>
        </w:numPr>
        <w:tabs>
          <w:tab w:val="left" w:pos="993"/>
        </w:tabs>
        <w:spacing w:line="360" w:lineRule="auto"/>
        <w:ind w:left="0" w:firstLine="720"/>
        <w:jc w:val="both"/>
        <w:rPr>
          <w:rFonts w:eastAsia="Calibri"/>
          <w:szCs w:val="24"/>
        </w:rPr>
      </w:pPr>
      <w:r w:rsidRPr="00276690">
        <w:rPr>
          <w:rFonts w:eastAsia="Calibri"/>
          <w:szCs w:val="24"/>
        </w:rPr>
        <w:t xml:space="preserve">1 priedą ir išdėstyti jį taip: </w:t>
      </w:r>
    </w:p>
    <w:p w14:paraId="2BC18FCC" w14:textId="77777777" w:rsidR="008656BB" w:rsidRPr="00276690" w:rsidRDefault="008656BB" w:rsidP="00276690">
      <w:pPr>
        <w:pStyle w:val="Sraopastraipa"/>
        <w:ind w:left="5760"/>
        <w:rPr>
          <w:szCs w:val="24"/>
        </w:rPr>
      </w:pPr>
      <w:r w:rsidRPr="00276690">
        <w:rPr>
          <w:rFonts w:eastAsia="Calibri"/>
          <w:szCs w:val="24"/>
        </w:rPr>
        <w:t>„</w:t>
      </w:r>
      <w:r w:rsidRPr="00276690">
        <w:rPr>
          <w:szCs w:val="24"/>
        </w:rPr>
        <w:t>Panevėžio miesto savivaldybės biudžetinių įstaigų vadovų darbo apmokėjimo sistemos</w:t>
      </w:r>
    </w:p>
    <w:p w14:paraId="3BB6506A" w14:textId="77777777" w:rsidR="008656BB" w:rsidRPr="00276690" w:rsidRDefault="008656BB" w:rsidP="00276690">
      <w:pPr>
        <w:pStyle w:val="Sraopastraipa"/>
        <w:ind w:left="5760"/>
        <w:rPr>
          <w:szCs w:val="24"/>
        </w:rPr>
      </w:pPr>
      <w:r w:rsidRPr="00276690">
        <w:rPr>
          <w:szCs w:val="24"/>
        </w:rPr>
        <w:t>1 priedas</w:t>
      </w:r>
    </w:p>
    <w:p w14:paraId="5C37BB09" w14:textId="77777777" w:rsidR="008656BB" w:rsidRPr="00AA0BE9" w:rsidRDefault="008656BB" w:rsidP="008656BB">
      <w:pPr>
        <w:ind w:left="5103"/>
        <w:rPr>
          <w:b/>
          <w:szCs w:val="24"/>
        </w:rPr>
      </w:pPr>
    </w:p>
    <w:p w14:paraId="610F41E0" w14:textId="77777777" w:rsidR="008656BB" w:rsidRPr="00276690" w:rsidRDefault="008656BB" w:rsidP="00276690">
      <w:pPr>
        <w:pStyle w:val="Sraopastraipa"/>
        <w:ind w:left="0"/>
        <w:jc w:val="center"/>
        <w:rPr>
          <w:b/>
          <w:szCs w:val="24"/>
        </w:rPr>
      </w:pPr>
      <w:r w:rsidRPr="00276690">
        <w:rPr>
          <w:b/>
          <w:szCs w:val="24"/>
        </w:rPr>
        <w:t>ĮSTAIGŲ VADOVŲ, IŠSKYRUS MOKYKLŲ VADOVUS, PAREIGINĖS ALGOS PASTOVIOSIOS DALIES KOEFICIENTAI</w:t>
      </w:r>
    </w:p>
    <w:p w14:paraId="215F2703" w14:textId="77777777" w:rsidR="008656BB" w:rsidRPr="00AA0BE9" w:rsidRDefault="008656BB" w:rsidP="00276690">
      <w:pPr>
        <w:jc w:val="center"/>
        <w:rPr>
          <w:b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7"/>
        <w:gridCol w:w="3383"/>
        <w:gridCol w:w="2928"/>
      </w:tblGrid>
      <w:tr w:rsidR="004242AB" w:rsidRPr="00AA0BE9" w14:paraId="61133A6D" w14:textId="77777777" w:rsidTr="000815B5">
        <w:trPr>
          <w:trHeight w:val="414"/>
          <w:jc w:val="center"/>
        </w:trPr>
        <w:tc>
          <w:tcPr>
            <w:tcW w:w="1674" w:type="pct"/>
            <w:vMerge w:val="restart"/>
            <w:vAlign w:val="center"/>
          </w:tcPr>
          <w:p w14:paraId="786361F8" w14:textId="77777777" w:rsidR="004242AB" w:rsidRPr="00276690" w:rsidRDefault="004242AB" w:rsidP="00D71937">
            <w:pPr>
              <w:jc w:val="center"/>
              <w:rPr>
                <w:b/>
                <w:szCs w:val="24"/>
              </w:rPr>
            </w:pPr>
            <w:r w:rsidRPr="00276690">
              <w:rPr>
                <w:szCs w:val="24"/>
              </w:rPr>
              <w:t>Savivaldybės įstaigų grupė</w:t>
            </w:r>
          </w:p>
        </w:tc>
        <w:tc>
          <w:tcPr>
            <w:tcW w:w="1783" w:type="pct"/>
            <w:vMerge w:val="restart"/>
            <w:vAlign w:val="center"/>
          </w:tcPr>
          <w:p w14:paraId="17B2614E" w14:textId="77777777" w:rsidR="004242AB" w:rsidRPr="00276690" w:rsidRDefault="004242AB" w:rsidP="00D71937">
            <w:pPr>
              <w:jc w:val="center"/>
              <w:rPr>
                <w:b/>
                <w:szCs w:val="24"/>
              </w:rPr>
            </w:pPr>
            <w:r w:rsidRPr="00276690">
              <w:rPr>
                <w:szCs w:val="24"/>
              </w:rPr>
              <w:t>Vadovaujamo darbo</w:t>
            </w:r>
          </w:p>
          <w:p w14:paraId="314BAAB4" w14:textId="77777777" w:rsidR="004242AB" w:rsidRPr="00276690" w:rsidRDefault="004242AB" w:rsidP="00D71937">
            <w:pPr>
              <w:jc w:val="center"/>
              <w:rPr>
                <w:b/>
                <w:szCs w:val="24"/>
              </w:rPr>
            </w:pPr>
            <w:r w:rsidRPr="00276690">
              <w:rPr>
                <w:szCs w:val="24"/>
              </w:rPr>
              <w:t>patirtis</w:t>
            </w:r>
          </w:p>
          <w:p w14:paraId="3EE08C2A" w14:textId="77777777" w:rsidR="004242AB" w:rsidRPr="00276690" w:rsidRDefault="004242AB" w:rsidP="00D71937">
            <w:pPr>
              <w:jc w:val="center"/>
              <w:rPr>
                <w:b/>
                <w:szCs w:val="24"/>
              </w:rPr>
            </w:pPr>
            <w:r w:rsidRPr="00276690">
              <w:rPr>
                <w:szCs w:val="24"/>
              </w:rPr>
              <w:t>(metais)</w:t>
            </w:r>
          </w:p>
        </w:tc>
        <w:tc>
          <w:tcPr>
            <w:tcW w:w="1543" w:type="pct"/>
            <w:vMerge w:val="restart"/>
            <w:vAlign w:val="center"/>
          </w:tcPr>
          <w:p w14:paraId="476DF9C1" w14:textId="77777777" w:rsidR="004242AB" w:rsidRPr="00276690" w:rsidRDefault="004242AB" w:rsidP="00D71937">
            <w:pPr>
              <w:jc w:val="center"/>
              <w:rPr>
                <w:szCs w:val="24"/>
              </w:rPr>
            </w:pPr>
            <w:r w:rsidRPr="00276690">
              <w:rPr>
                <w:szCs w:val="24"/>
              </w:rPr>
              <w:t>Pastoviosios dalies koeficientai (pareiginės algos baziniais dydžiais)</w:t>
            </w:r>
          </w:p>
        </w:tc>
      </w:tr>
      <w:tr w:rsidR="004242AB" w:rsidRPr="00AA0BE9" w14:paraId="27D9B865" w14:textId="77777777" w:rsidTr="000815B5">
        <w:trPr>
          <w:trHeight w:val="562"/>
          <w:jc w:val="center"/>
        </w:trPr>
        <w:tc>
          <w:tcPr>
            <w:tcW w:w="1674" w:type="pct"/>
            <w:vMerge/>
            <w:vAlign w:val="center"/>
          </w:tcPr>
          <w:p w14:paraId="39B55538" w14:textId="77777777" w:rsidR="004242AB" w:rsidRPr="00276690" w:rsidRDefault="004242AB" w:rsidP="00D7193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83" w:type="pct"/>
            <w:vMerge/>
            <w:vAlign w:val="center"/>
          </w:tcPr>
          <w:p w14:paraId="7C931537" w14:textId="77777777" w:rsidR="004242AB" w:rsidRPr="00276690" w:rsidRDefault="004242AB" w:rsidP="00D71937">
            <w:pPr>
              <w:jc w:val="center"/>
              <w:rPr>
                <w:b/>
                <w:szCs w:val="24"/>
              </w:rPr>
            </w:pPr>
          </w:p>
        </w:tc>
        <w:tc>
          <w:tcPr>
            <w:tcW w:w="1543" w:type="pct"/>
            <w:vMerge/>
            <w:vAlign w:val="center"/>
          </w:tcPr>
          <w:p w14:paraId="31A1D0F3" w14:textId="77777777" w:rsidR="004242AB" w:rsidRPr="00276690" w:rsidRDefault="004242AB" w:rsidP="00D71937">
            <w:pPr>
              <w:jc w:val="center"/>
              <w:rPr>
                <w:szCs w:val="24"/>
              </w:rPr>
            </w:pPr>
          </w:p>
        </w:tc>
      </w:tr>
      <w:tr w:rsidR="004242AB" w:rsidRPr="00AA0BE9" w14:paraId="6062A965" w14:textId="77777777" w:rsidTr="000815B5">
        <w:trPr>
          <w:trHeight w:val="343"/>
          <w:jc w:val="center"/>
        </w:trPr>
        <w:tc>
          <w:tcPr>
            <w:tcW w:w="1674" w:type="pct"/>
            <w:vMerge w:val="restart"/>
            <w:vAlign w:val="center"/>
          </w:tcPr>
          <w:p w14:paraId="6683C46B" w14:textId="77777777" w:rsidR="004242AB" w:rsidRPr="00276690" w:rsidRDefault="004242AB" w:rsidP="00D71937">
            <w:pPr>
              <w:jc w:val="center"/>
              <w:rPr>
                <w:b/>
                <w:szCs w:val="24"/>
              </w:rPr>
            </w:pPr>
            <w:r w:rsidRPr="00276690">
              <w:rPr>
                <w:szCs w:val="24"/>
              </w:rPr>
              <w:t>I grupė</w:t>
            </w:r>
          </w:p>
          <w:p w14:paraId="681332E2" w14:textId="77777777" w:rsidR="004242AB" w:rsidRPr="00276690" w:rsidRDefault="004242AB" w:rsidP="00D71937">
            <w:pPr>
              <w:jc w:val="center"/>
              <w:rPr>
                <w:b/>
                <w:szCs w:val="24"/>
              </w:rPr>
            </w:pPr>
            <w:r w:rsidRPr="00276690">
              <w:rPr>
                <w:szCs w:val="24"/>
              </w:rPr>
              <w:t>(201 ir daugiau pareigybių)</w:t>
            </w:r>
          </w:p>
        </w:tc>
        <w:tc>
          <w:tcPr>
            <w:tcW w:w="1783" w:type="pct"/>
            <w:vAlign w:val="center"/>
          </w:tcPr>
          <w:p w14:paraId="4393E52A" w14:textId="77777777" w:rsidR="004242AB" w:rsidRPr="00276690" w:rsidRDefault="004242AB" w:rsidP="00D71937">
            <w:pPr>
              <w:tabs>
                <w:tab w:val="left" w:pos="468"/>
                <w:tab w:val="center" w:pos="1094"/>
              </w:tabs>
              <w:jc w:val="center"/>
              <w:rPr>
                <w:b/>
                <w:szCs w:val="24"/>
              </w:rPr>
            </w:pPr>
            <w:r w:rsidRPr="00276690">
              <w:rPr>
                <w:szCs w:val="24"/>
              </w:rPr>
              <w:t>iki 5</w:t>
            </w:r>
          </w:p>
        </w:tc>
        <w:tc>
          <w:tcPr>
            <w:tcW w:w="1543" w:type="pct"/>
            <w:vAlign w:val="center"/>
          </w:tcPr>
          <w:p w14:paraId="3D65917B" w14:textId="7C8AE230" w:rsidR="00D71937" w:rsidRPr="00D71937" w:rsidRDefault="00D71937" w:rsidP="00D71937">
            <w:pPr>
              <w:jc w:val="center"/>
              <w:rPr>
                <w:b/>
                <w:strike/>
                <w:color w:val="000000"/>
                <w:szCs w:val="24"/>
              </w:rPr>
            </w:pPr>
            <w:r w:rsidRPr="00D71937">
              <w:rPr>
                <w:bCs/>
                <w:strike/>
                <w:color w:val="000000"/>
                <w:szCs w:val="24"/>
                <w:lang w:eastAsia="lt-LT"/>
              </w:rPr>
              <w:t>6,72–14,08</w:t>
            </w:r>
          </w:p>
          <w:p w14:paraId="1BCB46AA" w14:textId="7552E093" w:rsidR="004242AB" w:rsidRPr="00D71937" w:rsidRDefault="004242AB" w:rsidP="00D71937">
            <w:pPr>
              <w:jc w:val="center"/>
              <w:rPr>
                <w:b/>
                <w:szCs w:val="24"/>
              </w:rPr>
            </w:pPr>
            <w:r w:rsidRPr="00D71937">
              <w:rPr>
                <w:b/>
                <w:color w:val="000000"/>
                <w:szCs w:val="24"/>
              </w:rPr>
              <w:t>7,1–14,1</w:t>
            </w:r>
          </w:p>
        </w:tc>
      </w:tr>
      <w:tr w:rsidR="004242AB" w:rsidRPr="00AA0BE9" w14:paraId="07892F6D" w14:textId="77777777" w:rsidTr="000815B5">
        <w:trPr>
          <w:trHeight w:val="323"/>
          <w:jc w:val="center"/>
        </w:trPr>
        <w:tc>
          <w:tcPr>
            <w:tcW w:w="1674" w:type="pct"/>
            <w:vMerge/>
            <w:vAlign w:val="center"/>
          </w:tcPr>
          <w:p w14:paraId="44096607" w14:textId="77777777" w:rsidR="004242AB" w:rsidRPr="00276690" w:rsidRDefault="004242AB" w:rsidP="00D7193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83" w:type="pct"/>
            <w:vAlign w:val="center"/>
          </w:tcPr>
          <w:p w14:paraId="379BE852" w14:textId="122B6A43" w:rsidR="004242AB" w:rsidRPr="00276690" w:rsidRDefault="004242AB" w:rsidP="00D71937">
            <w:pPr>
              <w:tabs>
                <w:tab w:val="left" w:pos="468"/>
                <w:tab w:val="center" w:pos="1094"/>
              </w:tabs>
              <w:jc w:val="center"/>
              <w:rPr>
                <w:b/>
                <w:szCs w:val="24"/>
              </w:rPr>
            </w:pPr>
            <w:r w:rsidRPr="00276690">
              <w:rPr>
                <w:szCs w:val="24"/>
              </w:rPr>
              <w:t>nuo daugiau kaip 5 iki 10</w:t>
            </w:r>
          </w:p>
        </w:tc>
        <w:tc>
          <w:tcPr>
            <w:tcW w:w="1543" w:type="pct"/>
            <w:vAlign w:val="center"/>
          </w:tcPr>
          <w:p w14:paraId="771448B7" w14:textId="0BE28AB0" w:rsidR="00D71937" w:rsidRPr="00D71937" w:rsidRDefault="00D71937" w:rsidP="00D71937">
            <w:pPr>
              <w:jc w:val="center"/>
              <w:rPr>
                <w:b/>
                <w:strike/>
                <w:color w:val="000000"/>
                <w:szCs w:val="24"/>
              </w:rPr>
            </w:pPr>
            <w:r w:rsidRPr="00D71937">
              <w:rPr>
                <w:bCs/>
                <w:strike/>
                <w:color w:val="000000"/>
                <w:szCs w:val="24"/>
                <w:lang w:eastAsia="lt-LT"/>
              </w:rPr>
              <w:t>6,86–14,41</w:t>
            </w:r>
          </w:p>
          <w:p w14:paraId="732C5A18" w14:textId="7EE3DFC3" w:rsidR="004242AB" w:rsidRPr="00D71937" w:rsidRDefault="004242AB" w:rsidP="00D71937">
            <w:pPr>
              <w:jc w:val="center"/>
              <w:rPr>
                <w:b/>
                <w:szCs w:val="24"/>
              </w:rPr>
            </w:pPr>
            <w:r w:rsidRPr="00D71937">
              <w:rPr>
                <w:b/>
                <w:color w:val="000000"/>
                <w:szCs w:val="24"/>
              </w:rPr>
              <w:t>7,2–14,5</w:t>
            </w:r>
          </w:p>
        </w:tc>
      </w:tr>
      <w:tr w:rsidR="004242AB" w:rsidRPr="00AA0BE9" w14:paraId="777AACF2" w14:textId="77777777" w:rsidTr="000815B5">
        <w:trPr>
          <w:trHeight w:val="323"/>
          <w:jc w:val="center"/>
        </w:trPr>
        <w:tc>
          <w:tcPr>
            <w:tcW w:w="1674" w:type="pct"/>
            <w:vMerge/>
            <w:vAlign w:val="center"/>
          </w:tcPr>
          <w:p w14:paraId="34ED20DF" w14:textId="77777777" w:rsidR="004242AB" w:rsidRPr="00276690" w:rsidRDefault="004242AB" w:rsidP="00D7193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83" w:type="pct"/>
            <w:vAlign w:val="center"/>
          </w:tcPr>
          <w:p w14:paraId="0812CE4D" w14:textId="77777777" w:rsidR="004242AB" w:rsidRPr="00276690" w:rsidRDefault="004242AB" w:rsidP="00D71937">
            <w:pPr>
              <w:tabs>
                <w:tab w:val="left" w:pos="468"/>
                <w:tab w:val="center" w:pos="1094"/>
              </w:tabs>
              <w:jc w:val="center"/>
              <w:rPr>
                <w:b/>
                <w:szCs w:val="24"/>
              </w:rPr>
            </w:pPr>
            <w:r w:rsidRPr="00276690">
              <w:rPr>
                <w:szCs w:val="24"/>
              </w:rPr>
              <w:t>daugiau kaip 10</w:t>
            </w:r>
          </w:p>
        </w:tc>
        <w:tc>
          <w:tcPr>
            <w:tcW w:w="1543" w:type="pct"/>
            <w:vAlign w:val="center"/>
          </w:tcPr>
          <w:p w14:paraId="3CAD53A9" w14:textId="0FEC1DB9" w:rsidR="00D71937" w:rsidRPr="00D71937" w:rsidRDefault="00D71937" w:rsidP="00D71937">
            <w:pPr>
              <w:tabs>
                <w:tab w:val="center" w:pos="2296"/>
                <w:tab w:val="right" w:pos="4592"/>
              </w:tabs>
              <w:jc w:val="center"/>
              <w:rPr>
                <w:b/>
                <w:strike/>
                <w:color w:val="000000"/>
                <w:szCs w:val="24"/>
              </w:rPr>
            </w:pPr>
            <w:r w:rsidRPr="00D71937">
              <w:rPr>
                <w:bCs/>
                <w:strike/>
                <w:color w:val="000000"/>
                <w:szCs w:val="24"/>
                <w:lang w:eastAsia="lt-LT"/>
              </w:rPr>
              <w:t>7,0–14,74</w:t>
            </w:r>
          </w:p>
          <w:p w14:paraId="548117CB" w14:textId="6F5ACB64" w:rsidR="004242AB" w:rsidRPr="00D71937" w:rsidRDefault="004242AB" w:rsidP="00D71937">
            <w:pPr>
              <w:tabs>
                <w:tab w:val="center" w:pos="2296"/>
                <w:tab w:val="right" w:pos="4592"/>
              </w:tabs>
              <w:jc w:val="center"/>
              <w:rPr>
                <w:b/>
                <w:szCs w:val="24"/>
              </w:rPr>
            </w:pPr>
            <w:r w:rsidRPr="00D71937">
              <w:rPr>
                <w:b/>
                <w:color w:val="000000"/>
                <w:szCs w:val="24"/>
              </w:rPr>
              <w:t>7,3–14,8</w:t>
            </w:r>
          </w:p>
        </w:tc>
      </w:tr>
      <w:tr w:rsidR="004242AB" w:rsidRPr="00AA0BE9" w14:paraId="70FFF773" w14:textId="77777777" w:rsidTr="000815B5">
        <w:trPr>
          <w:trHeight w:val="323"/>
          <w:jc w:val="center"/>
        </w:trPr>
        <w:tc>
          <w:tcPr>
            <w:tcW w:w="1674" w:type="pct"/>
            <w:vMerge w:val="restart"/>
            <w:vAlign w:val="center"/>
          </w:tcPr>
          <w:p w14:paraId="3849B6D3" w14:textId="77777777" w:rsidR="004242AB" w:rsidRPr="00276690" w:rsidRDefault="004242AB" w:rsidP="00D71937">
            <w:pPr>
              <w:jc w:val="center"/>
              <w:rPr>
                <w:b/>
                <w:szCs w:val="24"/>
              </w:rPr>
            </w:pPr>
            <w:r w:rsidRPr="00276690">
              <w:rPr>
                <w:szCs w:val="24"/>
              </w:rPr>
              <w:t>II grupė</w:t>
            </w:r>
          </w:p>
          <w:p w14:paraId="7EF7A0AE" w14:textId="77777777" w:rsidR="004242AB" w:rsidRPr="00276690" w:rsidRDefault="004242AB" w:rsidP="00D71937">
            <w:pPr>
              <w:jc w:val="center"/>
              <w:rPr>
                <w:b/>
                <w:szCs w:val="24"/>
              </w:rPr>
            </w:pPr>
            <w:r w:rsidRPr="00276690">
              <w:rPr>
                <w:szCs w:val="24"/>
              </w:rPr>
              <w:t>(51–200 pareigybių)</w:t>
            </w:r>
          </w:p>
        </w:tc>
        <w:tc>
          <w:tcPr>
            <w:tcW w:w="1783" w:type="pct"/>
            <w:vAlign w:val="center"/>
          </w:tcPr>
          <w:p w14:paraId="7CDC1FDB" w14:textId="77777777" w:rsidR="004242AB" w:rsidRPr="00276690" w:rsidRDefault="004242AB" w:rsidP="00D71937">
            <w:pPr>
              <w:tabs>
                <w:tab w:val="left" w:pos="468"/>
                <w:tab w:val="center" w:pos="1094"/>
              </w:tabs>
              <w:jc w:val="center"/>
              <w:rPr>
                <w:b/>
                <w:szCs w:val="24"/>
              </w:rPr>
            </w:pPr>
            <w:r w:rsidRPr="00276690">
              <w:rPr>
                <w:szCs w:val="24"/>
              </w:rPr>
              <w:t>iki 5</w:t>
            </w:r>
          </w:p>
        </w:tc>
        <w:tc>
          <w:tcPr>
            <w:tcW w:w="1543" w:type="pct"/>
            <w:vAlign w:val="center"/>
          </w:tcPr>
          <w:p w14:paraId="703CF8AD" w14:textId="5E7E07F2" w:rsidR="00D71937" w:rsidRPr="00D71937" w:rsidRDefault="00D71937" w:rsidP="00D71937">
            <w:pPr>
              <w:tabs>
                <w:tab w:val="left" w:pos="192"/>
              </w:tabs>
              <w:jc w:val="center"/>
              <w:rPr>
                <w:b/>
                <w:strike/>
                <w:color w:val="000000"/>
                <w:szCs w:val="24"/>
              </w:rPr>
            </w:pPr>
            <w:r w:rsidRPr="00D71937">
              <w:rPr>
                <w:bCs/>
                <w:strike/>
                <w:color w:val="000000"/>
                <w:szCs w:val="24"/>
                <w:lang w:eastAsia="lt-LT"/>
              </w:rPr>
              <w:t>6,44–13,64</w:t>
            </w:r>
          </w:p>
          <w:p w14:paraId="23BEFD16" w14:textId="090DA5DD" w:rsidR="004242AB" w:rsidRPr="00D71937" w:rsidRDefault="004242AB" w:rsidP="00D71937">
            <w:pPr>
              <w:tabs>
                <w:tab w:val="left" w:pos="192"/>
              </w:tabs>
              <w:jc w:val="center"/>
              <w:rPr>
                <w:b/>
                <w:szCs w:val="24"/>
              </w:rPr>
            </w:pPr>
            <w:r w:rsidRPr="00D71937">
              <w:rPr>
                <w:b/>
                <w:color w:val="000000"/>
                <w:szCs w:val="24"/>
              </w:rPr>
              <w:t>6,8–13,7</w:t>
            </w:r>
          </w:p>
        </w:tc>
      </w:tr>
      <w:tr w:rsidR="004242AB" w:rsidRPr="00AA0BE9" w14:paraId="6CFE7665" w14:textId="77777777" w:rsidTr="000815B5">
        <w:trPr>
          <w:trHeight w:val="323"/>
          <w:jc w:val="center"/>
        </w:trPr>
        <w:tc>
          <w:tcPr>
            <w:tcW w:w="1674" w:type="pct"/>
            <w:vMerge/>
            <w:vAlign w:val="center"/>
          </w:tcPr>
          <w:p w14:paraId="26C4FB67" w14:textId="77777777" w:rsidR="004242AB" w:rsidRPr="00276690" w:rsidRDefault="004242AB" w:rsidP="00D7193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83" w:type="pct"/>
            <w:vAlign w:val="center"/>
          </w:tcPr>
          <w:p w14:paraId="6DED655F" w14:textId="78D5F03B" w:rsidR="004242AB" w:rsidRPr="00276690" w:rsidRDefault="004242AB" w:rsidP="00D71937">
            <w:pPr>
              <w:tabs>
                <w:tab w:val="left" w:pos="468"/>
                <w:tab w:val="center" w:pos="1094"/>
              </w:tabs>
              <w:jc w:val="center"/>
              <w:rPr>
                <w:b/>
                <w:szCs w:val="24"/>
              </w:rPr>
            </w:pPr>
            <w:r w:rsidRPr="00276690">
              <w:rPr>
                <w:szCs w:val="24"/>
              </w:rPr>
              <w:t>nuo daugiau kaip 5 iki 10</w:t>
            </w:r>
          </w:p>
        </w:tc>
        <w:tc>
          <w:tcPr>
            <w:tcW w:w="1543" w:type="pct"/>
            <w:vAlign w:val="center"/>
          </w:tcPr>
          <w:p w14:paraId="2403A5FC" w14:textId="0F21B7DF" w:rsidR="00D71937" w:rsidRPr="00D71937" w:rsidRDefault="00D71937" w:rsidP="00D71937">
            <w:pPr>
              <w:jc w:val="center"/>
              <w:rPr>
                <w:b/>
                <w:strike/>
                <w:color w:val="000000"/>
                <w:szCs w:val="24"/>
              </w:rPr>
            </w:pPr>
            <w:r w:rsidRPr="00D71937">
              <w:rPr>
                <w:bCs/>
                <w:strike/>
                <w:color w:val="000000"/>
                <w:szCs w:val="24"/>
                <w:lang w:eastAsia="lt-LT"/>
              </w:rPr>
              <w:t>6,58–13,86</w:t>
            </w:r>
          </w:p>
          <w:p w14:paraId="4756EE3D" w14:textId="2F9191F1" w:rsidR="004242AB" w:rsidRPr="00D71937" w:rsidRDefault="004242AB" w:rsidP="00D71937">
            <w:pPr>
              <w:jc w:val="center"/>
              <w:rPr>
                <w:b/>
                <w:szCs w:val="24"/>
              </w:rPr>
            </w:pPr>
            <w:r w:rsidRPr="00D71937">
              <w:rPr>
                <w:b/>
                <w:color w:val="000000"/>
                <w:szCs w:val="24"/>
              </w:rPr>
              <w:t>6,9–13,9</w:t>
            </w:r>
          </w:p>
        </w:tc>
      </w:tr>
      <w:tr w:rsidR="004242AB" w:rsidRPr="00AA0BE9" w14:paraId="2D67A229" w14:textId="77777777" w:rsidTr="000815B5">
        <w:trPr>
          <w:trHeight w:val="323"/>
          <w:jc w:val="center"/>
        </w:trPr>
        <w:tc>
          <w:tcPr>
            <w:tcW w:w="1674" w:type="pct"/>
            <w:vMerge/>
            <w:vAlign w:val="center"/>
          </w:tcPr>
          <w:p w14:paraId="7910F188" w14:textId="77777777" w:rsidR="004242AB" w:rsidRPr="00276690" w:rsidRDefault="004242AB" w:rsidP="00D71937">
            <w:pPr>
              <w:jc w:val="center"/>
              <w:rPr>
                <w:b/>
                <w:szCs w:val="24"/>
              </w:rPr>
            </w:pPr>
          </w:p>
        </w:tc>
        <w:tc>
          <w:tcPr>
            <w:tcW w:w="1783" w:type="pct"/>
            <w:vAlign w:val="center"/>
          </w:tcPr>
          <w:p w14:paraId="1A0EDD87" w14:textId="77777777" w:rsidR="004242AB" w:rsidRPr="00276690" w:rsidRDefault="004242AB" w:rsidP="00D71937">
            <w:pPr>
              <w:tabs>
                <w:tab w:val="left" w:pos="468"/>
                <w:tab w:val="center" w:pos="1094"/>
              </w:tabs>
              <w:jc w:val="center"/>
              <w:rPr>
                <w:b/>
                <w:szCs w:val="24"/>
              </w:rPr>
            </w:pPr>
            <w:r w:rsidRPr="00276690">
              <w:rPr>
                <w:szCs w:val="24"/>
              </w:rPr>
              <w:t>daugiau kaip 10</w:t>
            </w:r>
          </w:p>
        </w:tc>
        <w:tc>
          <w:tcPr>
            <w:tcW w:w="1543" w:type="pct"/>
            <w:vAlign w:val="center"/>
          </w:tcPr>
          <w:p w14:paraId="1B979A9D" w14:textId="5F8C9615" w:rsidR="00D71937" w:rsidRPr="00D71937" w:rsidRDefault="00D71937" w:rsidP="00D71937">
            <w:pPr>
              <w:jc w:val="center"/>
              <w:rPr>
                <w:b/>
                <w:strike/>
                <w:szCs w:val="24"/>
              </w:rPr>
            </w:pPr>
            <w:r w:rsidRPr="00D71937">
              <w:rPr>
                <w:bCs/>
                <w:strike/>
                <w:color w:val="000000"/>
                <w:szCs w:val="24"/>
                <w:lang w:eastAsia="lt-LT"/>
              </w:rPr>
              <w:t>6,72–14,08</w:t>
            </w:r>
          </w:p>
          <w:p w14:paraId="475545E8" w14:textId="0FDE9542" w:rsidR="004242AB" w:rsidRPr="00D71937" w:rsidRDefault="004242AB" w:rsidP="00D71937">
            <w:pPr>
              <w:jc w:val="center"/>
              <w:rPr>
                <w:b/>
                <w:szCs w:val="24"/>
              </w:rPr>
            </w:pPr>
            <w:r w:rsidRPr="00D71937">
              <w:rPr>
                <w:b/>
                <w:szCs w:val="24"/>
              </w:rPr>
              <w:t>7–14,1</w:t>
            </w:r>
          </w:p>
        </w:tc>
      </w:tr>
      <w:tr w:rsidR="004242AB" w:rsidRPr="00AA0BE9" w14:paraId="03EAA1E5" w14:textId="77777777" w:rsidTr="000815B5">
        <w:trPr>
          <w:trHeight w:val="271"/>
          <w:jc w:val="center"/>
        </w:trPr>
        <w:tc>
          <w:tcPr>
            <w:tcW w:w="1674" w:type="pct"/>
            <w:vMerge w:val="restart"/>
            <w:vAlign w:val="center"/>
          </w:tcPr>
          <w:p w14:paraId="7BC4C04E" w14:textId="77777777" w:rsidR="004242AB" w:rsidRPr="00276690" w:rsidRDefault="004242AB" w:rsidP="00D71937">
            <w:pPr>
              <w:jc w:val="center"/>
              <w:rPr>
                <w:b/>
                <w:szCs w:val="24"/>
              </w:rPr>
            </w:pPr>
            <w:r w:rsidRPr="00276690">
              <w:rPr>
                <w:szCs w:val="24"/>
              </w:rPr>
              <w:t>III grupė</w:t>
            </w:r>
          </w:p>
          <w:p w14:paraId="46126021" w14:textId="77777777" w:rsidR="004242AB" w:rsidRPr="00276690" w:rsidRDefault="004242AB" w:rsidP="00D71937">
            <w:pPr>
              <w:jc w:val="center"/>
              <w:rPr>
                <w:b/>
                <w:szCs w:val="24"/>
              </w:rPr>
            </w:pPr>
            <w:r w:rsidRPr="00276690">
              <w:rPr>
                <w:szCs w:val="24"/>
              </w:rPr>
              <w:t>(50 ir mažiau pareigybių)</w:t>
            </w:r>
          </w:p>
        </w:tc>
        <w:tc>
          <w:tcPr>
            <w:tcW w:w="1783" w:type="pct"/>
            <w:vAlign w:val="center"/>
          </w:tcPr>
          <w:p w14:paraId="49FEAC20" w14:textId="77777777" w:rsidR="004242AB" w:rsidRPr="00276690" w:rsidRDefault="004242AB" w:rsidP="00D71937">
            <w:pPr>
              <w:tabs>
                <w:tab w:val="left" w:pos="636"/>
              </w:tabs>
              <w:jc w:val="center"/>
              <w:rPr>
                <w:b/>
                <w:szCs w:val="24"/>
              </w:rPr>
            </w:pPr>
            <w:r w:rsidRPr="00276690">
              <w:rPr>
                <w:szCs w:val="24"/>
              </w:rPr>
              <w:t>iki 5</w:t>
            </w:r>
          </w:p>
        </w:tc>
        <w:tc>
          <w:tcPr>
            <w:tcW w:w="1543" w:type="pct"/>
            <w:vAlign w:val="center"/>
          </w:tcPr>
          <w:p w14:paraId="2F668749" w14:textId="0F287982" w:rsidR="00D71937" w:rsidRPr="00D71937" w:rsidRDefault="00D71937" w:rsidP="00D71937">
            <w:pPr>
              <w:tabs>
                <w:tab w:val="center" w:pos="2296"/>
              </w:tabs>
              <w:jc w:val="center"/>
              <w:rPr>
                <w:b/>
                <w:strike/>
                <w:szCs w:val="24"/>
              </w:rPr>
            </w:pPr>
            <w:r w:rsidRPr="00D71937">
              <w:rPr>
                <w:bCs/>
                <w:strike/>
                <w:color w:val="000000"/>
                <w:szCs w:val="24"/>
                <w:lang w:eastAsia="lt-LT"/>
              </w:rPr>
              <w:t>6,16–13,2</w:t>
            </w:r>
          </w:p>
          <w:p w14:paraId="4A1E352B" w14:textId="1C5C97B9" w:rsidR="004242AB" w:rsidRPr="00D71937" w:rsidRDefault="004242AB" w:rsidP="00D71937">
            <w:pPr>
              <w:tabs>
                <w:tab w:val="center" w:pos="2296"/>
              </w:tabs>
              <w:jc w:val="center"/>
              <w:rPr>
                <w:b/>
                <w:szCs w:val="24"/>
              </w:rPr>
            </w:pPr>
            <w:r w:rsidRPr="00D71937">
              <w:rPr>
                <w:b/>
                <w:szCs w:val="24"/>
              </w:rPr>
              <w:t>6,5–13,3</w:t>
            </w:r>
          </w:p>
        </w:tc>
      </w:tr>
      <w:tr w:rsidR="004242AB" w:rsidRPr="00AA0BE9" w14:paraId="72C51090" w14:textId="77777777" w:rsidTr="000815B5">
        <w:trPr>
          <w:trHeight w:val="281"/>
          <w:jc w:val="center"/>
        </w:trPr>
        <w:tc>
          <w:tcPr>
            <w:tcW w:w="1674" w:type="pct"/>
            <w:vMerge/>
            <w:vAlign w:val="center"/>
          </w:tcPr>
          <w:p w14:paraId="5B51778D" w14:textId="77777777" w:rsidR="004242AB" w:rsidRPr="00276690" w:rsidRDefault="004242AB" w:rsidP="00D71937">
            <w:pPr>
              <w:tabs>
                <w:tab w:val="left" w:pos="996"/>
                <w:tab w:val="center" w:pos="1094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783" w:type="pct"/>
            <w:vAlign w:val="center"/>
          </w:tcPr>
          <w:p w14:paraId="5F644040" w14:textId="12082B50" w:rsidR="004242AB" w:rsidRPr="00276690" w:rsidRDefault="004242AB" w:rsidP="00D71937">
            <w:pPr>
              <w:jc w:val="center"/>
              <w:rPr>
                <w:b/>
                <w:szCs w:val="24"/>
              </w:rPr>
            </w:pPr>
            <w:r w:rsidRPr="00276690">
              <w:rPr>
                <w:szCs w:val="24"/>
              </w:rPr>
              <w:t>nuo daugiau kaip 5 iki 10</w:t>
            </w:r>
          </w:p>
        </w:tc>
        <w:tc>
          <w:tcPr>
            <w:tcW w:w="1543" w:type="pct"/>
            <w:vAlign w:val="center"/>
          </w:tcPr>
          <w:p w14:paraId="1ECA3B02" w14:textId="3B15FD2D" w:rsidR="00D71937" w:rsidRPr="00D71937" w:rsidRDefault="00D71937" w:rsidP="00D71937">
            <w:pPr>
              <w:jc w:val="center"/>
              <w:rPr>
                <w:b/>
                <w:strike/>
                <w:color w:val="000000"/>
                <w:szCs w:val="24"/>
              </w:rPr>
            </w:pPr>
            <w:r w:rsidRPr="00D71937">
              <w:rPr>
                <w:bCs/>
                <w:strike/>
                <w:color w:val="000000"/>
                <w:szCs w:val="24"/>
                <w:lang w:eastAsia="lt-LT"/>
              </w:rPr>
              <w:t>6,3–13,42</w:t>
            </w:r>
          </w:p>
          <w:p w14:paraId="2401C3E6" w14:textId="087BF640" w:rsidR="004242AB" w:rsidRPr="00D71937" w:rsidRDefault="004242AB" w:rsidP="00D71937">
            <w:pPr>
              <w:jc w:val="center"/>
              <w:rPr>
                <w:b/>
                <w:szCs w:val="24"/>
              </w:rPr>
            </w:pPr>
            <w:r w:rsidRPr="00D71937">
              <w:rPr>
                <w:b/>
                <w:color w:val="000000"/>
                <w:szCs w:val="24"/>
              </w:rPr>
              <w:t>6</w:t>
            </w:r>
            <w:r w:rsidR="00FE2719" w:rsidRPr="00D71937">
              <w:rPr>
                <w:b/>
                <w:color w:val="000000"/>
                <w:szCs w:val="24"/>
              </w:rPr>
              <w:t>,6–</w:t>
            </w:r>
            <w:r w:rsidRPr="00D71937">
              <w:rPr>
                <w:b/>
                <w:color w:val="000000"/>
                <w:szCs w:val="24"/>
              </w:rPr>
              <w:t>13,5</w:t>
            </w:r>
          </w:p>
        </w:tc>
      </w:tr>
      <w:tr w:rsidR="004242AB" w:rsidRPr="00AA0BE9" w14:paraId="21DF64D1" w14:textId="77777777" w:rsidTr="000815B5">
        <w:trPr>
          <w:trHeight w:val="281"/>
          <w:jc w:val="center"/>
        </w:trPr>
        <w:tc>
          <w:tcPr>
            <w:tcW w:w="1674" w:type="pct"/>
            <w:vMerge/>
            <w:vAlign w:val="center"/>
          </w:tcPr>
          <w:p w14:paraId="0D19657E" w14:textId="77777777" w:rsidR="004242AB" w:rsidRPr="00276690" w:rsidRDefault="004242AB" w:rsidP="00D71937">
            <w:pPr>
              <w:tabs>
                <w:tab w:val="left" w:pos="996"/>
                <w:tab w:val="center" w:pos="1094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783" w:type="pct"/>
            <w:vAlign w:val="center"/>
          </w:tcPr>
          <w:p w14:paraId="22574BF2" w14:textId="77777777" w:rsidR="004242AB" w:rsidRPr="00276690" w:rsidRDefault="004242AB" w:rsidP="00D71937">
            <w:pPr>
              <w:jc w:val="center"/>
              <w:rPr>
                <w:b/>
                <w:szCs w:val="24"/>
              </w:rPr>
            </w:pPr>
            <w:r w:rsidRPr="00276690">
              <w:rPr>
                <w:szCs w:val="24"/>
              </w:rPr>
              <w:t>daugiau kaip 10</w:t>
            </w:r>
          </w:p>
        </w:tc>
        <w:tc>
          <w:tcPr>
            <w:tcW w:w="1543" w:type="pct"/>
            <w:vAlign w:val="center"/>
          </w:tcPr>
          <w:p w14:paraId="559E8468" w14:textId="1F94BA42" w:rsidR="00D71937" w:rsidRPr="00D71937" w:rsidRDefault="00D71937" w:rsidP="00D71937">
            <w:pPr>
              <w:jc w:val="center"/>
              <w:rPr>
                <w:b/>
                <w:strike/>
                <w:color w:val="000000"/>
                <w:szCs w:val="24"/>
              </w:rPr>
            </w:pPr>
            <w:r w:rsidRPr="00D71937">
              <w:rPr>
                <w:bCs/>
                <w:strike/>
                <w:color w:val="000000"/>
                <w:szCs w:val="24"/>
                <w:lang w:eastAsia="lt-LT"/>
              </w:rPr>
              <w:t>6,44–13,64</w:t>
            </w:r>
          </w:p>
          <w:p w14:paraId="0A094D19" w14:textId="036A36CF" w:rsidR="004242AB" w:rsidRPr="00D71937" w:rsidRDefault="00FE2719" w:rsidP="00D71937">
            <w:pPr>
              <w:jc w:val="center"/>
              <w:rPr>
                <w:b/>
                <w:szCs w:val="24"/>
              </w:rPr>
            </w:pPr>
            <w:r w:rsidRPr="00D71937">
              <w:rPr>
                <w:b/>
                <w:color w:val="000000"/>
                <w:szCs w:val="24"/>
              </w:rPr>
              <w:t>6</w:t>
            </w:r>
            <w:r w:rsidR="004242AB" w:rsidRPr="00D71937">
              <w:rPr>
                <w:b/>
                <w:color w:val="000000"/>
                <w:szCs w:val="24"/>
              </w:rPr>
              <w:t>,</w:t>
            </w:r>
            <w:r w:rsidRPr="00D71937">
              <w:rPr>
                <w:b/>
                <w:color w:val="000000"/>
                <w:szCs w:val="24"/>
              </w:rPr>
              <w:t>7</w:t>
            </w:r>
            <w:r w:rsidR="004242AB" w:rsidRPr="00D71937">
              <w:rPr>
                <w:b/>
                <w:color w:val="000000"/>
                <w:szCs w:val="24"/>
              </w:rPr>
              <w:t>–</w:t>
            </w:r>
            <w:r w:rsidRPr="00D71937">
              <w:rPr>
                <w:b/>
                <w:color w:val="000000"/>
                <w:szCs w:val="24"/>
              </w:rPr>
              <w:t>13</w:t>
            </w:r>
            <w:r w:rsidR="004242AB" w:rsidRPr="00D71937">
              <w:rPr>
                <w:b/>
                <w:color w:val="000000"/>
                <w:szCs w:val="24"/>
              </w:rPr>
              <w:t>,</w:t>
            </w:r>
            <w:r w:rsidRPr="00D71937">
              <w:rPr>
                <w:b/>
                <w:color w:val="000000"/>
                <w:szCs w:val="24"/>
              </w:rPr>
              <w:t>7</w:t>
            </w:r>
            <w:r w:rsidR="00A035DB" w:rsidRPr="00D71937">
              <w:rPr>
                <w:b/>
                <w:color w:val="000000"/>
                <w:szCs w:val="24"/>
              </w:rPr>
              <w:t>“</w:t>
            </w:r>
            <w:r w:rsidR="00D71937">
              <w:rPr>
                <w:b/>
                <w:color w:val="000000"/>
                <w:szCs w:val="24"/>
              </w:rPr>
              <w:t>.</w:t>
            </w:r>
          </w:p>
        </w:tc>
      </w:tr>
    </w:tbl>
    <w:p w14:paraId="250E5E06" w14:textId="77777777" w:rsidR="008656BB" w:rsidRDefault="008656BB" w:rsidP="008656BB">
      <w:pPr>
        <w:tabs>
          <w:tab w:val="left" w:pos="567"/>
          <w:tab w:val="left" w:pos="1832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</w:p>
    <w:p w14:paraId="3339C6ED" w14:textId="0B22A1B4" w:rsidR="008656BB" w:rsidRPr="00276690" w:rsidRDefault="00A035DB" w:rsidP="00276690">
      <w:pPr>
        <w:pStyle w:val="Sraopastraipa"/>
        <w:spacing w:line="360" w:lineRule="auto"/>
        <w:ind w:left="0" w:firstLine="720"/>
        <w:jc w:val="both"/>
        <w:rPr>
          <w:bCs/>
          <w:szCs w:val="24"/>
        </w:rPr>
      </w:pPr>
      <w:r w:rsidRPr="00276690">
        <w:rPr>
          <w:rFonts w:eastAsia="Calibri"/>
          <w:szCs w:val="24"/>
        </w:rPr>
        <w:t>7</w:t>
      </w:r>
      <w:r w:rsidR="008656BB" w:rsidRPr="00276690">
        <w:rPr>
          <w:rFonts w:eastAsia="Calibri"/>
          <w:szCs w:val="24"/>
        </w:rPr>
        <w:t>. 2 priedo 1 punktą ir išdėstyti jį taip:</w:t>
      </w:r>
    </w:p>
    <w:p w14:paraId="4A913528" w14:textId="77777777" w:rsidR="008656BB" w:rsidRDefault="008656BB" w:rsidP="008656BB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„</w:t>
      </w:r>
      <w:r w:rsidRPr="00AA0BE9">
        <w:rPr>
          <w:szCs w:val="24"/>
        </w:rPr>
        <w:t>1. Mokyklų vadovų pareiginės algos pastoviosios dalies koeficientai: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2227"/>
        <w:gridCol w:w="8"/>
        <w:gridCol w:w="2671"/>
        <w:gridCol w:w="6"/>
        <w:gridCol w:w="2538"/>
        <w:gridCol w:w="19"/>
      </w:tblGrid>
      <w:tr w:rsidR="00A035DB" w14:paraId="6588E88E" w14:textId="77777777" w:rsidTr="00D71937">
        <w:trPr>
          <w:trHeight w:val="310"/>
          <w:tblHeader/>
        </w:trPr>
        <w:tc>
          <w:tcPr>
            <w:tcW w:w="106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9E529" w14:textId="77777777" w:rsidR="00A035DB" w:rsidRDefault="00A035DB" w:rsidP="003F23D6">
            <w:pPr>
              <w:spacing w:line="276" w:lineRule="auto"/>
              <w:ind w:right="240" w:firstLine="57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Mokinių skaičius </w:t>
            </w:r>
          </w:p>
        </w:tc>
        <w:tc>
          <w:tcPr>
            <w:tcW w:w="3924" w:type="pct"/>
            <w:gridSpan w:val="5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9089F" w14:textId="77777777" w:rsidR="00A035DB" w:rsidRDefault="00A035DB" w:rsidP="003F23D6">
            <w:pPr>
              <w:spacing w:line="276" w:lineRule="auto"/>
              <w:ind w:right="240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Pastoviosios dalies koeficientai </w:t>
            </w:r>
          </w:p>
        </w:tc>
        <w:tc>
          <w:tcPr>
            <w:tcW w:w="11" w:type="pct"/>
            <w:tcBorders>
              <w:left w:val="nil"/>
            </w:tcBorders>
            <w:vAlign w:val="center"/>
            <w:hideMark/>
          </w:tcPr>
          <w:p w14:paraId="496C947A" w14:textId="77777777" w:rsidR="00A035DB" w:rsidRDefault="00A035DB" w:rsidP="003F23D6">
            <w:pPr>
              <w:spacing w:line="276" w:lineRule="auto"/>
              <w:rPr>
                <w:b/>
                <w:szCs w:val="24"/>
                <w:lang w:eastAsia="lt-LT"/>
              </w:rPr>
            </w:pPr>
          </w:p>
        </w:tc>
      </w:tr>
      <w:tr w:rsidR="00A035DB" w14:paraId="1F6DA0FB" w14:textId="77777777" w:rsidTr="00D71937">
        <w:trPr>
          <w:trHeight w:val="310"/>
          <w:tblHeader/>
        </w:trPr>
        <w:tc>
          <w:tcPr>
            <w:tcW w:w="106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E806D" w14:textId="77777777" w:rsidR="00A035DB" w:rsidRDefault="00A035DB" w:rsidP="003F23D6">
            <w:pPr>
              <w:spacing w:line="276" w:lineRule="auto"/>
              <w:ind w:right="240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924" w:type="pct"/>
            <w:gridSpan w:val="5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C490" w14:textId="77777777" w:rsidR="00A035DB" w:rsidRDefault="00A035DB" w:rsidP="003F23D6">
            <w:pPr>
              <w:spacing w:line="276" w:lineRule="auto"/>
              <w:ind w:right="240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pedagoginio darbo stažas (metais)</w:t>
            </w:r>
          </w:p>
        </w:tc>
        <w:tc>
          <w:tcPr>
            <w:tcW w:w="11" w:type="pct"/>
            <w:tcBorders>
              <w:left w:val="nil"/>
            </w:tcBorders>
            <w:vAlign w:val="center"/>
          </w:tcPr>
          <w:p w14:paraId="4EFEC8E4" w14:textId="77777777" w:rsidR="00A035DB" w:rsidRDefault="00A035DB" w:rsidP="003F23D6">
            <w:pPr>
              <w:spacing w:line="276" w:lineRule="auto"/>
              <w:rPr>
                <w:b/>
                <w:szCs w:val="24"/>
                <w:lang w:eastAsia="lt-LT"/>
              </w:rPr>
            </w:pPr>
          </w:p>
        </w:tc>
      </w:tr>
      <w:tr w:rsidR="00A035DB" w14:paraId="52089CB8" w14:textId="77777777" w:rsidTr="00D71937">
        <w:trPr>
          <w:trHeight w:val="290"/>
          <w:tblHeader/>
        </w:trPr>
        <w:tc>
          <w:tcPr>
            <w:tcW w:w="1066" w:type="pct"/>
            <w:vMerge/>
            <w:vAlign w:val="center"/>
            <w:hideMark/>
          </w:tcPr>
          <w:p w14:paraId="4BC581F8" w14:textId="77777777" w:rsidR="00A035DB" w:rsidRDefault="00A035DB" w:rsidP="003F23D6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177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7D730" w14:textId="77777777" w:rsidR="00A035DB" w:rsidRDefault="00A035DB" w:rsidP="003F23D6">
            <w:pPr>
              <w:spacing w:line="276" w:lineRule="auto"/>
              <w:ind w:right="240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iki 10 metų </w:t>
            </w:r>
          </w:p>
        </w:tc>
        <w:tc>
          <w:tcPr>
            <w:tcW w:w="1410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7534E" w14:textId="77777777" w:rsidR="00A035DB" w:rsidRDefault="00A035DB" w:rsidP="003F23D6">
            <w:pPr>
              <w:spacing w:line="276" w:lineRule="auto"/>
              <w:ind w:right="240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nuo daugiau kaip 10 iki 15 metų</w:t>
            </w:r>
          </w:p>
        </w:tc>
        <w:tc>
          <w:tcPr>
            <w:tcW w:w="1337" w:type="pct"/>
            <w:vMerge w:val="restart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3D5BD" w14:textId="77777777" w:rsidR="00A035DB" w:rsidRDefault="00A035DB" w:rsidP="003F23D6">
            <w:pPr>
              <w:spacing w:line="276" w:lineRule="auto"/>
              <w:ind w:right="240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daugiau kaip 15 metų</w:t>
            </w:r>
          </w:p>
        </w:tc>
        <w:tc>
          <w:tcPr>
            <w:tcW w:w="11" w:type="pct"/>
            <w:tcBorders>
              <w:left w:val="nil"/>
            </w:tcBorders>
            <w:vAlign w:val="center"/>
            <w:hideMark/>
          </w:tcPr>
          <w:p w14:paraId="299B9DFC" w14:textId="77777777" w:rsidR="00A035DB" w:rsidRDefault="00A035DB" w:rsidP="003F23D6">
            <w:pPr>
              <w:spacing w:line="276" w:lineRule="auto"/>
              <w:rPr>
                <w:b/>
                <w:szCs w:val="24"/>
                <w:lang w:eastAsia="lt-LT"/>
              </w:rPr>
            </w:pPr>
          </w:p>
        </w:tc>
      </w:tr>
      <w:tr w:rsidR="00A035DB" w14:paraId="05D5E3FF" w14:textId="77777777" w:rsidTr="00D71937">
        <w:trPr>
          <w:trHeight w:val="405"/>
          <w:tblHeader/>
        </w:trPr>
        <w:tc>
          <w:tcPr>
            <w:tcW w:w="1066" w:type="pct"/>
            <w:vMerge/>
            <w:vAlign w:val="center"/>
            <w:hideMark/>
          </w:tcPr>
          <w:p w14:paraId="2F712652" w14:textId="77777777" w:rsidR="00A035DB" w:rsidRDefault="00A035DB" w:rsidP="003F23D6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177" w:type="pct"/>
            <w:gridSpan w:val="2"/>
            <w:vMerge/>
            <w:vAlign w:val="center"/>
            <w:hideMark/>
          </w:tcPr>
          <w:p w14:paraId="22D7EBB6" w14:textId="77777777" w:rsidR="00A035DB" w:rsidRDefault="00A035DB" w:rsidP="003F23D6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10" w:type="pct"/>
            <w:gridSpan w:val="2"/>
            <w:vMerge/>
            <w:vAlign w:val="center"/>
            <w:hideMark/>
          </w:tcPr>
          <w:p w14:paraId="507A6960" w14:textId="77777777" w:rsidR="00A035DB" w:rsidRDefault="00A035DB" w:rsidP="003F23D6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337" w:type="pct"/>
            <w:vMerge/>
            <w:tcBorders>
              <w:right w:val="nil"/>
            </w:tcBorders>
            <w:vAlign w:val="center"/>
            <w:hideMark/>
          </w:tcPr>
          <w:p w14:paraId="032973ED" w14:textId="77777777" w:rsidR="00A035DB" w:rsidRDefault="00A035DB" w:rsidP="003F23D6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1" w:type="pct"/>
            <w:tcBorders>
              <w:left w:val="nil"/>
            </w:tcBorders>
            <w:vAlign w:val="center"/>
            <w:hideMark/>
          </w:tcPr>
          <w:p w14:paraId="6850FBB9" w14:textId="77777777" w:rsidR="00A035DB" w:rsidRDefault="00A035DB" w:rsidP="003F23D6">
            <w:pPr>
              <w:spacing w:line="276" w:lineRule="auto"/>
              <w:rPr>
                <w:b/>
                <w:szCs w:val="24"/>
                <w:lang w:eastAsia="lt-LT"/>
              </w:rPr>
            </w:pPr>
          </w:p>
        </w:tc>
      </w:tr>
      <w:tr w:rsidR="00D71937" w:rsidRPr="00421C24" w14:paraId="3D0DE488" w14:textId="77777777" w:rsidTr="00596BCD">
        <w:trPr>
          <w:trHeight w:val="290"/>
        </w:trPr>
        <w:tc>
          <w:tcPr>
            <w:tcW w:w="106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9487D" w14:textId="77777777" w:rsidR="00D71937" w:rsidRPr="00421C24" w:rsidRDefault="00D71937" w:rsidP="00596BCD">
            <w:pPr>
              <w:ind w:right="240"/>
              <w:rPr>
                <w:szCs w:val="24"/>
              </w:rPr>
            </w:pPr>
            <w:r w:rsidRPr="00421C24">
              <w:rPr>
                <w:color w:val="000000"/>
                <w:szCs w:val="24"/>
              </w:rPr>
              <w:t>iki 200</w:t>
            </w:r>
          </w:p>
        </w:tc>
        <w:tc>
          <w:tcPr>
            <w:tcW w:w="117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EE27D" w14:textId="77777777" w:rsidR="00D71937" w:rsidRPr="00421C24" w:rsidRDefault="00D71937" w:rsidP="00596BCD">
            <w:pPr>
              <w:jc w:val="center"/>
              <w:rPr>
                <w:strike/>
                <w:color w:val="000000"/>
                <w:szCs w:val="24"/>
              </w:rPr>
            </w:pPr>
            <w:r w:rsidRPr="00421C24">
              <w:rPr>
                <w:strike/>
                <w:color w:val="000000"/>
                <w:szCs w:val="24"/>
              </w:rPr>
              <w:t>7,6–10,71</w:t>
            </w:r>
          </w:p>
          <w:p w14:paraId="4493B1A6" w14:textId="77777777" w:rsidR="00D71937" w:rsidRPr="00421C24" w:rsidRDefault="00D71937" w:rsidP="00596BCD">
            <w:pPr>
              <w:jc w:val="center"/>
              <w:rPr>
                <w:szCs w:val="24"/>
              </w:rPr>
            </w:pPr>
            <w:r w:rsidRPr="00421C24">
              <w:rPr>
                <w:b/>
                <w:color w:val="000000"/>
                <w:szCs w:val="24"/>
              </w:rPr>
              <w:t>10,71</w:t>
            </w:r>
          </w:p>
        </w:tc>
        <w:tc>
          <w:tcPr>
            <w:tcW w:w="1411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2F7C8" w14:textId="77777777" w:rsidR="00D71937" w:rsidRPr="00421C24" w:rsidRDefault="00D71937" w:rsidP="00596BCD">
            <w:pPr>
              <w:jc w:val="center"/>
              <w:rPr>
                <w:strike/>
                <w:color w:val="000000"/>
                <w:szCs w:val="24"/>
              </w:rPr>
            </w:pPr>
            <w:r w:rsidRPr="00421C24">
              <w:rPr>
                <w:strike/>
                <w:color w:val="000000"/>
                <w:szCs w:val="24"/>
              </w:rPr>
              <w:t>7,8–11,1</w:t>
            </w:r>
          </w:p>
          <w:p w14:paraId="7FB8A29F" w14:textId="77777777" w:rsidR="00D71937" w:rsidRPr="00421C24" w:rsidRDefault="00D71937" w:rsidP="00596BCD">
            <w:pPr>
              <w:jc w:val="center"/>
              <w:rPr>
                <w:b/>
                <w:szCs w:val="24"/>
              </w:rPr>
            </w:pPr>
            <w:r w:rsidRPr="00421C24">
              <w:rPr>
                <w:b/>
                <w:color w:val="000000"/>
                <w:szCs w:val="24"/>
              </w:rPr>
              <w:t>11,1</w:t>
            </w:r>
          </w:p>
        </w:tc>
        <w:tc>
          <w:tcPr>
            <w:tcW w:w="1340" w:type="pct"/>
            <w:gridSpan w:val="2"/>
            <w:tcBorders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3AE69" w14:textId="77777777" w:rsidR="00D71937" w:rsidRPr="00421C24" w:rsidRDefault="00D71937" w:rsidP="00596BCD">
            <w:pPr>
              <w:jc w:val="center"/>
              <w:rPr>
                <w:strike/>
                <w:color w:val="000000"/>
                <w:szCs w:val="24"/>
              </w:rPr>
            </w:pPr>
            <w:r w:rsidRPr="00421C24">
              <w:rPr>
                <w:strike/>
                <w:color w:val="000000"/>
                <w:szCs w:val="24"/>
              </w:rPr>
              <w:t>8,0–11,37</w:t>
            </w:r>
          </w:p>
          <w:p w14:paraId="6486EDB3" w14:textId="77777777" w:rsidR="00D71937" w:rsidRPr="00421C24" w:rsidRDefault="00D71937" w:rsidP="00596BCD">
            <w:pPr>
              <w:jc w:val="center"/>
              <w:rPr>
                <w:szCs w:val="24"/>
              </w:rPr>
            </w:pPr>
            <w:r w:rsidRPr="00421C24">
              <w:rPr>
                <w:b/>
                <w:color w:val="000000"/>
                <w:szCs w:val="24"/>
              </w:rPr>
              <w:t>11,37</w:t>
            </w:r>
          </w:p>
        </w:tc>
        <w:tc>
          <w:tcPr>
            <w:tcW w:w="11" w:type="pct"/>
            <w:tcBorders>
              <w:left w:val="nil"/>
            </w:tcBorders>
            <w:vAlign w:val="center"/>
            <w:hideMark/>
          </w:tcPr>
          <w:p w14:paraId="2759DA06" w14:textId="77777777" w:rsidR="00D71937" w:rsidRPr="00421C24" w:rsidRDefault="00D71937" w:rsidP="00596BCD">
            <w:pPr>
              <w:jc w:val="center"/>
              <w:rPr>
                <w:b/>
                <w:szCs w:val="24"/>
              </w:rPr>
            </w:pPr>
          </w:p>
        </w:tc>
      </w:tr>
      <w:tr w:rsidR="00D71937" w:rsidRPr="00421C24" w14:paraId="04521D70" w14:textId="77777777" w:rsidTr="00596BCD">
        <w:trPr>
          <w:trHeight w:val="290"/>
        </w:trPr>
        <w:tc>
          <w:tcPr>
            <w:tcW w:w="106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512C4" w14:textId="77777777" w:rsidR="00D71937" w:rsidRPr="00421C24" w:rsidRDefault="00D71937" w:rsidP="00596BCD">
            <w:pPr>
              <w:ind w:right="240"/>
              <w:rPr>
                <w:szCs w:val="24"/>
              </w:rPr>
            </w:pPr>
            <w:r w:rsidRPr="00421C24">
              <w:rPr>
                <w:color w:val="000000"/>
                <w:szCs w:val="24"/>
              </w:rPr>
              <w:t>201–400</w:t>
            </w:r>
          </w:p>
        </w:tc>
        <w:tc>
          <w:tcPr>
            <w:tcW w:w="117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DCF7B" w14:textId="77777777" w:rsidR="00D71937" w:rsidRPr="00421C24" w:rsidRDefault="00D71937" w:rsidP="00596BCD">
            <w:pPr>
              <w:jc w:val="center"/>
              <w:rPr>
                <w:strike/>
                <w:color w:val="000000"/>
                <w:szCs w:val="24"/>
              </w:rPr>
            </w:pPr>
            <w:r w:rsidRPr="00421C24">
              <w:rPr>
                <w:strike/>
                <w:color w:val="000000"/>
                <w:szCs w:val="24"/>
              </w:rPr>
              <w:t>8,4–11,7</w:t>
            </w:r>
          </w:p>
          <w:p w14:paraId="50FD7933" w14:textId="77777777" w:rsidR="00D71937" w:rsidRPr="00421C24" w:rsidRDefault="00D71937" w:rsidP="00596BCD">
            <w:pPr>
              <w:jc w:val="center"/>
              <w:rPr>
                <w:b/>
                <w:szCs w:val="24"/>
              </w:rPr>
            </w:pPr>
            <w:r w:rsidRPr="00421C24">
              <w:rPr>
                <w:b/>
                <w:color w:val="000000"/>
                <w:szCs w:val="24"/>
              </w:rPr>
              <w:t>11,7</w:t>
            </w:r>
          </w:p>
        </w:tc>
        <w:tc>
          <w:tcPr>
            <w:tcW w:w="1411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F795D" w14:textId="77777777" w:rsidR="00D71937" w:rsidRPr="00421C24" w:rsidRDefault="00D71937" w:rsidP="00596BCD">
            <w:pPr>
              <w:jc w:val="center"/>
              <w:rPr>
                <w:strike/>
                <w:color w:val="000000"/>
                <w:szCs w:val="24"/>
              </w:rPr>
            </w:pPr>
            <w:r w:rsidRPr="00421C24">
              <w:rPr>
                <w:strike/>
                <w:color w:val="000000"/>
                <w:szCs w:val="24"/>
              </w:rPr>
              <w:t>8,6–11,8</w:t>
            </w:r>
          </w:p>
          <w:p w14:paraId="7D7FA479" w14:textId="77777777" w:rsidR="00D71937" w:rsidRPr="00421C24" w:rsidRDefault="00D71937" w:rsidP="00596BCD">
            <w:pPr>
              <w:jc w:val="center"/>
              <w:rPr>
                <w:b/>
                <w:szCs w:val="24"/>
              </w:rPr>
            </w:pPr>
            <w:r w:rsidRPr="00421C24">
              <w:rPr>
                <w:b/>
                <w:color w:val="000000"/>
                <w:szCs w:val="24"/>
              </w:rPr>
              <w:t>11,8</w:t>
            </w:r>
          </w:p>
        </w:tc>
        <w:tc>
          <w:tcPr>
            <w:tcW w:w="1340" w:type="pct"/>
            <w:gridSpan w:val="2"/>
            <w:tcBorders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59EEF" w14:textId="77777777" w:rsidR="00D71937" w:rsidRPr="00421C24" w:rsidRDefault="00D71937" w:rsidP="00596BCD">
            <w:pPr>
              <w:jc w:val="center"/>
              <w:rPr>
                <w:strike/>
                <w:color w:val="000000"/>
                <w:szCs w:val="24"/>
              </w:rPr>
            </w:pPr>
            <w:r w:rsidRPr="00421C24">
              <w:rPr>
                <w:strike/>
                <w:color w:val="000000"/>
                <w:szCs w:val="24"/>
              </w:rPr>
              <w:t>8,8–11,81</w:t>
            </w:r>
          </w:p>
          <w:p w14:paraId="323EFCBC" w14:textId="77777777" w:rsidR="00D71937" w:rsidRPr="00421C24" w:rsidRDefault="00D71937" w:rsidP="00596BCD">
            <w:pPr>
              <w:jc w:val="center"/>
              <w:rPr>
                <w:szCs w:val="24"/>
              </w:rPr>
            </w:pPr>
            <w:r w:rsidRPr="00421C24">
              <w:rPr>
                <w:b/>
                <w:color w:val="000000"/>
                <w:szCs w:val="24"/>
              </w:rPr>
              <w:t>11,81</w:t>
            </w:r>
          </w:p>
        </w:tc>
        <w:tc>
          <w:tcPr>
            <w:tcW w:w="11" w:type="pct"/>
            <w:tcBorders>
              <w:left w:val="nil"/>
            </w:tcBorders>
            <w:vAlign w:val="center"/>
            <w:hideMark/>
          </w:tcPr>
          <w:p w14:paraId="35727DD5" w14:textId="77777777" w:rsidR="00D71937" w:rsidRPr="00421C24" w:rsidRDefault="00D71937" w:rsidP="00596BCD">
            <w:pPr>
              <w:jc w:val="center"/>
              <w:rPr>
                <w:b/>
                <w:szCs w:val="24"/>
              </w:rPr>
            </w:pPr>
          </w:p>
        </w:tc>
      </w:tr>
      <w:tr w:rsidR="00D71937" w:rsidRPr="00421C24" w14:paraId="36F2E6AE" w14:textId="77777777" w:rsidTr="00596BCD">
        <w:trPr>
          <w:trHeight w:val="310"/>
        </w:trPr>
        <w:tc>
          <w:tcPr>
            <w:tcW w:w="106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008FC" w14:textId="77777777" w:rsidR="00D71937" w:rsidRPr="00421C24" w:rsidRDefault="00D71937" w:rsidP="00596BCD">
            <w:pPr>
              <w:ind w:right="240"/>
              <w:rPr>
                <w:szCs w:val="24"/>
              </w:rPr>
            </w:pPr>
            <w:r w:rsidRPr="00421C24">
              <w:rPr>
                <w:color w:val="000000"/>
                <w:szCs w:val="24"/>
              </w:rPr>
              <w:t>401–600</w:t>
            </w:r>
          </w:p>
        </w:tc>
        <w:tc>
          <w:tcPr>
            <w:tcW w:w="117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58755" w14:textId="77777777" w:rsidR="00D71937" w:rsidRPr="00421C24" w:rsidRDefault="00D71937" w:rsidP="00596BCD">
            <w:pPr>
              <w:jc w:val="center"/>
              <w:rPr>
                <w:strike/>
                <w:color w:val="000000"/>
                <w:szCs w:val="24"/>
              </w:rPr>
            </w:pPr>
            <w:r w:rsidRPr="00421C24">
              <w:rPr>
                <w:strike/>
                <w:color w:val="000000"/>
                <w:szCs w:val="24"/>
              </w:rPr>
              <w:t>9,0–11,74</w:t>
            </w:r>
          </w:p>
          <w:p w14:paraId="7545B545" w14:textId="77777777" w:rsidR="00D71937" w:rsidRPr="00421C24" w:rsidRDefault="00D71937" w:rsidP="00596BCD">
            <w:pPr>
              <w:jc w:val="center"/>
              <w:rPr>
                <w:szCs w:val="24"/>
              </w:rPr>
            </w:pPr>
            <w:r w:rsidRPr="00421C24">
              <w:rPr>
                <w:b/>
                <w:color w:val="000000"/>
                <w:szCs w:val="24"/>
              </w:rPr>
              <w:t>11,74</w:t>
            </w:r>
          </w:p>
        </w:tc>
        <w:tc>
          <w:tcPr>
            <w:tcW w:w="1411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81FC4" w14:textId="77777777" w:rsidR="00D71937" w:rsidRPr="00421C24" w:rsidRDefault="00D71937" w:rsidP="00596BCD">
            <w:pPr>
              <w:jc w:val="center"/>
              <w:rPr>
                <w:strike/>
                <w:szCs w:val="24"/>
              </w:rPr>
            </w:pPr>
            <w:r w:rsidRPr="00421C24">
              <w:rPr>
                <w:strike/>
                <w:szCs w:val="24"/>
              </w:rPr>
              <w:t>9,2–11,82</w:t>
            </w:r>
          </w:p>
          <w:p w14:paraId="7FF753E1" w14:textId="77777777" w:rsidR="00D71937" w:rsidRPr="00421C24" w:rsidRDefault="00D71937" w:rsidP="00596BCD">
            <w:pPr>
              <w:jc w:val="center"/>
              <w:rPr>
                <w:szCs w:val="24"/>
              </w:rPr>
            </w:pPr>
            <w:r w:rsidRPr="00421C24">
              <w:rPr>
                <w:b/>
                <w:szCs w:val="24"/>
              </w:rPr>
              <w:t>11,82</w:t>
            </w:r>
          </w:p>
        </w:tc>
        <w:tc>
          <w:tcPr>
            <w:tcW w:w="1340" w:type="pct"/>
            <w:gridSpan w:val="2"/>
            <w:tcBorders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9C8FC" w14:textId="77777777" w:rsidR="00D71937" w:rsidRPr="00421C24" w:rsidRDefault="00D71937" w:rsidP="00596BCD">
            <w:pPr>
              <w:jc w:val="center"/>
              <w:rPr>
                <w:strike/>
                <w:szCs w:val="24"/>
              </w:rPr>
            </w:pPr>
            <w:r w:rsidRPr="00421C24">
              <w:rPr>
                <w:strike/>
                <w:szCs w:val="24"/>
              </w:rPr>
              <w:t>9,4–11,85</w:t>
            </w:r>
          </w:p>
          <w:p w14:paraId="65805B43" w14:textId="77777777" w:rsidR="00D71937" w:rsidRPr="00421C24" w:rsidRDefault="00D71937" w:rsidP="00596BCD">
            <w:pPr>
              <w:jc w:val="center"/>
              <w:rPr>
                <w:szCs w:val="24"/>
              </w:rPr>
            </w:pPr>
            <w:r w:rsidRPr="00421C24">
              <w:rPr>
                <w:b/>
                <w:szCs w:val="24"/>
              </w:rPr>
              <w:t>11,85</w:t>
            </w:r>
          </w:p>
        </w:tc>
        <w:tc>
          <w:tcPr>
            <w:tcW w:w="11" w:type="pct"/>
            <w:tcBorders>
              <w:left w:val="nil"/>
            </w:tcBorders>
            <w:vAlign w:val="center"/>
            <w:hideMark/>
          </w:tcPr>
          <w:p w14:paraId="083A12E1" w14:textId="77777777" w:rsidR="00D71937" w:rsidRPr="00421C24" w:rsidRDefault="00D71937" w:rsidP="00596BCD">
            <w:pPr>
              <w:jc w:val="center"/>
              <w:rPr>
                <w:b/>
                <w:szCs w:val="24"/>
              </w:rPr>
            </w:pPr>
          </w:p>
        </w:tc>
      </w:tr>
      <w:tr w:rsidR="00D71937" w:rsidRPr="00421C24" w14:paraId="37AB2E31" w14:textId="77777777" w:rsidTr="00596BCD">
        <w:trPr>
          <w:trHeight w:val="310"/>
        </w:trPr>
        <w:tc>
          <w:tcPr>
            <w:tcW w:w="106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869BE" w14:textId="77777777" w:rsidR="00D71937" w:rsidRPr="00421C24" w:rsidRDefault="00D71937" w:rsidP="00596BCD">
            <w:pPr>
              <w:ind w:right="240"/>
              <w:rPr>
                <w:szCs w:val="24"/>
              </w:rPr>
            </w:pPr>
            <w:r w:rsidRPr="00421C24">
              <w:rPr>
                <w:color w:val="000000"/>
                <w:szCs w:val="24"/>
              </w:rPr>
              <w:t>601–1 000</w:t>
            </w:r>
          </w:p>
        </w:tc>
        <w:tc>
          <w:tcPr>
            <w:tcW w:w="117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D7145" w14:textId="77777777" w:rsidR="00D71937" w:rsidRPr="00421C24" w:rsidRDefault="00D71937" w:rsidP="00596BCD">
            <w:pPr>
              <w:jc w:val="center"/>
              <w:rPr>
                <w:strike/>
                <w:color w:val="000000"/>
                <w:szCs w:val="24"/>
              </w:rPr>
            </w:pPr>
            <w:r w:rsidRPr="00421C24">
              <w:rPr>
                <w:strike/>
                <w:color w:val="000000"/>
                <w:szCs w:val="24"/>
              </w:rPr>
              <w:t>9,6–12,6</w:t>
            </w:r>
          </w:p>
          <w:p w14:paraId="68FF3656" w14:textId="77777777" w:rsidR="00D71937" w:rsidRPr="00421C24" w:rsidRDefault="00D71937" w:rsidP="00596BCD">
            <w:pPr>
              <w:jc w:val="center"/>
              <w:rPr>
                <w:b/>
                <w:szCs w:val="24"/>
              </w:rPr>
            </w:pPr>
            <w:r w:rsidRPr="00421C24">
              <w:rPr>
                <w:b/>
                <w:color w:val="000000"/>
                <w:szCs w:val="24"/>
              </w:rPr>
              <w:t>12,6</w:t>
            </w:r>
          </w:p>
        </w:tc>
        <w:tc>
          <w:tcPr>
            <w:tcW w:w="1411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46C04" w14:textId="77777777" w:rsidR="00D71937" w:rsidRPr="00421C24" w:rsidRDefault="00D71937" w:rsidP="00596BCD">
            <w:pPr>
              <w:jc w:val="center"/>
              <w:rPr>
                <w:strike/>
                <w:szCs w:val="24"/>
              </w:rPr>
            </w:pPr>
            <w:r w:rsidRPr="00421C24">
              <w:rPr>
                <w:strike/>
                <w:szCs w:val="24"/>
              </w:rPr>
              <w:t>9,8–12,62</w:t>
            </w:r>
          </w:p>
          <w:p w14:paraId="6D40A912" w14:textId="77777777" w:rsidR="00D71937" w:rsidRPr="00421C24" w:rsidRDefault="00D71937" w:rsidP="00596BCD">
            <w:pPr>
              <w:jc w:val="center"/>
              <w:rPr>
                <w:szCs w:val="24"/>
              </w:rPr>
            </w:pPr>
            <w:r w:rsidRPr="00421C24">
              <w:rPr>
                <w:b/>
                <w:szCs w:val="24"/>
              </w:rPr>
              <w:t>12,62</w:t>
            </w:r>
          </w:p>
        </w:tc>
        <w:tc>
          <w:tcPr>
            <w:tcW w:w="1340" w:type="pct"/>
            <w:gridSpan w:val="2"/>
            <w:tcBorders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30CA6" w14:textId="77777777" w:rsidR="00D71937" w:rsidRPr="00421C24" w:rsidRDefault="00D71937" w:rsidP="00596BCD">
            <w:pPr>
              <w:jc w:val="center"/>
              <w:rPr>
                <w:strike/>
                <w:szCs w:val="24"/>
              </w:rPr>
            </w:pPr>
            <w:r w:rsidRPr="00421C24">
              <w:rPr>
                <w:strike/>
                <w:szCs w:val="24"/>
              </w:rPr>
              <w:t>10,0–12,65</w:t>
            </w:r>
          </w:p>
          <w:p w14:paraId="5E2938E9" w14:textId="77777777" w:rsidR="00D71937" w:rsidRPr="00421C24" w:rsidRDefault="00D71937" w:rsidP="00596BCD">
            <w:pPr>
              <w:jc w:val="center"/>
              <w:rPr>
                <w:szCs w:val="24"/>
              </w:rPr>
            </w:pPr>
            <w:r w:rsidRPr="00421C24">
              <w:rPr>
                <w:b/>
                <w:szCs w:val="24"/>
              </w:rPr>
              <w:t>12,65</w:t>
            </w:r>
          </w:p>
        </w:tc>
        <w:tc>
          <w:tcPr>
            <w:tcW w:w="11" w:type="pct"/>
            <w:tcBorders>
              <w:left w:val="nil"/>
            </w:tcBorders>
            <w:vAlign w:val="center"/>
            <w:hideMark/>
          </w:tcPr>
          <w:p w14:paraId="6E791F1B" w14:textId="77777777" w:rsidR="00D71937" w:rsidRPr="00421C24" w:rsidRDefault="00D71937" w:rsidP="00596BCD">
            <w:pPr>
              <w:jc w:val="center"/>
              <w:rPr>
                <w:b/>
                <w:szCs w:val="24"/>
              </w:rPr>
            </w:pPr>
          </w:p>
        </w:tc>
      </w:tr>
      <w:tr w:rsidR="00D71937" w:rsidRPr="00421C24" w14:paraId="245E9E95" w14:textId="77777777" w:rsidTr="00596BCD">
        <w:trPr>
          <w:trHeight w:val="310"/>
        </w:trPr>
        <w:tc>
          <w:tcPr>
            <w:tcW w:w="106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7F07B" w14:textId="77777777" w:rsidR="00D71937" w:rsidRPr="00421C24" w:rsidRDefault="00D71937" w:rsidP="00596BCD">
            <w:pPr>
              <w:ind w:right="240"/>
              <w:rPr>
                <w:szCs w:val="24"/>
              </w:rPr>
            </w:pPr>
            <w:r w:rsidRPr="00421C24">
              <w:rPr>
                <w:color w:val="000000"/>
                <w:szCs w:val="24"/>
              </w:rPr>
              <w:t>1 001 ir daugiau</w:t>
            </w:r>
          </w:p>
        </w:tc>
        <w:tc>
          <w:tcPr>
            <w:tcW w:w="117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180FD" w14:textId="77777777" w:rsidR="00D71937" w:rsidRPr="00421C24" w:rsidRDefault="00D71937" w:rsidP="00596BCD">
            <w:pPr>
              <w:jc w:val="center"/>
              <w:rPr>
                <w:strike/>
                <w:color w:val="000000"/>
                <w:szCs w:val="24"/>
              </w:rPr>
            </w:pPr>
            <w:r w:rsidRPr="00421C24">
              <w:rPr>
                <w:strike/>
                <w:color w:val="000000"/>
                <w:szCs w:val="24"/>
              </w:rPr>
              <w:t>10,2–12,6</w:t>
            </w:r>
          </w:p>
          <w:p w14:paraId="4F6E4FBD" w14:textId="77777777" w:rsidR="00D71937" w:rsidRPr="00421C24" w:rsidRDefault="00D71937" w:rsidP="00596BCD">
            <w:pPr>
              <w:jc w:val="center"/>
              <w:rPr>
                <w:szCs w:val="24"/>
              </w:rPr>
            </w:pPr>
            <w:r w:rsidRPr="00421C24">
              <w:rPr>
                <w:b/>
                <w:color w:val="000000"/>
                <w:szCs w:val="24"/>
              </w:rPr>
              <w:t>12,62</w:t>
            </w:r>
          </w:p>
        </w:tc>
        <w:tc>
          <w:tcPr>
            <w:tcW w:w="1411" w:type="pct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5D9BB" w14:textId="77777777" w:rsidR="00D71937" w:rsidRPr="00421C24" w:rsidRDefault="00D71937" w:rsidP="00596BCD">
            <w:pPr>
              <w:jc w:val="center"/>
              <w:rPr>
                <w:strike/>
                <w:szCs w:val="24"/>
              </w:rPr>
            </w:pPr>
            <w:r w:rsidRPr="00421C24">
              <w:rPr>
                <w:strike/>
                <w:szCs w:val="24"/>
              </w:rPr>
              <w:t>10,4–12,64</w:t>
            </w:r>
          </w:p>
          <w:p w14:paraId="53AEAD21" w14:textId="77777777" w:rsidR="00D71937" w:rsidRPr="00421C24" w:rsidRDefault="00D71937" w:rsidP="00596BCD">
            <w:pPr>
              <w:jc w:val="center"/>
              <w:rPr>
                <w:szCs w:val="24"/>
              </w:rPr>
            </w:pPr>
            <w:r w:rsidRPr="00421C24">
              <w:rPr>
                <w:b/>
                <w:szCs w:val="24"/>
              </w:rPr>
              <w:t>12,64</w:t>
            </w:r>
          </w:p>
        </w:tc>
        <w:tc>
          <w:tcPr>
            <w:tcW w:w="1340" w:type="pct"/>
            <w:gridSpan w:val="2"/>
            <w:tcBorders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4AECA" w14:textId="77777777" w:rsidR="00D71937" w:rsidRPr="00421C24" w:rsidRDefault="00D71937" w:rsidP="00596BCD">
            <w:pPr>
              <w:jc w:val="center"/>
              <w:rPr>
                <w:strike/>
                <w:szCs w:val="24"/>
              </w:rPr>
            </w:pPr>
            <w:r w:rsidRPr="00421C24">
              <w:rPr>
                <w:strike/>
                <w:szCs w:val="24"/>
              </w:rPr>
              <w:t>10,6–12,68</w:t>
            </w:r>
          </w:p>
          <w:p w14:paraId="5322797C" w14:textId="77777777" w:rsidR="00D71937" w:rsidRPr="00421C24" w:rsidRDefault="00D71937" w:rsidP="00596BCD">
            <w:pPr>
              <w:jc w:val="center"/>
              <w:rPr>
                <w:szCs w:val="24"/>
              </w:rPr>
            </w:pPr>
            <w:r w:rsidRPr="00421C24">
              <w:rPr>
                <w:b/>
                <w:szCs w:val="24"/>
              </w:rPr>
              <w:t>12,68“.</w:t>
            </w:r>
          </w:p>
        </w:tc>
        <w:tc>
          <w:tcPr>
            <w:tcW w:w="11" w:type="pct"/>
            <w:tcBorders>
              <w:left w:val="nil"/>
            </w:tcBorders>
            <w:vAlign w:val="center"/>
            <w:hideMark/>
          </w:tcPr>
          <w:p w14:paraId="6C9B7EDC" w14:textId="77777777" w:rsidR="00D71937" w:rsidRPr="00421C24" w:rsidRDefault="00D71937" w:rsidP="00596BCD">
            <w:pPr>
              <w:jc w:val="center"/>
              <w:rPr>
                <w:b/>
                <w:szCs w:val="24"/>
              </w:rPr>
            </w:pPr>
          </w:p>
        </w:tc>
      </w:tr>
    </w:tbl>
    <w:p w14:paraId="43553A1D" w14:textId="77777777" w:rsidR="00A035DB" w:rsidRDefault="00A035DB" w:rsidP="008656BB">
      <w:pPr>
        <w:spacing w:line="360" w:lineRule="auto"/>
        <w:ind w:firstLine="720"/>
        <w:jc w:val="both"/>
        <w:rPr>
          <w:szCs w:val="24"/>
        </w:rPr>
      </w:pPr>
    </w:p>
    <w:p w14:paraId="0F2C96F1" w14:textId="77777777" w:rsidR="009B38CA" w:rsidRDefault="009B38CA" w:rsidP="009B17EB">
      <w:pPr>
        <w:spacing w:line="360" w:lineRule="auto"/>
        <w:jc w:val="both"/>
        <w:rPr>
          <w:szCs w:val="24"/>
        </w:rPr>
      </w:pPr>
    </w:p>
    <w:p w14:paraId="0F2C96F2" w14:textId="77777777" w:rsidR="009B38CA" w:rsidRDefault="009B38CA" w:rsidP="00C37E69">
      <w:pPr>
        <w:spacing w:line="360" w:lineRule="auto"/>
        <w:jc w:val="both"/>
        <w:rPr>
          <w:szCs w:val="24"/>
        </w:rPr>
      </w:pPr>
    </w:p>
    <w:p w14:paraId="0F2C96F4" w14:textId="14790C23" w:rsidR="00B314D8" w:rsidRDefault="00FC6C75" w:rsidP="00A80FF2">
      <w:pPr>
        <w:jc w:val="both"/>
        <w:rPr>
          <w:szCs w:val="24"/>
        </w:rPr>
      </w:pPr>
      <w:r>
        <w:rPr>
          <w:szCs w:val="24"/>
        </w:rPr>
        <w:t xml:space="preserve">Savivaldybės </w:t>
      </w:r>
      <w:r w:rsidR="00A80FF2">
        <w:rPr>
          <w:szCs w:val="24"/>
        </w:rPr>
        <w:t>meras</w:t>
      </w:r>
      <w:r w:rsidR="00A80FF2">
        <w:rPr>
          <w:szCs w:val="24"/>
        </w:rPr>
        <w:tab/>
      </w:r>
      <w:r w:rsidR="00A80FF2">
        <w:rPr>
          <w:szCs w:val="24"/>
        </w:rPr>
        <w:tab/>
      </w:r>
      <w:r w:rsidR="00A80FF2">
        <w:rPr>
          <w:szCs w:val="24"/>
        </w:rPr>
        <w:tab/>
      </w:r>
      <w:r w:rsidR="00A80FF2">
        <w:rPr>
          <w:szCs w:val="24"/>
        </w:rPr>
        <w:tab/>
      </w:r>
      <w:proofErr w:type="gramStart"/>
      <w:r w:rsidR="00A80FF2">
        <w:rPr>
          <w:szCs w:val="24"/>
        </w:rPr>
        <w:t xml:space="preserve">       </w:t>
      </w:r>
      <w:proofErr w:type="gramEnd"/>
      <w:r w:rsidR="00A80FF2">
        <w:rPr>
          <w:szCs w:val="24"/>
        </w:rPr>
        <w:t>Rytis Mykolas Račkauskas</w:t>
      </w:r>
    </w:p>
    <w:p w14:paraId="0F2C97FC" w14:textId="1FE1E441" w:rsidR="009B17EB" w:rsidRDefault="009B17EB" w:rsidP="00A035DB">
      <w:pPr>
        <w:spacing w:line="360" w:lineRule="auto"/>
        <w:ind w:firstLine="720"/>
        <w:jc w:val="center"/>
      </w:pPr>
    </w:p>
    <w:sectPr w:rsidR="009B17EB" w:rsidSect="0058097F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708" w:bottom="1134" w:left="1701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D242D" w14:textId="77777777" w:rsidR="002A0DA4" w:rsidRDefault="002A0DA4" w:rsidP="002B290D">
      <w:r>
        <w:separator/>
      </w:r>
    </w:p>
  </w:endnote>
  <w:endnote w:type="continuationSeparator" w:id="0">
    <w:p w14:paraId="03FF8764" w14:textId="77777777" w:rsidR="002A0DA4" w:rsidRDefault="002A0DA4" w:rsidP="002B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C9807" w14:textId="77777777" w:rsidR="0058097F" w:rsidRDefault="0058097F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0F2C9808" w14:textId="77777777" w:rsidR="0058097F" w:rsidRDefault="0058097F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7BF0B" w14:textId="77777777" w:rsidR="002A0DA4" w:rsidRDefault="002A0DA4" w:rsidP="002B290D">
      <w:r>
        <w:separator/>
      </w:r>
    </w:p>
  </w:footnote>
  <w:footnote w:type="continuationSeparator" w:id="0">
    <w:p w14:paraId="587FC86C" w14:textId="77777777" w:rsidR="002A0DA4" w:rsidRDefault="002A0DA4" w:rsidP="002B2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C9803" w14:textId="77777777" w:rsidR="0058097F" w:rsidRDefault="0058097F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2C9804" w14:textId="77777777" w:rsidR="0058097F" w:rsidRDefault="0058097F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C9805" w14:textId="77777777" w:rsidR="0058097F" w:rsidRPr="002B4129" w:rsidRDefault="0058097F" w:rsidP="0058097F">
    <w:pPr>
      <w:pStyle w:val="Antrats"/>
      <w:framePr w:wrap="around" w:vAnchor="text" w:hAnchor="page" w:x="6202" w:y="361"/>
      <w:rPr>
        <w:rStyle w:val="Puslapionumeris"/>
        <w:szCs w:val="24"/>
      </w:rPr>
    </w:pPr>
    <w:r w:rsidRPr="002B4129">
      <w:rPr>
        <w:rStyle w:val="Puslapionumeris"/>
        <w:szCs w:val="24"/>
      </w:rPr>
      <w:fldChar w:fldCharType="begin"/>
    </w:r>
    <w:r w:rsidRPr="002B4129">
      <w:rPr>
        <w:rStyle w:val="Puslapionumeris"/>
        <w:szCs w:val="24"/>
      </w:rPr>
      <w:instrText xml:space="preserve">PAGE  </w:instrText>
    </w:r>
    <w:r w:rsidRPr="002B4129">
      <w:rPr>
        <w:rStyle w:val="Puslapionumeris"/>
        <w:szCs w:val="24"/>
      </w:rPr>
      <w:fldChar w:fldCharType="separate"/>
    </w:r>
    <w:r w:rsidR="00C855E1">
      <w:rPr>
        <w:rStyle w:val="Puslapionumeris"/>
        <w:noProof/>
        <w:szCs w:val="24"/>
      </w:rPr>
      <w:t>3</w:t>
    </w:r>
    <w:r w:rsidRPr="002B4129">
      <w:rPr>
        <w:rStyle w:val="Puslapionumeris"/>
        <w:szCs w:val="24"/>
      </w:rPr>
      <w:fldChar w:fldCharType="end"/>
    </w:r>
  </w:p>
  <w:p w14:paraId="0F2C9806" w14:textId="77777777" w:rsidR="0058097F" w:rsidRDefault="0058097F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C9809" w14:textId="77777777" w:rsidR="0058097F" w:rsidRDefault="0058097F">
    <w:pPr>
      <w:pStyle w:val="Antrats"/>
    </w:pPr>
  </w:p>
  <w:p w14:paraId="0F2C980A" w14:textId="77777777" w:rsidR="0058097F" w:rsidRDefault="0058097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61D1"/>
    <w:multiLevelType w:val="hybridMultilevel"/>
    <w:tmpl w:val="A03C8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F931DB"/>
    <w:multiLevelType w:val="hybridMultilevel"/>
    <w:tmpl w:val="EA208F22"/>
    <w:lvl w:ilvl="0" w:tplc="1A441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026A3"/>
    <w:multiLevelType w:val="hybridMultilevel"/>
    <w:tmpl w:val="C9520D86"/>
    <w:lvl w:ilvl="0" w:tplc="226E3B44">
      <w:start w:val="1"/>
      <w:numFmt w:val="decimal"/>
      <w:lvlText w:val="%1."/>
      <w:lvlJc w:val="left"/>
      <w:pPr>
        <w:ind w:left="1440" w:hanging="360"/>
      </w:pPr>
      <w:rPr>
        <w:rFonts w:hint="default"/>
        <w:u w:color="FFFFFF" w:themeColor="background1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05C84"/>
    <w:multiLevelType w:val="hybridMultilevel"/>
    <w:tmpl w:val="4A342B44"/>
    <w:lvl w:ilvl="0" w:tplc="F4EA5E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7241BC4"/>
    <w:multiLevelType w:val="hybridMultilevel"/>
    <w:tmpl w:val="C478D7E0"/>
    <w:lvl w:ilvl="0" w:tplc="8DC44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3A982765"/>
    <w:multiLevelType w:val="hybridMultilevel"/>
    <w:tmpl w:val="EFA887D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FB11D4"/>
    <w:multiLevelType w:val="multilevel"/>
    <w:tmpl w:val="66AC6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AF63DD"/>
    <w:multiLevelType w:val="hybridMultilevel"/>
    <w:tmpl w:val="1B0AC054"/>
    <w:lvl w:ilvl="0" w:tplc="078CF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737C09"/>
    <w:multiLevelType w:val="hybridMultilevel"/>
    <w:tmpl w:val="5738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600FE"/>
    <w:multiLevelType w:val="hybridMultilevel"/>
    <w:tmpl w:val="CFF814A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1C382A"/>
    <w:multiLevelType w:val="hybridMultilevel"/>
    <w:tmpl w:val="DE12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8D6B8B"/>
    <w:multiLevelType w:val="hybridMultilevel"/>
    <w:tmpl w:val="EA5EA5D6"/>
    <w:lvl w:ilvl="0" w:tplc="078CFF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1609AF"/>
    <w:multiLevelType w:val="hybridMultilevel"/>
    <w:tmpl w:val="67D4BB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6108D2"/>
    <w:multiLevelType w:val="hybridMultilevel"/>
    <w:tmpl w:val="8AF4517C"/>
    <w:lvl w:ilvl="0" w:tplc="CB82C62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4" w15:restartNumberingAfterBreak="0">
    <w:nsid w:val="742B6FD4"/>
    <w:multiLevelType w:val="hybridMultilevel"/>
    <w:tmpl w:val="CB3C6428"/>
    <w:lvl w:ilvl="0" w:tplc="CCE06A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6033463"/>
    <w:multiLevelType w:val="hybridMultilevel"/>
    <w:tmpl w:val="E1E6D9B6"/>
    <w:lvl w:ilvl="0" w:tplc="078CF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04821"/>
    <w:multiLevelType w:val="hybridMultilevel"/>
    <w:tmpl w:val="958CB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76631"/>
    <w:multiLevelType w:val="multilevel"/>
    <w:tmpl w:val="07FE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DDB1E15"/>
    <w:multiLevelType w:val="hybridMultilevel"/>
    <w:tmpl w:val="73004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3"/>
  </w:num>
  <w:num w:numId="5">
    <w:abstractNumId w:val="4"/>
  </w:num>
  <w:num w:numId="6">
    <w:abstractNumId w:val="5"/>
  </w:num>
  <w:num w:numId="7">
    <w:abstractNumId w:val="9"/>
  </w:num>
  <w:num w:numId="8">
    <w:abstractNumId w:val="17"/>
  </w:num>
  <w:num w:numId="9">
    <w:abstractNumId w:val="0"/>
  </w:num>
  <w:num w:numId="10">
    <w:abstractNumId w:val="16"/>
  </w:num>
  <w:num w:numId="11">
    <w:abstractNumId w:val="8"/>
  </w:num>
  <w:num w:numId="12">
    <w:abstractNumId w:val="18"/>
  </w:num>
  <w:num w:numId="13">
    <w:abstractNumId w:val="10"/>
  </w:num>
  <w:num w:numId="14">
    <w:abstractNumId w:val="1"/>
  </w:num>
  <w:num w:numId="15">
    <w:abstractNumId w:val="6"/>
  </w:num>
  <w:num w:numId="16">
    <w:abstractNumId w:val="2"/>
  </w:num>
  <w:num w:numId="17">
    <w:abstractNumId w:val="7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D8"/>
    <w:rsid w:val="00034069"/>
    <w:rsid w:val="000815B5"/>
    <w:rsid w:val="000C49AD"/>
    <w:rsid w:val="000D65C7"/>
    <w:rsid w:val="00132DAF"/>
    <w:rsid w:val="0021556D"/>
    <w:rsid w:val="00220546"/>
    <w:rsid w:val="002567D3"/>
    <w:rsid w:val="00276690"/>
    <w:rsid w:val="002875FB"/>
    <w:rsid w:val="002A0DA4"/>
    <w:rsid w:val="002B290D"/>
    <w:rsid w:val="002C4598"/>
    <w:rsid w:val="002D00BD"/>
    <w:rsid w:val="0033287D"/>
    <w:rsid w:val="0034645D"/>
    <w:rsid w:val="0037357A"/>
    <w:rsid w:val="003741C2"/>
    <w:rsid w:val="003755E5"/>
    <w:rsid w:val="0038072F"/>
    <w:rsid w:val="0038517A"/>
    <w:rsid w:val="00387EAF"/>
    <w:rsid w:val="00411B15"/>
    <w:rsid w:val="004242AB"/>
    <w:rsid w:val="00465E20"/>
    <w:rsid w:val="00467A2F"/>
    <w:rsid w:val="00496164"/>
    <w:rsid w:val="004F2006"/>
    <w:rsid w:val="00506DE1"/>
    <w:rsid w:val="005078E0"/>
    <w:rsid w:val="0057791C"/>
    <w:rsid w:val="0058097F"/>
    <w:rsid w:val="00596BCD"/>
    <w:rsid w:val="00615BED"/>
    <w:rsid w:val="006538EE"/>
    <w:rsid w:val="00654BBB"/>
    <w:rsid w:val="00680828"/>
    <w:rsid w:val="00681008"/>
    <w:rsid w:val="006E3F82"/>
    <w:rsid w:val="006F3FA6"/>
    <w:rsid w:val="0076401C"/>
    <w:rsid w:val="0078013C"/>
    <w:rsid w:val="00842FF9"/>
    <w:rsid w:val="008656BB"/>
    <w:rsid w:val="00871DBC"/>
    <w:rsid w:val="00880BF2"/>
    <w:rsid w:val="00882479"/>
    <w:rsid w:val="008C7F69"/>
    <w:rsid w:val="008F1B35"/>
    <w:rsid w:val="009B17EB"/>
    <w:rsid w:val="009B38CA"/>
    <w:rsid w:val="009D040C"/>
    <w:rsid w:val="00A035DB"/>
    <w:rsid w:val="00A80FF2"/>
    <w:rsid w:val="00B314D8"/>
    <w:rsid w:val="00B5326D"/>
    <w:rsid w:val="00BF1260"/>
    <w:rsid w:val="00C262A1"/>
    <w:rsid w:val="00C352CC"/>
    <w:rsid w:val="00C37E69"/>
    <w:rsid w:val="00C70512"/>
    <w:rsid w:val="00C84DAD"/>
    <w:rsid w:val="00C855E1"/>
    <w:rsid w:val="00CA1F50"/>
    <w:rsid w:val="00CB05B5"/>
    <w:rsid w:val="00CE7904"/>
    <w:rsid w:val="00D71937"/>
    <w:rsid w:val="00D908C3"/>
    <w:rsid w:val="00D91485"/>
    <w:rsid w:val="00DA24F6"/>
    <w:rsid w:val="00DB7FA9"/>
    <w:rsid w:val="00DE7FFC"/>
    <w:rsid w:val="00DF60BC"/>
    <w:rsid w:val="00E43F53"/>
    <w:rsid w:val="00EB0908"/>
    <w:rsid w:val="00EF7F9E"/>
    <w:rsid w:val="00FB0927"/>
    <w:rsid w:val="00FC6C75"/>
    <w:rsid w:val="00FC7111"/>
    <w:rsid w:val="00FE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96E1"/>
  <w15:chartTrackingRefBased/>
  <w15:docId w15:val="{6D120E88-BD6D-4F91-A0B2-8BAA7A4A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F3FA6"/>
    <w:rPr>
      <w:rFonts w:eastAsia="Times New Roman" w:cs="Times New Roman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C6C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C6C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B314D8"/>
    <w:pPr>
      <w:keepNext/>
      <w:jc w:val="both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B314D8"/>
    <w:rPr>
      <w:rFonts w:eastAsia="Times New Roman" w:cs="Times New Roman"/>
      <w:b/>
      <w:bCs/>
      <w:szCs w:val="20"/>
    </w:rPr>
  </w:style>
  <w:style w:type="paragraph" w:styleId="Sraopastraipa">
    <w:name w:val="List Paragraph"/>
    <w:basedOn w:val="prastasis"/>
    <w:uiPriority w:val="34"/>
    <w:qFormat/>
    <w:rsid w:val="00B314D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8F1B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1B35"/>
    <w:rPr>
      <w:rFonts w:ascii="Segoe UI" w:eastAsia="Times New Roman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C6C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C6C75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customStyle="1" w:styleId="Char">
    <w:name w:val="Char"/>
    <w:basedOn w:val="prastasis"/>
    <w:rsid w:val="00882479"/>
    <w:pPr>
      <w:spacing w:after="160" w:line="240" w:lineRule="exact"/>
    </w:pPr>
    <w:rPr>
      <w:rFonts w:ascii="Tahoma" w:hAnsi="Tahoma"/>
      <w:lang w:val="en-US"/>
    </w:rPr>
  </w:style>
  <w:style w:type="paragraph" w:styleId="Pagrindinistekstas2">
    <w:name w:val="Body Text 2"/>
    <w:basedOn w:val="prastasis"/>
    <w:link w:val="Pagrindinistekstas2Diagrama"/>
    <w:semiHidden/>
    <w:rsid w:val="00882479"/>
    <w:pPr>
      <w:spacing w:line="480" w:lineRule="auto"/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882479"/>
    <w:rPr>
      <w:rFonts w:eastAsia="Times New Roman" w:cs="Times New Roman"/>
      <w:szCs w:val="20"/>
    </w:rPr>
  </w:style>
  <w:style w:type="character" w:styleId="Grietas">
    <w:name w:val="Strong"/>
    <w:uiPriority w:val="22"/>
    <w:qFormat/>
    <w:rsid w:val="00DE7FFC"/>
    <w:rPr>
      <w:b/>
      <w:bCs/>
    </w:rPr>
  </w:style>
  <w:style w:type="paragraph" w:customStyle="1" w:styleId="Default">
    <w:name w:val="Default"/>
    <w:rsid w:val="00DE7FFC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411B1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411B15"/>
    <w:rPr>
      <w:rFonts w:eastAsia="Times New Roman" w:cs="Times New Roman"/>
      <w:sz w:val="16"/>
      <w:szCs w:val="16"/>
    </w:rPr>
  </w:style>
  <w:style w:type="character" w:customStyle="1" w:styleId="apple-converted-space">
    <w:name w:val="apple-converted-space"/>
    <w:rsid w:val="009B38CA"/>
  </w:style>
  <w:style w:type="character" w:styleId="Hipersaitas">
    <w:name w:val="Hyperlink"/>
    <w:rsid w:val="009B17EB"/>
    <w:rPr>
      <w:color w:val="0000FF"/>
      <w:u w:val="single"/>
    </w:rPr>
  </w:style>
  <w:style w:type="paragraph" w:styleId="prastasiniatinklio">
    <w:name w:val="Normal (Web)"/>
    <w:basedOn w:val="prastasis"/>
    <w:rsid w:val="009B17EB"/>
    <w:pPr>
      <w:spacing w:before="100" w:beforeAutospacing="1" w:after="100" w:afterAutospacing="1"/>
    </w:pPr>
    <w:rPr>
      <w:szCs w:val="24"/>
      <w:lang w:val="en-GB"/>
    </w:rPr>
  </w:style>
  <w:style w:type="table" w:styleId="Lentelstinklelis">
    <w:name w:val="Table Grid"/>
    <w:basedOn w:val="prastojilentel"/>
    <w:uiPriority w:val="59"/>
    <w:rsid w:val="009B17EB"/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654BBB"/>
    <w:pPr>
      <w:tabs>
        <w:tab w:val="center" w:pos="4819"/>
        <w:tab w:val="right" w:pos="9638"/>
      </w:tabs>
    </w:pPr>
    <w:rPr>
      <w:rFonts w:eastAsiaTheme="minorHAnsi" w:cstheme="minorBidi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54BBB"/>
  </w:style>
  <w:style w:type="paragraph" w:styleId="Pagrindinistekstas">
    <w:name w:val="Body Text"/>
    <w:basedOn w:val="prastasis"/>
    <w:link w:val="PagrindinistekstasDiagrama"/>
    <w:rsid w:val="0038072F"/>
    <w:pPr>
      <w:spacing w:after="120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8072F"/>
    <w:rPr>
      <w:rFonts w:eastAsia="Times New Roman" w:cs="Times New Roman"/>
      <w:sz w:val="20"/>
      <w:szCs w:val="20"/>
    </w:rPr>
  </w:style>
  <w:style w:type="paragraph" w:customStyle="1" w:styleId="CharCharChar">
    <w:name w:val="Char Char Char"/>
    <w:basedOn w:val="prastasis"/>
    <w:rsid w:val="0038072F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38072F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8072F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38072F"/>
  </w:style>
  <w:style w:type="paragraph" w:styleId="Porat">
    <w:name w:val="footer"/>
    <w:basedOn w:val="prastasis"/>
    <w:link w:val="PoratDiagrama"/>
    <w:rsid w:val="002B290D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rsid w:val="002B290D"/>
    <w:rPr>
      <w:rFonts w:eastAsia="Times New Roman" w:cs="Times New Roman"/>
      <w:sz w:val="20"/>
      <w:szCs w:val="20"/>
    </w:rPr>
  </w:style>
  <w:style w:type="paragraph" w:styleId="Betarp">
    <w:name w:val="No Spacing"/>
    <w:uiPriority w:val="1"/>
    <w:qFormat/>
    <w:rsid w:val="002B290D"/>
    <w:rPr>
      <w:rFonts w:eastAsia="Calibri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9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9C340-7C46-43EC-875D-A161159E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3228</Words>
  <Characters>1841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Solveiga Sereikienė</cp:lastModifiedBy>
  <cp:revision>23</cp:revision>
  <cp:lastPrinted>2018-07-11T13:28:00Z</cp:lastPrinted>
  <dcterms:created xsi:type="dcterms:W3CDTF">2020-01-02T07:37:00Z</dcterms:created>
  <dcterms:modified xsi:type="dcterms:W3CDTF">2021-01-05T09:09:00Z</dcterms:modified>
</cp:coreProperties>
</file>