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2B" w:rsidRDefault="00BC332B">
      <w:pPr>
        <w:tabs>
          <w:tab w:val="center" w:pos="4153"/>
          <w:tab w:val="right" w:pos="8306"/>
        </w:tabs>
        <w:rPr>
          <w:rFonts w:ascii="TIMESLT" w:hAnsi="TIMESLT"/>
          <w:lang w:val="en-US"/>
        </w:rPr>
      </w:pPr>
      <w:bookmarkStart w:id="0" w:name="_GoBack"/>
      <w:bookmarkEnd w:id="0"/>
    </w:p>
    <w:p w:rsidR="00BC332B" w:rsidRDefault="00A017F6">
      <w:pPr>
        <w:jc w:val="center"/>
        <w:rPr>
          <w:caps/>
          <w:sz w:val="22"/>
        </w:rPr>
      </w:pPr>
      <w:r>
        <w:rPr>
          <w:caps/>
          <w:noProof/>
          <w:lang w:eastAsia="lt-LT"/>
        </w:rPr>
        <w:drawing>
          <wp:inline distT="0" distB="0" distL="0" distR="0" wp14:anchorId="1B822A96" wp14:editId="6BA88F96">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rsidR="00BC332B" w:rsidRDefault="00BC332B">
      <w:pPr>
        <w:jc w:val="center"/>
        <w:rPr>
          <w:caps/>
          <w:sz w:val="12"/>
          <w:szCs w:val="12"/>
        </w:rPr>
      </w:pPr>
    </w:p>
    <w:p w:rsidR="00BC332B" w:rsidRDefault="00A017F6">
      <w:pPr>
        <w:jc w:val="center"/>
        <w:rPr>
          <w:b/>
          <w:bCs/>
          <w:caps/>
        </w:rPr>
      </w:pPr>
      <w:r>
        <w:rPr>
          <w:b/>
          <w:bCs/>
          <w:caps/>
        </w:rPr>
        <w:t>LIETUVOS RESPUBLIKOS</w:t>
      </w:r>
    </w:p>
    <w:p w:rsidR="00BC332B" w:rsidRDefault="00A017F6">
      <w:pPr>
        <w:jc w:val="center"/>
        <w:rPr>
          <w:b/>
          <w:caps/>
        </w:rPr>
      </w:pPr>
      <w:r>
        <w:rPr>
          <w:b/>
          <w:caps/>
        </w:rPr>
        <w:t>VALSTYBĖS IR SAVIVALDYBIŲ ĮSTAIGŲ DARBUOTOJŲ DARBO APMOKĖJIMO IR KOMISIJŲ NARIŲ ATLYGIO UŽ DARBĄ ĮSTATYMO NR. XIII-198 1, 5, 7, 9, 10, 11, 12, 16 STRAIPSNIŲ IR 1, 2, 3, 4, 5 PRIEDŲ PAKEITIMO</w:t>
      </w:r>
    </w:p>
    <w:p w:rsidR="00BC332B" w:rsidRDefault="00A017F6">
      <w:pPr>
        <w:jc w:val="center"/>
        <w:rPr>
          <w:caps/>
        </w:rPr>
      </w:pPr>
      <w:r>
        <w:rPr>
          <w:b/>
          <w:caps/>
        </w:rPr>
        <w:t>ĮSTATYMAS</w:t>
      </w:r>
    </w:p>
    <w:p w:rsidR="00BC332B" w:rsidRDefault="00BC332B">
      <w:pPr>
        <w:jc w:val="center"/>
        <w:rPr>
          <w:b/>
          <w:caps/>
        </w:rPr>
      </w:pPr>
    </w:p>
    <w:p w:rsidR="00BC332B" w:rsidRDefault="00A017F6">
      <w:pPr>
        <w:jc w:val="center"/>
        <w:rPr>
          <w:szCs w:val="24"/>
        </w:rPr>
      </w:pPr>
      <w:r>
        <w:rPr>
          <w:szCs w:val="24"/>
          <w:lang w:val="en-US"/>
        </w:rPr>
        <w:t>2020</w:t>
      </w:r>
      <w:r>
        <w:rPr>
          <w:szCs w:val="24"/>
        </w:rPr>
        <w:t xml:space="preserve"> m. </w:t>
      </w:r>
      <w:r>
        <w:rPr>
          <w:szCs w:val="24"/>
          <w:lang w:val="en-US"/>
        </w:rPr>
        <w:t>gruodžio</w:t>
      </w:r>
      <w:r>
        <w:rPr>
          <w:szCs w:val="24"/>
        </w:rPr>
        <w:t xml:space="preserve"> </w:t>
      </w:r>
      <w:r>
        <w:rPr>
          <w:szCs w:val="24"/>
          <w:lang w:val="en-US"/>
        </w:rPr>
        <w:t>23</w:t>
      </w:r>
      <w:r>
        <w:rPr>
          <w:szCs w:val="24"/>
        </w:rPr>
        <w:t xml:space="preserve"> d. Nr. </w:t>
      </w:r>
      <w:r>
        <w:rPr>
          <w:szCs w:val="24"/>
          <w:lang w:val="en-US"/>
        </w:rPr>
        <w:t>XIV-127</w:t>
      </w:r>
    </w:p>
    <w:p w:rsidR="00BC332B" w:rsidRDefault="00A017F6">
      <w:pPr>
        <w:jc w:val="center"/>
        <w:rPr>
          <w:szCs w:val="24"/>
        </w:rPr>
      </w:pPr>
      <w:r>
        <w:rPr>
          <w:szCs w:val="24"/>
        </w:rPr>
        <w:t>Vilnius</w:t>
      </w:r>
    </w:p>
    <w:p w:rsidR="00BC332B" w:rsidRDefault="00BC332B">
      <w:pPr>
        <w:jc w:val="center"/>
        <w:rPr>
          <w:sz w:val="22"/>
        </w:rPr>
      </w:pPr>
    </w:p>
    <w:p w:rsidR="00BC332B" w:rsidRDefault="00BC332B">
      <w:pPr>
        <w:spacing w:line="360" w:lineRule="auto"/>
        <w:ind w:firstLine="720"/>
        <w:jc w:val="both"/>
        <w:rPr>
          <w:sz w:val="16"/>
          <w:szCs w:val="16"/>
        </w:rPr>
      </w:pPr>
    </w:p>
    <w:p w:rsidR="00BC332B" w:rsidRDefault="00BC332B">
      <w:pPr>
        <w:spacing w:line="360" w:lineRule="auto"/>
        <w:ind w:firstLine="720"/>
        <w:jc w:val="both"/>
        <w:sectPr w:rsidR="00BC332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rsidR="00BC332B" w:rsidRDefault="00BC332B">
      <w:pPr>
        <w:tabs>
          <w:tab w:val="center" w:pos="4153"/>
          <w:tab w:val="right" w:pos="8306"/>
        </w:tabs>
        <w:rPr>
          <w:rFonts w:ascii="TIMESLT" w:hAnsi="TIMESLT"/>
          <w:lang w:val="en-US"/>
        </w:rPr>
      </w:pPr>
    </w:p>
    <w:p w:rsidR="00BC332B" w:rsidRDefault="00A017F6">
      <w:pPr>
        <w:spacing w:line="360" w:lineRule="auto"/>
        <w:ind w:firstLine="720"/>
        <w:jc w:val="both"/>
        <w:rPr>
          <w:b/>
          <w:szCs w:val="24"/>
          <w:lang w:eastAsia="lt-LT"/>
        </w:rPr>
      </w:pPr>
      <w:r>
        <w:rPr>
          <w:b/>
          <w:szCs w:val="24"/>
          <w:lang w:eastAsia="lt-LT"/>
        </w:rPr>
        <w:t xml:space="preserve">1 straipsnis. 1 straipsnio pakeitimas </w:t>
      </w:r>
    </w:p>
    <w:p w:rsidR="00BC332B" w:rsidRDefault="00A017F6">
      <w:pPr>
        <w:spacing w:line="360" w:lineRule="auto"/>
        <w:ind w:firstLine="720"/>
        <w:jc w:val="both"/>
        <w:rPr>
          <w:szCs w:val="24"/>
          <w:lang w:eastAsia="lt-LT"/>
        </w:rPr>
      </w:pPr>
      <w:r>
        <w:rPr>
          <w:szCs w:val="24"/>
          <w:lang w:eastAsia="lt-LT"/>
        </w:rPr>
        <w:t>Pakeisti 1 straipsnio 1 dalį ir ją išdėstyti taip:</w:t>
      </w:r>
    </w:p>
    <w:p w:rsidR="00BC332B" w:rsidRDefault="00A017F6">
      <w:pPr>
        <w:spacing w:line="360" w:lineRule="auto"/>
        <w:ind w:firstLine="720"/>
        <w:jc w:val="both"/>
        <w:rPr>
          <w:color w:val="000000"/>
          <w:szCs w:val="24"/>
          <w:lang w:eastAsia="lt-LT"/>
        </w:rPr>
      </w:pPr>
      <w:r>
        <w:rPr>
          <w:color w:val="000000"/>
          <w:szCs w:val="24"/>
          <w:lang w:eastAsia="lt-LT"/>
        </w:rPr>
        <w:t>„1. Šis įstatymas nustato valstybės ir savivaldybių biudžetinių įstaigų, finansuojamų iš valstybės biudžeto, savivaldybių biudžetų, Valstybinio socialinio draudimo fondo biudžeto ir kitų valstybės įsteigtų pinigų fondų lėšų (toliau – biudžetinės įstaigos), darbuotojų, dirbančių pagal darbo sutartis (toliau – darbuotojai), darbo apmokėjimo sąlygas ir dydžius, materialines pašalpas, darbuotojų pareigybių lygius ir grupes, kasmetinį veiklos vertinimą, taip pat įstatymų pagrindais sudarytų komisijų (grupių, tarybų, Teisėjų garbės teismo, darbo arbitražo), finansuojamų iš valstybės ir savivaldybių biudžetų (toliau kartu – komisijos), pirmininkų, pirmininkų pavaduotojų ir narių (toliau – komisijų nariai) atlygį už darbą.“</w:t>
      </w:r>
    </w:p>
    <w:p w:rsidR="00BC332B" w:rsidRDefault="00BC332B">
      <w:pPr>
        <w:spacing w:line="360" w:lineRule="auto"/>
        <w:ind w:firstLine="720"/>
        <w:jc w:val="both"/>
        <w:rPr>
          <w:color w:val="000000"/>
          <w:szCs w:val="24"/>
          <w:lang w:eastAsia="lt-LT"/>
        </w:rPr>
      </w:pPr>
    </w:p>
    <w:p w:rsidR="00BC332B" w:rsidRDefault="00A017F6">
      <w:pPr>
        <w:spacing w:line="360" w:lineRule="auto"/>
        <w:ind w:firstLine="720"/>
        <w:jc w:val="both"/>
        <w:rPr>
          <w:b/>
          <w:szCs w:val="24"/>
          <w:lang w:eastAsia="lt-LT"/>
        </w:rPr>
      </w:pPr>
      <w:r>
        <w:rPr>
          <w:b/>
          <w:szCs w:val="24"/>
          <w:lang w:eastAsia="lt-LT"/>
        </w:rPr>
        <w:t xml:space="preserve">2 straipsnis. 5 straipsnio pakeitimas </w:t>
      </w:r>
    </w:p>
    <w:p w:rsidR="00BC332B" w:rsidRDefault="00A017F6">
      <w:pPr>
        <w:spacing w:line="360" w:lineRule="auto"/>
        <w:ind w:firstLine="720"/>
        <w:jc w:val="both"/>
        <w:rPr>
          <w:b/>
          <w:szCs w:val="24"/>
          <w:lang w:eastAsia="lt-LT"/>
        </w:rPr>
      </w:pPr>
      <w:r>
        <w:rPr>
          <w:szCs w:val="24"/>
          <w:lang w:eastAsia="lt-LT"/>
        </w:rPr>
        <w:t>Pakeisti 5 straipsnį ir jį išdėstyti taip:</w:t>
      </w:r>
    </w:p>
    <w:p w:rsidR="00BC332B" w:rsidRDefault="00A017F6">
      <w:pPr>
        <w:spacing w:line="360" w:lineRule="auto"/>
        <w:ind w:firstLine="720"/>
        <w:jc w:val="both"/>
        <w:rPr>
          <w:bCs/>
          <w:szCs w:val="24"/>
          <w:lang w:eastAsia="lt-LT"/>
        </w:rPr>
      </w:pPr>
      <w:r>
        <w:rPr>
          <w:bCs/>
          <w:szCs w:val="24"/>
          <w:lang w:eastAsia="lt-LT"/>
        </w:rPr>
        <w:t>„</w:t>
      </w:r>
      <w:r>
        <w:rPr>
          <w:b/>
          <w:bCs/>
          <w:szCs w:val="24"/>
          <w:lang w:eastAsia="lt-LT"/>
        </w:rPr>
        <w:t>5 straipsnis. Darbo užmokestis ir darbo apmokėjimo sistema</w:t>
      </w:r>
    </w:p>
    <w:p w:rsidR="00BC332B" w:rsidRDefault="00A017F6">
      <w:pPr>
        <w:spacing w:line="360" w:lineRule="auto"/>
        <w:ind w:firstLine="720"/>
        <w:jc w:val="both"/>
        <w:rPr>
          <w:szCs w:val="24"/>
          <w:lang w:eastAsia="lt-LT"/>
        </w:rPr>
      </w:pPr>
      <w:r>
        <w:rPr>
          <w:szCs w:val="24"/>
          <w:lang w:eastAsia="lt-LT"/>
        </w:rPr>
        <w:t>1. Biudžetinių įstaigų darbuotojų darbo užmokestį sudaro:</w:t>
      </w:r>
    </w:p>
    <w:p w:rsidR="00BC332B" w:rsidRDefault="00A017F6">
      <w:pPr>
        <w:spacing w:line="360" w:lineRule="auto"/>
        <w:ind w:firstLine="720"/>
        <w:jc w:val="both"/>
        <w:rPr>
          <w:szCs w:val="24"/>
          <w:lang w:eastAsia="lt-LT"/>
        </w:rPr>
      </w:pPr>
      <w:r>
        <w:rPr>
          <w:szCs w:val="24"/>
          <w:lang w:eastAsia="lt-LT"/>
        </w:rPr>
        <w:t>1) pareiginė alga (pastovioji ir kintamoji dalys arba tik pastovioji dalis, jeigu šio įstatymo nustatyta tvarka kintamoji dalis nenustatyta);</w:t>
      </w:r>
    </w:p>
    <w:p w:rsidR="00BC332B" w:rsidRDefault="00A017F6">
      <w:pPr>
        <w:spacing w:line="360" w:lineRule="auto"/>
        <w:ind w:firstLine="720"/>
        <w:jc w:val="both"/>
        <w:rPr>
          <w:szCs w:val="24"/>
          <w:lang w:eastAsia="lt-LT"/>
        </w:rPr>
      </w:pPr>
      <w:r>
        <w:rPr>
          <w:szCs w:val="24"/>
          <w:lang w:eastAsia="lt-LT"/>
        </w:rPr>
        <w:t>2) priemokos;</w:t>
      </w:r>
    </w:p>
    <w:p w:rsidR="00BC332B" w:rsidRDefault="00A017F6">
      <w:pPr>
        <w:spacing w:line="360" w:lineRule="auto"/>
        <w:ind w:firstLine="720"/>
        <w:jc w:val="both"/>
        <w:rPr>
          <w:szCs w:val="24"/>
          <w:lang w:eastAsia="lt-LT"/>
        </w:rPr>
      </w:pPr>
      <w:r>
        <w:rPr>
          <w:szCs w:val="24"/>
          <w:lang w:eastAsia="lt-LT"/>
        </w:rPr>
        <w:t>3) mokėjimas už darbą poilsio ir švenčių dienomis, nakties ir viršvalandinį darbą, budėjimą;</w:t>
      </w:r>
    </w:p>
    <w:p w:rsidR="00BC332B" w:rsidRDefault="00A017F6">
      <w:pPr>
        <w:spacing w:line="360" w:lineRule="auto"/>
        <w:ind w:firstLine="720"/>
        <w:jc w:val="both"/>
        <w:rPr>
          <w:szCs w:val="24"/>
          <w:lang w:eastAsia="lt-LT"/>
        </w:rPr>
      </w:pPr>
      <w:r>
        <w:rPr>
          <w:szCs w:val="24"/>
          <w:lang w:eastAsia="lt-LT"/>
        </w:rPr>
        <w:t>4) premijos.</w:t>
      </w:r>
    </w:p>
    <w:p w:rsidR="00BC332B" w:rsidRDefault="00A017F6">
      <w:pPr>
        <w:spacing w:line="360" w:lineRule="auto"/>
        <w:ind w:firstLine="720"/>
        <w:jc w:val="both"/>
        <w:rPr>
          <w:szCs w:val="24"/>
          <w:lang w:eastAsia="lt-LT"/>
        </w:rPr>
      </w:pPr>
      <w:r>
        <w:rPr>
          <w:szCs w:val="24"/>
          <w:lang w:eastAsia="lt-LT"/>
        </w:rPr>
        <w:t xml:space="preserve">2. Darbo apmokėjimo sistema nustatoma kolektyvinėje sutartyje. Jeigu kolektyvinės sutarties nėra, darbdavys privalo nustatyti darbo apmokėjimo sistemą ir padaryti ją prieinamą visiems darbuotojams susipažinti. Savininko teises ir pareigas įgyvendinanti institucija nustato </w:t>
      </w:r>
      <w:r>
        <w:rPr>
          <w:szCs w:val="24"/>
          <w:lang w:eastAsia="lt-LT"/>
        </w:rPr>
        <w:lastRenderedPageBreak/>
        <w:t>jos valdymo sričiai priskirtų biudžetinių įstaigų vadovų darbo apmokėjimo sistemą. Prieš nustatant ar keičiant darbo apmokėjimo sistemą, turi būti įvykdytos darbuotojų informavimo ir konsultavimo procedūros Lietuvos Respublikos darbo kodekso nustatyta tvarka (prieš nustatant ar keičiant biudžetinių įstaigų vadovų darbo apmokėjimo sistemą, savininko teises ir pareigas įgyvendinanti institucija informuoja apie tai jos valdymo sričiai priskirtų biudžetinių įstaigų vadovus).</w:t>
      </w:r>
    </w:p>
    <w:p w:rsidR="00BC332B" w:rsidRDefault="00A017F6">
      <w:pPr>
        <w:spacing w:line="360" w:lineRule="auto"/>
        <w:ind w:firstLine="720"/>
        <w:jc w:val="both"/>
        <w:rPr>
          <w:szCs w:val="24"/>
          <w:lang w:eastAsia="lt-LT"/>
        </w:rPr>
      </w:pPr>
      <w:r>
        <w:rPr>
          <w:szCs w:val="24"/>
          <w:lang w:eastAsia="lt-LT"/>
        </w:rPr>
        <w:t>3. Darbo apmokėjimo sistemoje, atsižvelgiant į šio įstatymo nuostatas, detalizuojami biudžetinės įstaigos darbuotojų pareigybių sąraše esančių pareigybių pareiginės algos pastoviosios dalies nustatymo kriterijai (išsilavinimas, profesinio ir (ar) vadovaujamo darbo patirtis, veiklos sudėtingumas, darbo krūvis, atsakomybės lygis, papildomų įgūdžių ar žinių, svarbių einamoms pareigoms, turėjimas ir pan.) ir pagal kiekvieną kriterijų nustatyti konkretūs pareiginės algos pastoviosios dalies koeficientų dydžiai, šio įstatymo 7 straipsnio 6 ir 7</w:t>
      </w:r>
      <w:r>
        <w:rPr>
          <w:szCs w:val="24"/>
          <w:vertAlign w:val="superscript"/>
          <w:lang w:eastAsia="lt-LT"/>
        </w:rPr>
        <w:t xml:space="preserve"> </w:t>
      </w:r>
      <w:r>
        <w:rPr>
          <w:szCs w:val="24"/>
          <w:lang w:eastAsia="lt-LT"/>
        </w:rPr>
        <w:t>dalyse nustatytais pagrindais padidintos pareiginės algos pastoviosios dalies koeficientų dydžiai, 7 straipsnio 8 dalyje nustatyti pareiginės algos pastoviosios dalies koeficiento didinimo iki 100 procentų kriterijai ir jų dydžiai, 9 ir 14 straipsniuose nurodytos pareiginės algos kintamosios dalies nustatymo tvarka ir procentiniai dydžiai, 10 ir 12 straipsniuose nustatyta priemokų ir premijų skyrimo, 11 straipsnyje numatyto m</w:t>
      </w:r>
      <w:r>
        <w:rPr>
          <w:bCs/>
          <w:szCs w:val="24"/>
          <w:lang w:eastAsia="lt-LT"/>
        </w:rPr>
        <w:t>okėjimo už darbą poilsio ir švenčių dienomis, nakties ir viršvalandinį darbą, budėjimą tvarka ir dydžiai</w:t>
      </w:r>
      <w:r>
        <w:rPr>
          <w:szCs w:val="24"/>
          <w:lang w:eastAsia="lt-LT"/>
        </w:rPr>
        <w:t>.“</w:t>
      </w:r>
    </w:p>
    <w:p w:rsidR="00BC332B" w:rsidRDefault="00BC332B">
      <w:pPr>
        <w:spacing w:line="360" w:lineRule="auto"/>
        <w:ind w:firstLine="720"/>
        <w:jc w:val="both"/>
        <w:rPr>
          <w:b/>
          <w:szCs w:val="24"/>
          <w:lang w:eastAsia="lt-LT"/>
        </w:rPr>
      </w:pPr>
    </w:p>
    <w:p w:rsidR="00BC332B" w:rsidRDefault="00A017F6">
      <w:pPr>
        <w:spacing w:line="360" w:lineRule="auto"/>
        <w:ind w:firstLine="720"/>
        <w:jc w:val="both"/>
        <w:rPr>
          <w:b/>
          <w:szCs w:val="24"/>
          <w:lang w:eastAsia="lt-LT"/>
        </w:rPr>
      </w:pPr>
      <w:r>
        <w:rPr>
          <w:b/>
          <w:szCs w:val="24"/>
          <w:lang w:eastAsia="lt-LT"/>
        </w:rPr>
        <w:t>3 straipsnis. 7 straipsnio pakeitimas</w:t>
      </w:r>
    </w:p>
    <w:p w:rsidR="00BC332B" w:rsidRDefault="00A017F6">
      <w:pPr>
        <w:spacing w:line="360" w:lineRule="auto"/>
        <w:ind w:firstLine="720"/>
        <w:jc w:val="both"/>
        <w:rPr>
          <w:szCs w:val="24"/>
          <w:lang w:eastAsia="lt-LT"/>
        </w:rPr>
      </w:pPr>
      <w:r>
        <w:rPr>
          <w:szCs w:val="24"/>
          <w:lang w:eastAsia="lt-LT"/>
        </w:rPr>
        <w:t>1. Pakeisti 7 straipsnio 7 dalį ir ją išdėstyti taip:</w:t>
      </w:r>
    </w:p>
    <w:p w:rsidR="00BC332B" w:rsidRDefault="00A017F6">
      <w:pPr>
        <w:spacing w:line="360" w:lineRule="auto"/>
        <w:ind w:firstLine="720"/>
        <w:jc w:val="both"/>
        <w:rPr>
          <w:color w:val="000000"/>
          <w:szCs w:val="24"/>
          <w:lang w:eastAsia="lt-LT"/>
        </w:rPr>
      </w:pPr>
      <w:r>
        <w:rPr>
          <w:szCs w:val="24"/>
          <w:lang w:eastAsia="lt-LT"/>
        </w:rPr>
        <w:t xml:space="preserve">„7. </w:t>
      </w:r>
      <w:r>
        <w:rPr>
          <w:color w:val="000000"/>
          <w:szCs w:val="24"/>
          <w:lang w:eastAsia="lt-LT"/>
        </w:rPr>
        <w:t>Socialinių paslaugų srities darbuotojams šio įstatymo 1, 2, 3 ir 4 prieduose nustatyti minimalieji pareiginės algos pastoviosios dalies koeficientai didinami 30 procentų.“</w:t>
      </w:r>
    </w:p>
    <w:p w:rsidR="00BC332B" w:rsidRDefault="00A017F6">
      <w:pPr>
        <w:spacing w:line="360" w:lineRule="auto"/>
        <w:ind w:firstLine="720"/>
        <w:jc w:val="both"/>
        <w:rPr>
          <w:szCs w:val="24"/>
          <w:lang w:eastAsia="lt-LT"/>
        </w:rPr>
      </w:pPr>
      <w:r>
        <w:rPr>
          <w:szCs w:val="24"/>
          <w:lang w:eastAsia="lt-LT"/>
        </w:rPr>
        <w:t>2. Pakeisti 7 straipsnio 8 dalį ir ją išdėstyti taip:</w:t>
      </w:r>
    </w:p>
    <w:p w:rsidR="00BC332B" w:rsidRDefault="00A017F6">
      <w:pPr>
        <w:spacing w:line="360" w:lineRule="auto"/>
        <w:ind w:firstLine="720"/>
        <w:jc w:val="both"/>
        <w:rPr>
          <w:b/>
          <w:szCs w:val="24"/>
          <w:lang w:eastAsia="lt-LT"/>
        </w:rPr>
      </w:pPr>
      <w:r>
        <w:rPr>
          <w:szCs w:val="24"/>
          <w:lang w:eastAsia="lt-LT"/>
        </w:rPr>
        <w:t xml:space="preserve">„8. </w:t>
      </w:r>
      <w:r>
        <w:rPr>
          <w:color w:val="000000"/>
          <w:szCs w:val="24"/>
          <w:lang w:eastAsia="lt-LT"/>
        </w:rPr>
        <w:t xml:space="preserve">Nustatant pareiginės algos pastoviąją dalį, papildomai įvertinamas nacionalinių, valstybinių ir savivaldybių kultūros ir meno įstaigų aukščiausiojo profesinio meninio lygio kultūros ir meno darbuotojų nacionaliniu ir tarptautiniu mastu įgytas pripažinimas, Vyriausybės ar jos įgaliotos institucijos nustatytas tam tikrų profesijų atstovų trūkumas Lietuvos Respublikos darbo rinkoje, trenerių ar socialinių paslaugų srities darbuotojų aukšta kvalifikacinė kategorija, nustatyta pagal tam tikrai darbuotojų grupei keliamus kvalifikacinius reikalavimus. Šiais atvejais šio įstatymo 1, 2, 3, 4 ir 5 prieduose nustatyti pareiginės algos pastoviosios dalies koeficientai gali būti didinami iki 100 procentų. Trenerio pareiginės algos pastovioji dalis didinama, atsižvelgiant į jo turimą kvalifikacinę kategoriją: jeigu trenerio kvalifikacinė kategorija pirma, jo pareiginės algos pastovioji dalis didinama 45 procentais, jeigu antra, – 55 procentais, jeigu trečia, – 65 procentais, jeigu ketvirta, – 75 procentais, jeigu penkta, – 90 procentų, jeigu šešta, – </w:t>
      </w:r>
      <w:r>
        <w:rPr>
          <w:color w:val="000000"/>
          <w:szCs w:val="24"/>
          <w:lang w:eastAsia="lt-LT"/>
        </w:rPr>
        <w:lastRenderedPageBreak/>
        <w:t>100 procentų. Treneriams, neturintiems kvalifikacinės kategorijos, pareiginės algos pastoviosios dalies koeficientai gali būti didinami iki 40 procentų. Socialinių paslaugų srities darbuotojo pareiginės algos pastovioji dalis didinama, atsižvelgiant į jo turimą kvalifikacinę kategoriją: jeigu socialinių paslaugų srities darbuotojo kvalifikacinė kategorija pirma (žemiausia), jo pareiginės algos pastovioji dalis didinama 15 procentų, jeigu antra (aukštesnė), – 20 procentų, jeigu trečia (aukščiausia), – 30 procentų. Socialinių paslaugų srities darbuotojams, neturintiems kvalifikacinės kategorijos, pareiginės algos pastoviosios dalies koeficientai gali būti didinami iki 10 procentų.“</w:t>
      </w:r>
    </w:p>
    <w:p w:rsidR="00BC332B" w:rsidRDefault="00BC332B">
      <w:pPr>
        <w:spacing w:line="360" w:lineRule="auto"/>
        <w:ind w:firstLine="720"/>
        <w:jc w:val="both"/>
        <w:rPr>
          <w:b/>
          <w:szCs w:val="24"/>
          <w:lang w:eastAsia="lt-LT"/>
        </w:rPr>
      </w:pPr>
    </w:p>
    <w:p w:rsidR="00BC332B" w:rsidRDefault="00A017F6">
      <w:pPr>
        <w:spacing w:line="360" w:lineRule="auto"/>
        <w:ind w:firstLine="720"/>
        <w:jc w:val="both"/>
        <w:rPr>
          <w:b/>
          <w:szCs w:val="24"/>
          <w:lang w:eastAsia="lt-LT"/>
        </w:rPr>
      </w:pPr>
      <w:r>
        <w:rPr>
          <w:b/>
          <w:szCs w:val="24"/>
          <w:lang w:eastAsia="lt-LT"/>
        </w:rPr>
        <w:t>4 straipsnis. 9 straipsnio pakeitimas</w:t>
      </w:r>
    </w:p>
    <w:p w:rsidR="00BC332B" w:rsidRDefault="00A017F6">
      <w:pPr>
        <w:spacing w:line="360" w:lineRule="auto"/>
        <w:ind w:firstLine="720"/>
        <w:jc w:val="both"/>
        <w:rPr>
          <w:szCs w:val="24"/>
          <w:lang w:eastAsia="lt-LT"/>
        </w:rPr>
      </w:pPr>
      <w:r>
        <w:rPr>
          <w:szCs w:val="24"/>
          <w:lang w:eastAsia="lt-LT"/>
        </w:rPr>
        <w:t>1. Pakeisti 9 straipsnio 2 dalį ir ją išdėstyti taip:</w:t>
      </w:r>
    </w:p>
    <w:p w:rsidR="00BC332B" w:rsidRDefault="00A017F6">
      <w:pPr>
        <w:spacing w:line="360" w:lineRule="auto"/>
        <w:ind w:firstLine="720"/>
        <w:jc w:val="both"/>
        <w:rPr>
          <w:szCs w:val="24"/>
          <w:lang w:eastAsia="lt-LT"/>
        </w:rPr>
      </w:pPr>
      <w:r>
        <w:rPr>
          <w:szCs w:val="24"/>
          <w:lang w:eastAsia="lt-LT"/>
        </w:rPr>
        <w:t>„2. Pareiginės algos kintamoji dalis, atsižvelgiant į praėjusių metų veiklos vertinimą, nustatoma iki kito biudžetinės įstaigos darbuotojų kasmetinio veiklos vertinimo ir gali siekti iki 40 procentų pareiginės algos pastoviosios dalies, išskyrus šio straipsnio 4 dalyje nurodytą atvejį. Jeigu pareiginės algos pastovioji dalis padidinta pagal šio įstatymo 7 straipsnio 6, 7 ir 8 dalis, kintamoji dalis skaičiuojama nuo padidinto pastoviosios dalies koeficiento.“</w:t>
      </w:r>
    </w:p>
    <w:p w:rsidR="00BC332B" w:rsidRDefault="00A017F6">
      <w:pPr>
        <w:spacing w:line="360" w:lineRule="auto"/>
        <w:ind w:firstLine="720"/>
        <w:jc w:val="both"/>
        <w:rPr>
          <w:szCs w:val="24"/>
          <w:lang w:eastAsia="lt-LT"/>
        </w:rPr>
      </w:pPr>
      <w:r>
        <w:rPr>
          <w:szCs w:val="24"/>
          <w:lang w:eastAsia="lt-LT"/>
        </w:rPr>
        <w:t>2. Pakeisti 9 straipsnio 3 dalį ir ją išdėstyti taip:</w:t>
      </w:r>
    </w:p>
    <w:p w:rsidR="00BC332B" w:rsidRDefault="00A017F6">
      <w:pPr>
        <w:spacing w:line="360" w:lineRule="auto"/>
        <w:ind w:firstLine="720"/>
        <w:jc w:val="both"/>
        <w:rPr>
          <w:szCs w:val="24"/>
          <w:lang w:eastAsia="lt-LT"/>
        </w:rPr>
      </w:pPr>
      <w:r>
        <w:rPr>
          <w:szCs w:val="24"/>
          <w:lang w:eastAsia="lt-LT"/>
        </w:rPr>
        <w:t>„3. Biudžetinės įstaigos darbuotojo pareiginės algos kintamoji dalis gali būti nustatyta priėmimo į darbą metu, pasibaigus išbandymo terminui, taip pat darbuotojui grįžus iš vaiko priežiūros atostogų, atsižvelgiant į darbuotojo profesinę kvalifikaciją ir jam keliamus uždavinius, tačiau ji negali būti didesnė kaip 20 procentų pareiginės algos pastoviosios dalies ir negali būti mokama ilgiau kaip iki to darbuotojo kito kasmetinio veiklos vertinimo.“</w:t>
      </w:r>
    </w:p>
    <w:p w:rsidR="00BC332B" w:rsidRDefault="00BC332B">
      <w:pPr>
        <w:spacing w:line="360" w:lineRule="auto"/>
        <w:ind w:firstLine="720"/>
        <w:rPr>
          <w:b/>
          <w:szCs w:val="24"/>
          <w:lang w:eastAsia="lt-LT"/>
        </w:rPr>
      </w:pPr>
    </w:p>
    <w:p w:rsidR="00BC332B" w:rsidRDefault="00A017F6">
      <w:pPr>
        <w:spacing w:line="360" w:lineRule="auto"/>
        <w:ind w:firstLine="720"/>
        <w:jc w:val="both"/>
        <w:rPr>
          <w:b/>
          <w:szCs w:val="24"/>
          <w:lang w:eastAsia="lt-LT"/>
        </w:rPr>
      </w:pPr>
      <w:r>
        <w:rPr>
          <w:b/>
          <w:szCs w:val="24"/>
          <w:lang w:eastAsia="lt-LT"/>
        </w:rPr>
        <w:t>5 straipsnis. 10 straipsnio pakeitimas</w:t>
      </w:r>
    </w:p>
    <w:p w:rsidR="00BC332B" w:rsidRDefault="00A017F6">
      <w:pPr>
        <w:spacing w:line="360" w:lineRule="auto"/>
        <w:ind w:firstLine="720"/>
        <w:jc w:val="both"/>
        <w:rPr>
          <w:szCs w:val="24"/>
          <w:lang w:eastAsia="lt-LT"/>
        </w:rPr>
      </w:pPr>
      <w:r>
        <w:rPr>
          <w:szCs w:val="24"/>
          <w:lang w:eastAsia="lt-LT"/>
        </w:rPr>
        <w:t>Pakeisti 10 straipsnį ir jį išdėstyti taip:</w:t>
      </w:r>
    </w:p>
    <w:p w:rsidR="00BC332B" w:rsidRDefault="00A017F6">
      <w:pPr>
        <w:spacing w:line="360" w:lineRule="auto"/>
        <w:ind w:firstLine="720"/>
        <w:jc w:val="both"/>
        <w:rPr>
          <w:b/>
          <w:szCs w:val="24"/>
          <w:lang w:eastAsia="lt-LT"/>
        </w:rPr>
      </w:pPr>
      <w:r>
        <w:rPr>
          <w:szCs w:val="24"/>
          <w:lang w:eastAsia="lt-LT"/>
        </w:rPr>
        <w:t>„</w:t>
      </w:r>
      <w:r>
        <w:rPr>
          <w:b/>
          <w:szCs w:val="24"/>
          <w:lang w:eastAsia="lt-LT"/>
        </w:rPr>
        <w:t xml:space="preserve">10 straipsnis. </w:t>
      </w:r>
      <w:r>
        <w:rPr>
          <w:b/>
          <w:bCs/>
          <w:color w:val="000000"/>
          <w:szCs w:val="24"/>
          <w:lang w:eastAsia="lt-LT"/>
        </w:rPr>
        <w:t>Priemokos</w:t>
      </w:r>
    </w:p>
    <w:p w:rsidR="00BC332B" w:rsidRDefault="00A017F6">
      <w:pPr>
        <w:spacing w:line="360" w:lineRule="auto"/>
        <w:ind w:firstLine="720"/>
        <w:jc w:val="both"/>
        <w:rPr>
          <w:szCs w:val="24"/>
          <w:lang w:eastAsia="lt-LT"/>
        </w:rPr>
      </w:pPr>
      <w:r>
        <w:rPr>
          <w:szCs w:val="24"/>
          <w:lang w:eastAsia="lt-LT"/>
        </w:rPr>
        <w:t xml:space="preserve">1. Biudžetinės įstaigos darbuotojui, </w:t>
      </w:r>
      <w:r>
        <w:rPr>
          <w:color w:val="000000"/>
          <w:spacing w:val="2"/>
          <w:szCs w:val="24"/>
          <w:lang w:eastAsia="lt-LT"/>
        </w:rPr>
        <w:t xml:space="preserve">atsižvelgiant į atliekamų funkcijų ar užduočių </w:t>
      </w:r>
      <w:r>
        <w:rPr>
          <w:spacing w:val="2"/>
          <w:szCs w:val="24"/>
          <w:lang w:eastAsia="lt-LT"/>
        </w:rPr>
        <w:t>sudėtingumą, mastą ir pobūdį, gali būti skiriamos šios priemokos</w:t>
      </w:r>
      <w:r>
        <w:rPr>
          <w:szCs w:val="24"/>
          <w:lang w:eastAsia="lt-LT"/>
        </w:rPr>
        <w:t>:</w:t>
      </w:r>
    </w:p>
    <w:p w:rsidR="00BC332B" w:rsidRDefault="00A017F6">
      <w:pPr>
        <w:spacing w:line="360" w:lineRule="auto"/>
        <w:ind w:firstLine="720"/>
        <w:jc w:val="both"/>
        <w:rPr>
          <w:bCs/>
          <w:szCs w:val="24"/>
          <w:lang w:eastAsia="lt-LT"/>
        </w:rPr>
      </w:pPr>
      <w:r>
        <w:rPr>
          <w:szCs w:val="24"/>
          <w:lang w:eastAsia="lt-LT"/>
        </w:rPr>
        <w:t xml:space="preserve">1) </w:t>
      </w:r>
      <w:r>
        <w:rPr>
          <w:bCs/>
          <w:szCs w:val="24"/>
          <w:lang w:eastAsia="lt-LT"/>
        </w:rPr>
        <w:t>už papildomą darbo krūvį, kai yra padidėjęs darbų mastas, atliekant pareigybės aprašyme nustatytas funkcijas, bet neviršijama nustatyta darbo laiko trukmė;</w:t>
      </w:r>
    </w:p>
    <w:p w:rsidR="00BC332B" w:rsidRDefault="00A017F6">
      <w:pPr>
        <w:spacing w:line="360" w:lineRule="auto"/>
        <w:ind w:firstLine="720"/>
        <w:jc w:val="both"/>
        <w:rPr>
          <w:bCs/>
          <w:szCs w:val="24"/>
          <w:lang w:eastAsia="lt-LT"/>
        </w:rPr>
      </w:pPr>
      <w:r>
        <w:rPr>
          <w:bCs/>
          <w:szCs w:val="24"/>
          <w:lang w:eastAsia="lt-LT"/>
        </w:rPr>
        <w:t>2) už pavadavimą, kai raštu pavedama laikinai atlikti kito darbuotojo pareigybei nustatytas funkcijas;</w:t>
      </w:r>
    </w:p>
    <w:p w:rsidR="00BC332B" w:rsidRDefault="00A017F6">
      <w:pPr>
        <w:spacing w:line="360" w:lineRule="auto"/>
        <w:ind w:firstLine="720"/>
        <w:jc w:val="both"/>
        <w:rPr>
          <w:bCs/>
          <w:szCs w:val="24"/>
          <w:lang w:eastAsia="lt-LT"/>
        </w:rPr>
      </w:pPr>
      <w:r>
        <w:rPr>
          <w:szCs w:val="24"/>
          <w:lang w:eastAsia="lt-LT"/>
        </w:rPr>
        <w:t xml:space="preserve">3) </w:t>
      </w:r>
      <w:r>
        <w:rPr>
          <w:bCs/>
          <w:szCs w:val="24"/>
          <w:lang w:eastAsia="lt-LT"/>
        </w:rPr>
        <w:t>už papildomų funkcijų ar užduočių, nenustatytų pareigybės aprašyme ir suformuluotų raštu, vykdymą;</w:t>
      </w:r>
    </w:p>
    <w:p w:rsidR="00BC332B" w:rsidRDefault="00A017F6">
      <w:pPr>
        <w:spacing w:line="360" w:lineRule="auto"/>
        <w:ind w:firstLine="720"/>
        <w:jc w:val="both"/>
        <w:rPr>
          <w:szCs w:val="24"/>
          <w:lang w:eastAsia="lt-LT"/>
        </w:rPr>
      </w:pPr>
      <w:r>
        <w:rPr>
          <w:bCs/>
          <w:szCs w:val="24"/>
          <w:lang w:eastAsia="lt-LT"/>
        </w:rPr>
        <w:t>4) už darbą, esant nukrypimų nuo normalių darbo sąlygų.</w:t>
      </w:r>
    </w:p>
    <w:p w:rsidR="00BC332B" w:rsidRDefault="00A017F6">
      <w:pPr>
        <w:spacing w:line="360" w:lineRule="auto"/>
        <w:ind w:firstLine="720"/>
        <w:jc w:val="both"/>
        <w:rPr>
          <w:bCs/>
          <w:szCs w:val="24"/>
          <w:lang w:eastAsia="lt-LT"/>
        </w:rPr>
      </w:pPr>
      <w:r>
        <w:rPr>
          <w:color w:val="000000"/>
          <w:spacing w:val="2"/>
          <w:szCs w:val="24"/>
          <w:lang w:eastAsia="lt-LT"/>
        </w:rPr>
        <w:lastRenderedPageBreak/>
        <w:t>2. Šio straipsnio 1 dalies 1, 2 ir 3 punktuose nustatytos priemokos gali siekti iki 30 procentų pareiginės algos pastoviosios dalies dydžio</w:t>
      </w:r>
      <w:r>
        <w:rPr>
          <w:spacing w:val="2"/>
          <w:szCs w:val="24"/>
          <w:lang w:eastAsia="lt-LT"/>
        </w:rPr>
        <w:t xml:space="preserve"> ir gali būti skiriamos ne ilgiau kaip iki kalendorinių metų pabaigos</w:t>
      </w:r>
      <w:r>
        <w:rPr>
          <w:color w:val="000000"/>
          <w:spacing w:val="2"/>
          <w:szCs w:val="24"/>
          <w:lang w:eastAsia="lt-LT"/>
        </w:rPr>
        <w:t xml:space="preserve">. Šių </w:t>
      </w:r>
      <w:r>
        <w:rPr>
          <w:bCs/>
          <w:szCs w:val="24"/>
          <w:lang w:eastAsia="lt-LT"/>
        </w:rPr>
        <w:t>priemokų ir pareiginės algos kintamosios dalies suma negali viršyti 60 procentų nustatytos pareiginės algos pastoviosios dalies dydžio. Šio straipsnio 1 dalies 4 punkte nustatyta priemoka gali siekti iki 20 procentų pareiginės algos pastoviosios dalies dydžio ir gali būti skiriama iki darbo, esant nukrypimų nuo normalių darbo sąlygų, pabaigos. Nacionalinių ir valstybinių kultūros ir meno įstaigų vadovams ir atlikėjams priemokų ir pareiginės algos kintamosios dalies suma negali viršyti 160 procentų nustatytos pareiginės algos pastoviosios dalies dydžio, neįskaičiuojant priemokos už darbą, esant nukrypimų nuo normalių darbo sąlygų.</w:t>
      </w:r>
    </w:p>
    <w:p w:rsidR="00BC332B" w:rsidRDefault="00A017F6">
      <w:pPr>
        <w:spacing w:line="360" w:lineRule="auto"/>
        <w:ind w:firstLine="720"/>
        <w:jc w:val="both"/>
        <w:rPr>
          <w:szCs w:val="24"/>
          <w:lang w:eastAsia="lt-LT"/>
        </w:rPr>
      </w:pPr>
      <w:r>
        <w:rPr>
          <w:color w:val="000000"/>
          <w:szCs w:val="24"/>
          <w:lang w:eastAsia="lt-LT"/>
        </w:rPr>
        <w:t xml:space="preserve">3. Šio straipsnio 1 dalies 4 punkte nustatyta priemoka neskiriama, jeigu biudžetinės įstaigos darbuotojui karantino metu taikomi specialiuose įstatymuose </w:t>
      </w:r>
      <w:r>
        <w:rPr>
          <w:bCs/>
          <w:szCs w:val="24"/>
          <w:shd w:val="clear" w:color="auto" w:fill="FFFFFF"/>
          <w:lang w:eastAsia="lt-LT"/>
        </w:rPr>
        <w:t>nustatyti darbo apmokėjimo dydžiai.</w:t>
      </w:r>
      <w:r>
        <w:rPr>
          <w:szCs w:val="24"/>
          <w:lang w:eastAsia="lt-LT"/>
        </w:rPr>
        <w:t>“</w:t>
      </w:r>
    </w:p>
    <w:p w:rsidR="00BC332B" w:rsidRDefault="00BC332B">
      <w:pPr>
        <w:spacing w:line="360" w:lineRule="auto"/>
        <w:ind w:firstLine="720"/>
        <w:rPr>
          <w:b/>
          <w:szCs w:val="24"/>
          <w:lang w:eastAsia="lt-LT"/>
        </w:rPr>
      </w:pPr>
    </w:p>
    <w:p w:rsidR="00BC332B" w:rsidRDefault="00A017F6">
      <w:pPr>
        <w:spacing w:line="360" w:lineRule="auto"/>
        <w:ind w:firstLine="720"/>
        <w:jc w:val="both"/>
        <w:rPr>
          <w:b/>
          <w:szCs w:val="24"/>
          <w:lang w:eastAsia="lt-LT"/>
        </w:rPr>
      </w:pPr>
      <w:r>
        <w:rPr>
          <w:b/>
          <w:szCs w:val="24"/>
          <w:lang w:eastAsia="lt-LT"/>
        </w:rPr>
        <w:t>6 straipsnis. 11 straipsnio pakeitimas</w:t>
      </w:r>
    </w:p>
    <w:p w:rsidR="00BC332B" w:rsidRDefault="00A017F6">
      <w:pPr>
        <w:spacing w:line="360" w:lineRule="auto"/>
        <w:ind w:firstLine="720"/>
        <w:rPr>
          <w:szCs w:val="24"/>
          <w:lang w:eastAsia="lt-LT"/>
        </w:rPr>
      </w:pPr>
      <w:r>
        <w:rPr>
          <w:szCs w:val="24"/>
          <w:lang w:eastAsia="lt-LT"/>
        </w:rPr>
        <w:t>Pakeisti 11 straipsnį ir jį išdėstyti taip:</w:t>
      </w:r>
    </w:p>
    <w:p w:rsidR="00BC332B" w:rsidRDefault="00A017F6">
      <w:pPr>
        <w:spacing w:line="360" w:lineRule="auto"/>
        <w:ind w:left="2552" w:hanging="1832"/>
        <w:jc w:val="both"/>
        <w:rPr>
          <w:strike/>
          <w:szCs w:val="24"/>
          <w:lang w:eastAsia="lt-LT"/>
        </w:rPr>
      </w:pPr>
      <w:r>
        <w:rPr>
          <w:bCs/>
          <w:szCs w:val="24"/>
          <w:lang w:eastAsia="lt-LT"/>
        </w:rPr>
        <w:t>„</w:t>
      </w:r>
      <w:r>
        <w:rPr>
          <w:b/>
          <w:bCs/>
          <w:szCs w:val="24"/>
          <w:lang w:eastAsia="lt-LT"/>
        </w:rPr>
        <w:t>11 straipsnis. Mokėjimas už darbą poilsio ir švenčių dienomis, nakties ir viršvalandinį darbą, budėjimą</w:t>
      </w:r>
      <w:r>
        <w:rPr>
          <w:bCs/>
          <w:szCs w:val="24"/>
          <w:lang w:eastAsia="lt-LT"/>
        </w:rPr>
        <w:t xml:space="preserve"> </w:t>
      </w:r>
    </w:p>
    <w:p w:rsidR="00BC332B" w:rsidRDefault="00A017F6">
      <w:pPr>
        <w:spacing w:line="360" w:lineRule="auto"/>
        <w:ind w:firstLine="720"/>
        <w:jc w:val="both"/>
        <w:rPr>
          <w:szCs w:val="24"/>
          <w:lang w:eastAsia="lt-LT"/>
        </w:rPr>
      </w:pPr>
      <w:r>
        <w:rPr>
          <w:szCs w:val="24"/>
          <w:lang w:eastAsia="lt-LT"/>
        </w:rPr>
        <w:t xml:space="preserve">1. Už darbą poilsio dieną, kuri nenustatyta pagal darbo (pamainos) grafiką, švenčių dieną mokamas dvigubas darbuotojo darbo užmokestis. </w:t>
      </w:r>
    </w:p>
    <w:p w:rsidR="00BC332B" w:rsidRDefault="00A017F6">
      <w:pPr>
        <w:spacing w:line="360" w:lineRule="auto"/>
        <w:ind w:firstLine="720"/>
        <w:jc w:val="both"/>
        <w:rPr>
          <w:szCs w:val="24"/>
          <w:lang w:eastAsia="lt-LT"/>
        </w:rPr>
      </w:pPr>
      <w:r>
        <w:rPr>
          <w:szCs w:val="24"/>
          <w:lang w:eastAsia="lt-LT"/>
        </w:rPr>
        <w:t>2. Už darbą naktį ir 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 dviejų su puse darbuotojo darbo užmokesčio dydžių užmokestis.</w:t>
      </w:r>
    </w:p>
    <w:p w:rsidR="00BC332B" w:rsidRDefault="00A017F6">
      <w:pPr>
        <w:spacing w:line="360" w:lineRule="auto"/>
        <w:ind w:firstLine="720"/>
        <w:jc w:val="both"/>
        <w:rPr>
          <w:szCs w:val="24"/>
          <w:lang w:eastAsia="lt-LT"/>
        </w:rPr>
      </w:pPr>
      <w:r>
        <w:rPr>
          <w:szCs w:val="24"/>
          <w:lang w:eastAsia="lt-LT"/>
        </w:rPr>
        <w:t>3. Darbuotojo prašymu darbo poilsio ar švenčių dienomis laikas ar viršvalandinio darbo laikas, padaugintas iš šio straipsnio 1 ir 2 dalyse nustatyto atitinkamo dydžio, gali būti pridedamas prie kasmetinių atostogų laiko.“</w:t>
      </w:r>
    </w:p>
    <w:p w:rsidR="00BC332B" w:rsidRDefault="00BC332B">
      <w:pPr>
        <w:spacing w:line="360" w:lineRule="auto"/>
        <w:ind w:firstLine="720"/>
        <w:jc w:val="both"/>
        <w:rPr>
          <w:b/>
          <w:szCs w:val="24"/>
          <w:lang w:eastAsia="lt-LT"/>
        </w:rPr>
      </w:pPr>
    </w:p>
    <w:p w:rsidR="00BC332B" w:rsidRDefault="00A017F6">
      <w:pPr>
        <w:spacing w:line="360" w:lineRule="auto"/>
        <w:ind w:firstLine="720"/>
        <w:jc w:val="both"/>
        <w:rPr>
          <w:b/>
          <w:szCs w:val="24"/>
          <w:lang w:eastAsia="lt-LT"/>
        </w:rPr>
      </w:pPr>
      <w:r>
        <w:rPr>
          <w:b/>
          <w:szCs w:val="24"/>
          <w:lang w:eastAsia="lt-LT"/>
        </w:rPr>
        <w:t>7 straipsnis. 12 straipsnio pakeitimas</w:t>
      </w:r>
    </w:p>
    <w:p w:rsidR="00BC332B" w:rsidRDefault="00A017F6">
      <w:pPr>
        <w:spacing w:line="360" w:lineRule="auto"/>
        <w:ind w:firstLine="720"/>
        <w:jc w:val="both"/>
        <w:rPr>
          <w:szCs w:val="24"/>
          <w:lang w:eastAsia="lt-LT"/>
        </w:rPr>
      </w:pPr>
      <w:r>
        <w:rPr>
          <w:szCs w:val="24"/>
          <w:lang w:eastAsia="lt-LT"/>
        </w:rPr>
        <w:t>Pakeisti 12 straipsnio 1 dalį ir ją išdėstyti taip:</w:t>
      </w:r>
    </w:p>
    <w:p w:rsidR="00BC332B" w:rsidRDefault="00A017F6">
      <w:pPr>
        <w:spacing w:line="360" w:lineRule="auto"/>
        <w:ind w:firstLine="720"/>
        <w:jc w:val="both"/>
        <w:rPr>
          <w:color w:val="000000"/>
          <w:szCs w:val="24"/>
        </w:rPr>
      </w:pPr>
      <w:r>
        <w:rPr>
          <w:color w:val="000000"/>
          <w:szCs w:val="24"/>
        </w:rPr>
        <w:t>„1. Biudžetinių įstaigų darbuotojams gali būti skiriamos premijos, neviršijant biudžetinės įstaigos darbo užmokesčiui skirtų lėšų:</w:t>
      </w:r>
    </w:p>
    <w:p w:rsidR="00BC332B" w:rsidRDefault="00A017F6">
      <w:pPr>
        <w:spacing w:line="360" w:lineRule="auto"/>
        <w:ind w:firstLine="720"/>
        <w:jc w:val="both"/>
        <w:rPr>
          <w:color w:val="000000"/>
          <w:szCs w:val="24"/>
        </w:rPr>
      </w:pPr>
      <w:r>
        <w:rPr>
          <w:color w:val="000000"/>
          <w:szCs w:val="24"/>
        </w:rPr>
        <w:t>1) atlikus vienkartines biudžetinės įstaigos veiklai ypač svarbias užduotis;</w:t>
      </w:r>
    </w:p>
    <w:p w:rsidR="00BC332B" w:rsidRDefault="00A017F6">
      <w:pPr>
        <w:spacing w:line="360" w:lineRule="auto"/>
        <w:ind w:firstLine="720"/>
        <w:jc w:val="both"/>
        <w:rPr>
          <w:color w:val="000000"/>
          <w:szCs w:val="24"/>
        </w:rPr>
      </w:pPr>
      <w:r>
        <w:rPr>
          <w:color w:val="000000"/>
          <w:szCs w:val="24"/>
        </w:rPr>
        <w:t>2) labai gerai įvertinus biudžetinės įstaigos darbuotojo veiklą;</w:t>
      </w:r>
    </w:p>
    <w:p w:rsidR="00BC332B" w:rsidRDefault="00A017F6">
      <w:pPr>
        <w:spacing w:line="360" w:lineRule="auto"/>
        <w:ind w:firstLine="720"/>
        <w:jc w:val="both"/>
        <w:rPr>
          <w:color w:val="000000"/>
          <w:szCs w:val="24"/>
        </w:rPr>
      </w:pPr>
      <w:r>
        <w:rPr>
          <w:color w:val="000000"/>
          <w:szCs w:val="24"/>
        </w:rPr>
        <w:lastRenderedPageBreak/>
        <w:t>3) įgijus teisę gauti socialinio draudimo senatvės pensiją ir darbuotojo iniciatyva nutraukus darbo sutartį;</w:t>
      </w:r>
    </w:p>
    <w:p w:rsidR="00BC332B" w:rsidRDefault="00A017F6">
      <w:pPr>
        <w:spacing w:line="360" w:lineRule="auto"/>
        <w:ind w:firstLine="720"/>
        <w:jc w:val="both"/>
        <w:rPr>
          <w:color w:val="000000"/>
          <w:szCs w:val="24"/>
        </w:rPr>
      </w:pPr>
      <w:r>
        <w:rPr>
          <w:color w:val="000000"/>
          <w:szCs w:val="24"/>
        </w:rPr>
        <w:t>4) įgijus teisę gauti kompensacinę išmoką profesionaliojo scenos meno įstaigų kūrybiniams darbuotojams, kurie dėl profesijos specifikos negali dirbti pagal įgytą specialybę ir dėl to nutraukiama jų darbo sutartis;</w:t>
      </w:r>
    </w:p>
    <w:p w:rsidR="00BC332B" w:rsidRDefault="00A017F6">
      <w:pPr>
        <w:spacing w:line="360" w:lineRule="auto"/>
        <w:ind w:firstLine="720"/>
        <w:jc w:val="both"/>
        <w:rPr>
          <w:szCs w:val="24"/>
        </w:rPr>
      </w:pPr>
      <w:r>
        <w:rPr>
          <w:color w:val="000000"/>
          <w:szCs w:val="24"/>
        </w:rPr>
        <w:t>5) kitais darbdavio ir darbovietės lygmens kolektyvinėje sutartyje numatytais atvejais.“</w:t>
      </w:r>
    </w:p>
    <w:p w:rsidR="00BC332B" w:rsidRDefault="00BC332B">
      <w:pPr>
        <w:spacing w:line="360" w:lineRule="auto"/>
        <w:ind w:firstLine="720"/>
        <w:jc w:val="both"/>
        <w:rPr>
          <w:strike/>
          <w:szCs w:val="24"/>
          <w:lang w:eastAsia="lt-LT"/>
        </w:rPr>
      </w:pPr>
    </w:p>
    <w:p w:rsidR="00BC332B" w:rsidRDefault="00A017F6">
      <w:pPr>
        <w:spacing w:line="360" w:lineRule="auto"/>
        <w:ind w:firstLine="720"/>
        <w:rPr>
          <w:b/>
          <w:szCs w:val="24"/>
          <w:lang w:eastAsia="lt-LT"/>
        </w:rPr>
      </w:pPr>
      <w:r>
        <w:rPr>
          <w:b/>
          <w:szCs w:val="24"/>
          <w:lang w:eastAsia="lt-LT"/>
        </w:rPr>
        <w:t>8 straipsnis. 16 straipsnio pakeitimas</w:t>
      </w:r>
    </w:p>
    <w:p w:rsidR="00BC332B" w:rsidRDefault="00A017F6">
      <w:pPr>
        <w:spacing w:line="360" w:lineRule="auto"/>
        <w:ind w:firstLine="720"/>
        <w:rPr>
          <w:szCs w:val="24"/>
          <w:lang w:eastAsia="lt-LT"/>
        </w:rPr>
      </w:pPr>
      <w:r>
        <w:rPr>
          <w:szCs w:val="24"/>
          <w:lang w:eastAsia="lt-LT"/>
        </w:rPr>
        <w:t>Pakeisti 16 straipsnį ir jį išdėstyti taip:</w:t>
      </w:r>
    </w:p>
    <w:p w:rsidR="00BC332B" w:rsidRDefault="00A017F6">
      <w:pPr>
        <w:spacing w:line="360" w:lineRule="auto"/>
        <w:ind w:firstLine="720"/>
        <w:jc w:val="both"/>
        <w:rPr>
          <w:szCs w:val="24"/>
          <w:lang w:eastAsia="lt-LT"/>
        </w:rPr>
      </w:pPr>
      <w:r>
        <w:rPr>
          <w:szCs w:val="24"/>
          <w:lang w:eastAsia="lt-LT"/>
        </w:rPr>
        <w:t>„</w:t>
      </w:r>
      <w:r>
        <w:rPr>
          <w:b/>
          <w:szCs w:val="24"/>
          <w:lang w:eastAsia="lt-LT"/>
        </w:rPr>
        <w:t>16 straipsnis. Kolektyvinių sutarčių nuostatų taikymas</w:t>
      </w:r>
    </w:p>
    <w:p w:rsidR="00BC332B" w:rsidRDefault="00A017F6">
      <w:pPr>
        <w:spacing w:line="360" w:lineRule="auto"/>
        <w:ind w:firstLine="720"/>
        <w:jc w:val="both"/>
        <w:rPr>
          <w:szCs w:val="24"/>
        </w:rPr>
      </w:pPr>
      <w:r>
        <w:rPr>
          <w:szCs w:val="24"/>
        </w:rPr>
        <w:t xml:space="preserve">Darbdavio ir darbovietės lygmens kolektyvinėse sutartyse negali būti nustatyta palankesnių darbo apmokėjimo sąlygų, susijusių su papildomu valstybės biudžeto, savivaldybių biudžetų ir Valstybinio socialinio draudimo fondo biudžeto bei kitų valstybės įsteigtų pinigų fondų lėšų poreikiu, </w:t>
      </w:r>
      <w:r>
        <w:rPr>
          <w:color w:val="000000"/>
          <w:szCs w:val="24"/>
        </w:rPr>
        <w:t>išskyrus šio įstatymo 12 straipsnio 1 dalies 5 punkte numatytą atvejį</w:t>
      </w:r>
      <w:r>
        <w:rPr>
          <w:szCs w:val="24"/>
        </w:rPr>
        <w:t>.“</w:t>
      </w:r>
    </w:p>
    <w:p w:rsidR="00BC332B" w:rsidRDefault="00BC332B">
      <w:pPr>
        <w:spacing w:line="360" w:lineRule="auto"/>
        <w:ind w:firstLine="720"/>
        <w:jc w:val="both"/>
        <w:rPr>
          <w:strike/>
          <w:szCs w:val="24"/>
          <w:lang w:eastAsia="lt-LT"/>
        </w:rPr>
      </w:pPr>
    </w:p>
    <w:p w:rsidR="00BC332B" w:rsidRDefault="00A017F6">
      <w:pPr>
        <w:spacing w:line="360" w:lineRule="auto"/>
        <w:ind w:firstLine="720"/>
        <w:rPr>
          <w:b/>
          <w:szCs w:val="24"/>
          <w:lang w:eastAsia="lt-LT"/>
        </w:rPr>
      </w:pPr>
      <w:r>
        <w:rPr>
          <w:b/>
          <w:szCs w:val="24"/>
          <w:lang w:eastAsia="lt-LT"/>
        </w:rPr>
        <w:t>9 straipsnis. Įstatymo 1 priedo pakeitimas</w:t>
      </w:r>
    </w:p>
    <w:p w:rsidR="00BC332B" w:rsidRDefault="00A017F6">
      <w:pPr>
        <w:spacing w:line="360" w:lineRule="auto"/>
        <w:ind w:firstLine="720"/>
        <w:rPr>
          <w:szCs w:val="24"/>
          <w:lang w:eastAsia="lt-LT"/>
        </w:rPr>
      </w:pPr>
      <w:r>
        <w:rPr>
          <w:szCs w:val="24"/>
          <w:lang w:eastAsia="lt-LT"/>
        </w:rPr>
        <w:t>Pakeisti Įstatymo 1 priedą ir jį išdėstyti taip:</w:t>
      </w:r>
    </w:p>
    <w:p w:rsidR="00BC332B" w:rsidRDefault="00BC332B">
      <w:pPr>
        <w:spacing w:line="360" w:lineRule="auto"/>
        <w:ind w:firstLine="720"/>
        <w:rPr>
          <w:szCs w:val="24"/>
          <w:lang w:eastAsia="lt-LT"/>
        </w:rPr>
      </w:pPr>
    </w:p>
    <w:p w:rsidR="00BC332B" w:rsidRDefault="00A017F6">
      <w:pPr>
        <w:ind w:left="5103"/>
        <w:rPr>
          <w:szCs w:val="24"/>
          <w:lang w:eastAsia="lt-LT"/>
        </w:rPr>
      </w:pPr>
      <w:r>
        <w:rPr>
          <w:szCs w:val="24"/>
          <w:lang w:eastAsia="lt-LT"/>
        </w:rPr>
        <w:t>„Lietuvos Respublikos</w:t>
      </w:r>
    </w:p>
    <w:p w:rsidR="00BC332B" w:rsidRDefault="00A017F6">
      <w:pPr>
        <w:ind w:left="5103"/>
        <w:rPr>
          <w:szCs w:val="24"/>
          <w:lang w:eastAsia="lt-LT"/>
        </w:rPr>
      </w:pPr>
      <w:r>
        <w:rPr>
          <w:szCs w:val="24"/>
          <w:lang w:eastAsia="lt-LT"/>
        </w:rPr>
        <w:t xml:space="preserve">valstybės ir savivaldybių įstaigų darbuotojų </w:t>
      </w:r>
    </w:p>
    <w:p w:rsidR="00BC332B" w:rsidRDefault="00A017F6">
      <w:pPr>
        <w:ind w:left="5103"/>
        <w:rPr>
          <w:szCs w:val="24"/>
          <w:lang w:eastAsia="lt-LT"/>
        </w:rPr>
      </w:pPr>
      <w:r>
        <w:rPr>
          <w:szCs w:val="24"/>
          <w:lang w:eastAsia="lt-LT"/>
        </w:rPr>
        <w:t xml:space="preserve">darbo apmokėjimo ir komisijų narių atlygio </w:t>
      </w:r>
    </w:p>
    <w:p w:rsidR="00BC332B" w:rsidRDefault="00A017F6">
      <w:pPr>
        <w:ind w:left="5103"/>
        <w:rPr>
          <w:szCs w:val="24"/>
          <w:lang w:eastAsia="lt-LT"/>
        </w:rPr>
      </w:pPr>
      <w:r>
        <w:rPr>
          <w:szCs w:val="24"/>
          <w:lang w:eastAsia="lt-LT"/>
        </w:rPr>
        <w:t xml:space="preserve">už darbą įstatymo </w:t>
      </w:r>
    </w:p>
    <w:p w:rsidR="00BC332B" w:rsidRDefault="00A017F6">
      <w:pPr>
        <w:ind w:firstLine="5103"/>
        <w:jc w:val="both"/>
        <w:rPr>
          <w:szCs w:val="24"/>
          <w:lang w:eastAsia="lt-LT"/>
        </w:rPr>
      </w:pPr>
      <w:r>
        <w:rPr>
          <w:szCs w:val="24"/>
          <w:lang w:eastAsia="lt-LT"/>
        </w:rPr>
        <w:t>1 priedas</w:t>
      </w:r>
    </w:p>
    <w:p w:rsidR="00BC332B" w:rsidRDefault="00BC332B">
      <w:pPr>
        <w:ind w:left="5670"/>
        <w:jc w:val="both"/>
        <w:rPr>
          <w:szCs w:val="24"/>
          <w:lang w:eastAsia="lt-LT"/>
        </w:rPr>
      </w:pPr>
    </w:p>
    <w:p w:rsidR="00BC332B" w:rsidRDefault="00BC332B">
      <w:pPr>
        <w:ind w:left="5670"/>
        <w:jc w:val="both"/>
        <w:rPr>
          <w:szCs w:val="24"/>
          <w:lang w:eastAsia="lt-LT"/>
        </w:rPr>
      </w:pPr>
    </w:p>
    <w:p w:rsidR="00BC332B" w:rsidRDefault="00A017F6">
      <w:pPr>
        <w:spacing w:line="360" w:lineRule="auto"/>
        <w:jc w:val="center"/>
        <w:rPr>
          <w:b/>
          <w:bCs/>
          <w:szCs w:val="24"/>
          <w:lang w:eastAsia="lt-LT"/>
        </w:rPr>
      </w:pPr>
      <w:r>
        <w:rPr>
          <w:b/>
          <w:bCs/>
          <w:szCs w:val="24"/>
          <w:lang w:eastAsia="lt-LT"/>
        </w:rPr>
        <w:t xml:space="preserve">VALSTYBĖS IR SAVIVALDYBIŲ ĮSTAIGŲ VADOVŲ IR JŲ PAVADUOTOJŲ PAREIGINĖS ALGOS PASTOVIOSIOS DALIES KOEFICIENTAI </w:t>
      </w:r>
    </w:p>
    <w:p w:rsidR="00BC332B" w:rsidRDefault="00BC332B">
      <w:pPr>
        <w:spacing w:line="360" w:lineRule="auto"/>
        <w:jc w:val="center"/>
        <w:rPr>
          <w:b/>
          <w:bCs/>
          <w:szCs w:val="24"/>
          <w:lang w:eastAsia="lt-LT"/>
        </w:rPr>
      </w:pPr>
    </w:p>
    <w:p w:rsidR="00BC332B" w:rsidRDefault="00A017F6">
      <w:pPr>
        <w:ind w:firstLine="7230"/>
        <w:rPr>
          <w:szCs w:val="24"/>
          <w:lang w:eastAsia="lt-LT"/>
        </w:rPr>
      </w:pPr>
      <w:r>
        <w:rPr>
          <w:color w:val="000000"/>
          <w:szCs w:val="24"/>
          <w:lang w:eastAsia="lt-LT"/>
        </w:rPr>
        <w:t>(Baziniais dydžiais)</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1"/>
        <w:gridCol w:w="1559"/>
        <w:gridCol w:w="2270"/>
      </w:tblGrid>
      <w:tr w:rsidR="00BC332B">
        <w:trPr>
          <w:cantSplit/>
          <w:trHeight w:val="835"/>
          <w:tblHeader/>
        </w:trPr>
        <w:tc>
          <w:tcPr>
            <w:tcW w:w="2266"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Valstybės ar savivaldybių įstaigų grupė</w:t>
            </w:r>
          </w:p>
        </w:tc>
        <w:tc>
          <w:tcPr>
            <w:tcW w:w="3261"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Vadovaujamo darbo</w:t>
            </w:r>
          </w:p>
          <w:p w:rsidR="00BC332B" w:rsidRDefault="00A017F6">
            <w:pPr>
              <w:jc w:val="center"/>
              <w:rPr>
                <w:szCs w:val="24"/>
                <w:lang w:eastAsia="lt-LT"/>
              </w:rPr>
            </w:pPr>
            <w:r>
              <w:rPr>
                <w:color w:val="000000"/>
                <w:szCs w:val="24"/>
                <w:lang w:eastAsia="lt-LT"/>
              </w:rPr>
              <w:t>patirtis (metais)</w:t>
            </w:r>
          </w:p>
        </w:tc>
        <w:tc>
          <w:tcPr>
            <w:tcW w:w="3829" w:type="dxa"/>
            <w:gridSpan w:val="2"/>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Pastoviosios dalies koeficientai, jeigu pareigybės lygis A</w:t>
            </w:r>
          </w:p>
        </w:tc>
      </w:tr>
      <w:tr w:rsidR="00BC332B">
        <w:trPr>
          <w:cantSplit/>
          <w:trHeight w:val="340"/>
          <w:tblHeader/>
        </w:trPr>
        <w:tc>
          <w:tcPr>
            <w:tcW w:w="2266" w:type="dxa"/>
            <w:vMerge/>
            <w:vAlign w:val="center"/>
            <w:hideMark/>
          </w:tcPr>
          <w:p w:rsidR="00BC332B" w:rsidRDefault="00BC332B">
            <w:pPr>
              <w:rPr>
                <w:szCs w:val="24"/>
                <w:lang w:eastAsia="lt-LT"/>
              </w:rPr>
            </w:pPr>
          </w:p>
        </w:tc>
        <w:tc>
          <w:tcPr>
            <w:tcW w:w="3261" w:type="dxa"/>
            <w:vMerge/>
            <w:vAlign w:val="center"/>
            <w:hideMark/>
          </w:tcPr>
          <w:p w:rsidR="00BC332B" w:rsidRDefault="00BC332B">
            <w:pPr>
              <w:rPr>
                <w:szCs w:val="24"/>
                <w:lang w:eastAsia="lt-LT"/>
              </w:rPr>
            </w:pP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vadovų</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vadovų pavaduotojų</w:t>
            </w:r>
          </w:p>
        </w:tc>
      </w:tr>
      <w:tr w:rsidR="00BC332B">
        <w:trPr>
          <w:cantSplit/>
          <w:trHeight w:val="453"/>
        </w:trPr>
        <w:tc>
          <w:tcPr>
            <w:tcW w:w="2266"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 xml:space="preserve">I grupė </w:t>
            </w:r>
          </w:p>
          <w:p w:rsidR="00BC332B" w:rsidRDefault="00A017F6">
            <w:pPr>
              <w:jc w:val="center"/>
              <w:rPr>
                <w:szCs w:val="24"/>
                <w:lang w:eastAsia="lt-LT"/>
              </w:rPr>
            </w:pPr>
            <w:r>
              <w:rPr>
                <w:color w:val="000000"/>
                <w:szCs w:val="24"/>
                <w:lang w:eastAsia="lt-LT"/>
              </w:rPr>
              <w:t>(201 ir daugiau pareigybių)</w:t>
            </w: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7,1–14,1</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6,4–12,7</w:t>
            </w:r>
          </w:p>
        </w:tc>
      </w:tr>
      <w:tr w:rsidR="00BC332B">
        <w:trPr>
          <w:cantSplit/>
          <w:trHeight w:val="489"/>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7,2–14,5</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szCs w:val="24"/>
                <w:lang w:eastAsia="lt-LT"/>
              </w:rPr>
              <w:t>6,5–13</w:t>
            </w:r>
          </w:p>
        </w:tc>
      </w:tr>
      <w:tr w:rsidR="00BC332B">
        <w:trPr>
          <w:cantSplit/>
          <w:trHeight w:val="636"/>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1559" w:type="dxa"/>
            <w:tcMar>
              <w:top w:w="0" w:type="dxa"/>
              <w:left w:w="108" w:type="dxa"/>
              <w:bottom w:w="0" w:type="dxa"/>
              <w:right w:w="108" w:type="dxa"/>
            </w:tcMar>
            <w:vAlign w:val="center"/>
            <w:hideMark/>
          </w:tcPr>
          <w:p w:rsidR="00BC332B" w:rsidRDefault="00A017F6">
            <w:pPr>
              <w:jc w:val="center"/>
              <w:rPr>
                <w:color w:val="000000"/>
                <w:szCs w:val="24"/>
                <w:lang w:eastAsia="lt-LT"/>
              </w:rPr>
            </w:pPr>
            <w:r>
              <w:rPr>
                <w:color w:val="000000"/>
                <w:szCs w:val="24"/>
                <w:lang w:eastAsia="lt-LT"/>
              </w:rPr>
              <w:t>7,3–14,8</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szCs w:val="24"/>
                <w:lang w:eastAsia="lt-LT"/>
              </w:rPr>
              <w:t>6,6–13,6</w:t>
            </w:r>
          </w:p>
        </w:tc>
      </w:tr>
      <w:tr w:rsidR="00BC332B">
        <w:trPr>
          <w:cantSplit/>
          <w:trHeight w:val="405"/>
        </w:trPr>
        <w:tc>
          <w:tcPr>
            <w:tcW w:w="2266"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 xml:space="preserve">II grupė </w:t>
            </w:r>
          </w:p>
          <w:p w:rsidR="00BC332B" w:rsidRDefault="00A017F6">
            <w:pPr>
              <w:jc w:val="center"/>
              <w:rPr>
                <w:szCs w:val="24"/>
                <w:lang w:eastAsia="lt-LT"/>
              </w:rPr>
            </w:pPr>
            <w:r>
              <w:rPr>
                <w:color w:val="000000"/>
                <w:szCs w:val="24"/>
                <w:lang w:eastAsia="lt-LT"/>
              </w:rPr>
              <w:t>(51–200 pareigybių)</w:t>
            </w: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6,8–13,7</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6,2–12,3</w:t>
            </w:r>
          </w:p>
        </w:tc>
      </w:tr>
      <w:tr w:rsidR="00BC332B">
        <w:trPr>
          <w:cantSplit/>
          <w:trHeight w:val="427"/>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6,9–13,9</w:t>
            </w:r>
          </w:p>
        </w:tc>
        <w:tc>
          <w:tcPr>
            <w:tcW w:w="2270" w:type="dxa"/>
            <w:tcMar>
              <w:top w:w="0" w:type="dxa"/>
              <w:left w:w="108" w:type="dxa"/>
              <w:bottom w:w="0" w:type="dxa"/>
              <w:right w:w="108" w:type="dxa"/>
            </w:tcMar>
            <w:vAlign w:val="center"/>
            <w:hideMark/>
          </w:tcPr>
          <w:p w:rsidR="00BC332B" w:rsidRDefault="00A017F6">
            <w:pPr>
              <w:jc w:val="center"/>
              <w:rPr>
                <w:color w:val="000000"/>
                <w:szCs w:val="24"/>
                <w:lang w:eastAsia="lt-LT"/>
              </w:rPr>
            </w:pPr>
            <w:r>
              <w:rPr>
                <w:color w:val="000000"/>
                <w:szCs w:val="24"/>
                <w:lang w:eastAsia="lt-LT"/>
              </w:rPr>
              <w:t>6,3–12,5</w:t>
            </w:r>
          </w:p>
        </w:tc>
      </w:tr>
      <w:tr w:rsidR="00BC332B">
        <w:trPr>
          <w:cantSplit/>
          <w:trHeight w:val="449"/>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szCs w:val="24"/>
                <w:lang w:eastAsia="lt-LT"/>
              </w:rPr>
              <w:t>7–14,1</w:t>
            </w:r>
          </w:p>
        </w:tc>
        <w:tc>
          <w:tcPr>
            <w:tcW w:w="2270" w:type="dxa"/>
            <w:tcMar>
              <w:top w:w="0" w:type="dxa"/>
              <w:left w:w="108" w:type="dxa"/>
              <w:bottom w:w="0" w:type="dxa"/>
              <w:right w:w="108" w:type="dxa"/>
            </w:tcMar>
            <w:vAlign w:val="center"/>
            <w:hideMark/>
          </w:tcPr>
          <w:p w:rsidR="00BC332B" w:rsidRDefault="00A017F6">
            <w:pPr>
              <w:jc w:val="center"/>
              <w:rPr>
                <w:color w:val="000000"/>
                <w:szCs w:val="24"/>
                <w:lang w:eastAsia="lt-LT"/>
              </w:rPr>
            </w:pPr>
            <w:r>
              <w:rPr>
                <w:color w:val="000000"/>
                <w:szCs w:val="24"/>
                <w:lang w:eastAsia="lt-LT"/>
              </w:rPr>
              <w:t>6,4–12,7</w:t>
            </w:r>
          </w:p>
        </w:tc>
      </w:tr>
      <w:tr w:rsidR="00BC332B">
        <w:trPr>
          <w:cantSplit/>
          <w:trHeight w:val="485"/>
        </w:trPr>
        <w:tc>
          <w:tcPr>
            <w:tcW w:w="2266"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III grupė</w:t>
            </w:r>
          </w:p>
          <w:p w:rsidR="00BC332B" w:rsidRDefault="00A017F6">
            <w:pPr>
              <w:jc w:val="center"/>
              <w:rPr>
                <w:szCs w:val="24"/>
                <w:lang w:eastAsia="lt-LT"/>
              </w:rPr>
            </w:pPr>
            <w:r>
              <w:rPr>
                <w:color w:val="000000"/>
                <w:szCs w:val="24"/>
                <w:lang w:eastAsia="lt-LT"/>
              </w:rPr>
              <w:t>(50 ir mažiau pareigybių)</w:t>
            </w: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szCs w:val="24"/>
                <w:lang w:eastAsia="lt-LT"/>
              </w:rPr>
              <w:t>6,5–13,3</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6–11,9</w:t>
            </w:r>
          </w:p>
        </w:tc>
      </w:tr>
      <w:tr w:rsidR="00BC332B">
        <w:trPr>
          <w:cantSplit/>
          <w:trHeight w:val="507"/>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1559"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6,6–13,5</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6,1–12,2</w:t>
            </w:r>
          </w:p>
        </w:tc>
      </w:tr>
      <w:tr w:rsidR="00BC332B">
        <w:trPr>
          <w:cantSplit/>
          <w:trHeight w:val="428"/>
        </w:trPr>
        <w:tc>
          <w:tcPr>
            <w:tcW w:w="2266" w:type="dxa"/>
            <w:vMerge/>
            <w:vAlign w:val="center"/>
            <w:hideMark/>
          </w:tcPr>
          <w:p w:rsidR="00BC332B" w:rsidRDefault="00BC332B">
            <w:pPr>
              <w:rPr>
                <w:szCs w:val="24"/>
                <w:lang w:eastAsia="lt-LT"/>
              </w:rPr>
            </w:pPr>
          </w:p>
        </w:tc>
        <w:tc>
          <w:tcPr>
            <w:tcW w:w="3261"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1559" w:type="dxa"/>
            <w:tcMar>
              <w:top w:w="0" w:type="dxa"/>
              <w:left w:w="108" w:type="dxa"/>
              <w:bottom w:w="0" w:type="dxa"/>
              <w:right w:w="108" w:type="dxa"/>
            </w:tcMar>
            <w:vAlign w:val="center"/>
            <w:hideMark/>
          </w:tcPr>
          <w:p w:rsidR="00BC332B" w:rsidRDefault="00A017F6">
            <w:pPr>
              <w:jc w:val="center"/>
              <w:rPr>
                <w:color w:val="000000"/>
                <w:szCs w:val="24"/>
                <w:lang w:eastAsia="lt-LT"/>
              </w:rPr>
            </w:pPr>
            <w:r>
              <w:rPr>
                <w:color w:val="000000"/>
                <w:szCs w:val="24"/>
                <w:lang w:eastAsia="lt-LT"/>
              </w:rPr>
              <w:t>6,7–13,7</w:t>
            </w:r>
          </w:p>
        </w:tc>
        <w:tc>
          <w:tcPr>
            <w:tcW w:w="227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6,2–12,3“</w:t>
            </w:r>
          </w:p>
        </w:tc>
      </w:tr>
    </w:tbl>
    <w:p w:rsidR="00BC332B" w:rsidRDefault="00BC332B">
      <w:pPr>
        <w:ind w:left="5761" w:firstLine="5256"/>
        <w:rPr>
          <w:szCs w:val="24"/>
          <w:lang w:eastAsia="lt-LT"/>
        </w:rPr>
      </w:pPr>
    </w:p>
    <w:p w:rsidR="00BC332B" w:rsidRDefault="00BC332B">
      <w:pPr>
        <w:spacing w:line="360" w:lineRule="auto"/>
        <w:ind w:firstLine="720"/>
        <w:rPr>
          <w:b/>
          <w:szCs w:val="24"/>
          <w:lang w:eastAsia="lt-LT"/>
        </w:rPr>
      </w:pPr>
    </w:p>
    <w:p w:rsidR="00BC332B" w:rsidRDefault="00A017F6">
      <w:pPr>
        <w:spacing w:line="360" w:lineRule="auto"/>
        <w:ind w:firstLine="720"/>
        <w:rPr>
          <w:b/>
          <w:szCs w:val="24"/>
          <w:lang w:eastAsia="lt-LT"/>
        </w:rPr>
      </w:pPr>
      <w:r>
        <w:rPr>
          <w:b/>
          <w:szCs w:val="24"/>
          <w:lang w:eastAsia="lt-LT"/>
        </w:rPr>
        <w:t>10 straipsnis. Įstatymo 2 priedo pakeitimas</w:t>
      </w:r>
    </w:p>
    <w:p w:rsidR="00BC332B" w:rsidRDefault="00A017F6">
      <w:pPr>
        <w:spacing w:line="360" w:lineRule="auto"/>
        <w:ind w:firstLine="720"/>
        <w:rPr>
          <w:szCs w:val="24"/>
          <w:lang w:eastAsia="lt-LT"/>
        </w:rPr>
      </w:pPr>
      <w:r>
        <w:rPr>
          <w:szCs w:val="24"/>
          <w:lang w:eastAsia="lt-LT"/>
        </w:rPr>
        <w:t>Pakeisti Įstatymo 2 priedą ir jį išdėstyti taip:</w:t>
      </w:r>
    </w:p>
    <w:p w:rsidR="00A017F6" w:rsidRDefault="00A017F6">
      <w:pPr>
        <w:ind w:left="5103"/>
        <w:rPr>
          <w:szCs w:val="24"/>
          <w:lang w:eastAsia="lt-LT"/>
        </w:rPr>
      </w:pPr>
    </w:p>
    <w:p w:rsidR="00A017F6" w:rsidRDefault="00A017F6">
      <w:pPr>
        <w:ind w:left="5103"/>
        <w:rPr>
          <w:szCs w:val="24"/>
          <w:lang w:eastAsia="lt-LT"/>
        </w:rPr>
      </w:pPr>
      <w:r>
        <w:rPr>
          <w:szCs w:val="24"/>
          <w:lang w:eastAsia="lt-LT"/>
        </w:rPr>
        <w:t>„Lietuvos Respublikos</w:t>
      </w:r>
    </w:p>
    <w:p w:rsidR="00BC332B" w:rsidRDefault="00A017F6">
      <w:pPr>
        <w:ind w:left="5103"/>
        <w:rPr>
          <w:szCs w:val="24"/>
          <w:lang w:eastAsia="lt-LT"/>
        </w:rPr>
      </w:pPr>
      <w:r>
        <w:rPr>
          <w:szCs w:val="24"/>
          <w:lang w:eastAsia="lt-LT"/>
        </w:rPr>
        <w:t xml:space="preserve">valstybės ir savivaldybių įstaigų darbuotojų </w:t>
      </w:r>
    </w:p>
    <w:p w:rsidR="00BC332B" w:rsidRDefault="00A017F6">
      <w:pPr>
        <w:ind w:left="5103"/>
        <w:rPr>
          <w:szCs w:val="24"/>
          <w:lang w:eastAsia="lt-LT"/>
        </w:rPr>
      </w:pPr>
      <w:r>
        <w:rPr>
          <w:szCs w:val="24"/>
          <w:lang w:eastAsia="lt-LT"/>
        </w:rPr>
        <w:t xml:space="preserve">darbo apmokėjimo ir komisijų narių atlygio </w:t>
      </w:r>
    </w:p>
    <w:p w:rsidR="00BC332B" w:rsidRDefault="00A017F6">
      <w:pPr>
        <w:ind w:left="5103"/>
        <w:rPr>
          <w:szCs w:val="24"/>
          <w:lang w:eastAsia="lt-LT"/>
        </w:rPr>
      </w:pPr>
      <w:r>
        <w:rPr>
          <w:szCs w:val="24"/>
          <w:lang w:eastAsia="lt-LT"/>
        </w:rPr>
        <w:t>už darbą įstatymo</w:t>
      </w:r>
    </w:p>
    <w:p w:rsidR="00BC332B" w:rsidRDefault="00A017F6">
      <w:pPr>
        <w:ind w:firstLine="5103"/>
        <w:jc w:val="both"/>
        <w:rPr>
          <w:szCs w:val="24"/>
          <w:lang w:eastAsia="lt-LT"/>
        </w:rPr>
      </w:pPr>
      <w:r>
        <w:rPr>
          <w:szCs w:val="24"/>
          <w:lang w:eastAsia="lt-LT"/>
        </w:rPr>
        <w:t>2 priedas</w:t>
      </w:r>
    </w:p>
    <w:p w:rsidR="00BC332B" w:rsidRDefault="00BC332B">
      <w:pPr>
        <w:spacing w:line="360" w:lineRule="auto"/>
        <w:rPr>
          <w:szCs w:val="24"/>
          <w:lang w:eastAsia="lt-LT"/>
        </w:rPr>
      </w:pPr>
    </w:p>
    <w:p w:rsidR="00BC332B" w:rsidRDefault="00A017F6">
      <w:pPr>
        <w:spacing w:line="360" w:lineRule="auto"/>
        <w:jc w:val="center"/>
        <w:rPr>
          <w:b/>
          <w:szCs w:val="24"/>
          <w:lang w:eastAsia="lt-LT"/>
        </w:rPr>
      </w:pPr>
      <w:r>
        <w:rPr>
          <w:b/>
          <w:bCs/>
          <w:szCs w:val="24"/>
          <w:lang w:eastAsia="lt-LT"/>
        </w:rPr>
        <w:t>VALSTYBĖS IR SAVIVALDYBIŲ ĮSTAIGŲ ADMINISTRACIJOS IR STRUKTŪRINIŲ PADALINIŲ VADOVŲ IR JŲ PAVADUOTOJŲ PAREIGINĖS ALGOS PASTOVIOSIOS DALIES KOEFICIENTAI</w:t>
      </w:r>
    </w:p>
    <w:p w:rsidR="00BC332B" w:rsidRDefault="00BC332B">
      <w:pPr>
        <w:spacing w:line="360" w:lineRule="auto"/>
        <w:rPr>
          <w:b/>
          <w:szCs w:val="24"/>
          <w:lang w:eastAsia="lt-LT"/>
        </w:rPr>
      </w:pPr>
    </w:p>
    <w:p w:rsidR="00BC332B" w:rsidRDefault="00A017F6">
      <w:pPr>
        <w:spacing w:line="360" w:lineRule="auto"/>
        <w:jc w:val="center"/>
        <w:rPr>
          <w:b/>
          <w:szCs w:val="24"/>
          <w:lang w:eastAsia="lt-LT"/>
        </w:rPr>
      </w:pPr>
      <w:r>
        <w:rPr>
          <w:b/>
          <w:bCs/>
          <w:szCs w:val="24"/>
          <w:lang w:eastAsia="lt-LT"/>
        </w:rPr>
        <w:t>I SKYRIUS</w:t>
      </w:r>
    </w:p>
    <w:p w:rsidR="00BC332B" w:rsidRDefault="00A017F6">
      <w:pPr>
        <w:spacing w:line="360" w:lineRule="auto"/>
        <w:jc w:val="center"/>
        <w:rPr>
          <w:szCs w:val="24"/>
          <w:lang w:eastAsia="lt-LT"/>
        </w:rPr>
      </w:pPr>
      <w:r>
        <w:rPr>
          <w:b/>
          <w:bCs/>
          <w:szCs w:val="24"/>
          <w:lang w:eastAsia="lt-LT"/>
        </w:rPr>
        <w:t>VALSTYBĖS IR SAVIVALDYBIŲ ĮSTAIGŲ ADMINISTRACIJOS IR STRUKTŪRINIŲ PADALINIŲ VADOVŲ PAREIGINĖS ALGOS PASTOVIOSIOS DALIES KOEFICIENTAI</w:t>
      </w:r>
    </w:p>
    <w:p w:rsidR="00BC332B" w:rsidRDefault="00BC332B">
      <w:pPr>
        <w:ind w:firstLine="7371"/>
        <w:rPr>
          <w:color w:val="000000"/>
          <w:szCs w:val="24"/>
          <w:lang w:eastAsia="lt-LT"/>
        </w:rPr>
      </w:pPr>
    </w:p>
    <w:p w:rsidR="00BC332B" w:rsidRDefault="00A017F6">
      <w:pPr>
        <w:ind w:firstLine="7371"/>
        <w:rPr>
          <w:szCs w:val="24"/>
          <w:lang w:eastAsia="lt-LT"/>
        </w:rPr>
      </w:pPr>
      <w:r>
        <w:rPr>
          <w:color w:val="000000"/>
          <w:szCs w:val="24"/>
          <w:lang w:eastAsia="lt-LT"/>
        </w:rPr>
        <w:t>(Baziniais dydžiais)</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1305"/>
        <w:gridCol w:w="1314"/>
        <w:gridCol w:w="1312"/>
        <w:gridCol w:w="1259"/>
        <w:gridCol w:w="1104"/>
        <w:gridCol w:w="1310"/>
      </w:tblGrid>
      <w:tr w:rsidR="00BC332B">
        <w:trPr>
          <w:trHeight w:val="340"/>
        </w:trPr>
        <w:tc>
          <w:tcPr>
            <w:tcW w:w="874" w:type="pct"/>
            <w:vMerge w:val="restart"/>
            <w:tcMar>
              <w:top w:w="0" w:type="dxa"/>
              <w:left w:w="108" w:type="dxa"/>
              <w:bottom w:w="0" w:type="dxa"/>
              <w:right w:w="108" w:type="dxa"/>
            </w:tcMar>
            <w:vAlign w:val="center"/>
            <w:hideMark/>
          </w:tcPr>
          <w:p w:rsidR="00BC332B" w:rsidRDefault="00A017F6">
            <w:pPr>
              <w:ind w:firstLine="48"/>
              <w:jc w:val="center"/>
              <w:rPr>
                <w:szCs w:val="24"/>
                <w:lang w:eastAsia="lt-LT"/>
              </w:rPr>
            </w:pPr>
            <w:r>
              <w:rPr>
                <w:color w:val="000000"/>
                <w:szCs w:val="24"/>
                <w:lang w:eastAsia="lt-LT"/>
              </w:rPr>
              <w:t>Vadovaujamo darbo patirtis (metais)</w:t>
            </w:r>
          </w:p>
        </w:tc>
        <w:tc>
          <w:tcPr>
            <w:tcW w:w="4126" w:type="pct"/>
            <w:gridSpan w:val="6"/>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Pareigybės lygis</w:t>
            </w:r>
          </w:p>
        </w:tc>
      </w:tr>
      <w:tr w:rsidR="00BC332B">
        <w:trPr>
          <w:trHeight w:val="340"/>
        </w:trPr>
        <w:tc>
          <w:tcPr>
            <w:tcW w:w="874" w:type="pct"/>
            <w:vMerge/>
            <w:vAlign w:val="center"/>
            <w:hideMark/>
          </w:tcPr>
          <w:p w:rsidR="00BC332B" w:rsidRDefault="00BC332B">
            <w:pPr>
              <w:rPr>
                <w:szCs w:val="24"/>
                <w:lang w:eastAsia="lt-LT"/>
              </w:rPr>
            </w:pPr>
          </w:p>
        </w:tc>
        <w:tc>
          <w:tcPr>
            <w:tcW w:w="2133"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A</w:t>
            </w:r>
          </w:p>
        </w:tc>
        <w:tc>
          <w:tcPr>
            <w:tcW w:w="1993"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B</w:t>
            </w:r>
          </w:p>
        </w:tc>
      </w:tr>
      <w:tr w:rsidR="00BC332B">
        <w:trPr>
          <w:trHeight w:val="340"/>
        </w:trPr>
        <w:tc>
          <w:tcPr>
            <w:tcW w:w="874" w:type="pct"/>
            <w:vMerge/>
            <w:vAlign w:val="center"/>
            <w:hideMark/>
          </w:tcPr>
          <w:p w:rsidR="00BC332B" w:rsidRDefault="00BC332B">
            <w:pPr>
              <w:rPr>
                <w:szCs w:val="24"/>
                <w:lang w:eastAsia="lt-LT"/>
              </w:rPr>
            </w:pPr>
          </w:p>
        </w:tc>
        <w:tc>
          <w:tcPr>
            <w:tcW w:w="2133"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c>
          <w:tcPr>
            <w:tcW w:w="1993"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r>
      <w:tr w:rsidR="00BC332B">
        <w:trPr>
          <w:trHeight w:val="1144"/>
        </w:trPr>
        <w:tc>
          <w:tcPr>
            <w:tcW w:w="874" w:type="pct"/>
            <w:vMerge/>
            <w:vAlign w:val="center"/>
            <w:hideMark/>
          </w:tcPr>
          <w:p w:rsidR="00BC332B" w:rsidRDefault="00BC332B">
            <w:pPr>
              <w:rPr>
                <w:szCs w:val="24"/>
                <w:lang w:eastAsia="lt-LT"/>
              </w:rPr>
            </w:pPr>
          </w:p>
        </w:tc>
        <w:tc>
          <w:tcPr>
            <w:tcW w:w="708"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71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71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68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599"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711"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r>
      <w:tr w:rsidR="00BC332B">
        <w:trPr>
          <w:trHeight w:val="547"/>
        </w:trPr>
        <w:tc>
          <w:tcPr>
            <w:tcW w:w="874"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708"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5,9–10,5</w:t>
            </w:r>
          </w:p>
        </w:tc>
        <w:tc>
          <w:tcPr>
            <w:tcW w:w="713" w:type="pct"/>
            <w:tcMar>
              <w:top w:w="0" w:type="dxa"/>
              <w:left w:w="108" w:type="dxa"/>
              <w:bottom w:w="0" w:type="dxa"/>
              <w:right w:w="108" w:type="dxa"/>
            </w:tcMar>
            <w:vAlign w:val="center"/>
            <w:hideMark/>
          </w:tcPr>
          <w:p w:rsidR="00BC332B" w:rsidRDefault="00A017F6">
            <w:pPr>
              <w:jc w:val="center"/>
              <w:rPr>
                <w:szCs w:val="24"/>
                <w:lang w:eastAsia="lt-LT"/>
              </w:rPr>
            </w:pPr>
            <w:r>
              <w:rPr>
                <w:szCs w:val="24"/>
                <w:lang w:eastAsia="lt-LT"/>
              </w:rPr>
              <w:t>6–10,7</w:t>
            </w:r>
          </w:p>
        </w:tc>
        <w:tc>
          <w:tcPr>
            <w:tcW w:w="71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6,1–12</w:t>
            </w:r>
          </w:p>
        </w:tc>
        <w:tc>
          <w:tcPr>
            <w:tcW w:w="68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4,8–9,8</w:t>
            </w:r>
          </w:p>
        </w:tc>
        <w:tc>
          <w:tcPr>
            <w:tcW w:w="599" w:type="pct"/>
            <w:tcMar>
              <w:top w:w="0" w:type="dxa"/>
              <w:left w:w="108" w:type="dxa"/>
              <w:bottom w:w="0" w:type="dxa"/>
              <w:right w:w="108" w:type="dxa"/>
            </w:tcMar>
            <w:vAlign w:val="center"/>
            <w:hideMark/>
          </w:tcPr>
          <w:p w:rsidR="00BC332B" w:rsidRDefault="00A017F6">
            <w:pPr>
              <w:ind w:left="-109" w:right="33" w:hanging="1"/>
              <w:jc w:val="center"/>
              <w:rPr>
                <w:szCs w:val="24"/>
                <w:lang w:eastAsia="lt-LT"/>
              </w:rPr>
            </w:pPr>
            <w:r>
              <w:rPr>
                <w:color w:val="000000"/>
                <w:szCs w:val="24"/>
                <w:lang w:eastAsia="lt-LT"/>
              </w:rPr>
              <w:t>5–10</w:t>
            </w:r>
          </w:p>
        </w:tc>
        <w:tc>
          <w:tcPr>
            <w:tcW w:w="711"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5,2–10,2</w:t>
            </w:r>
          </w:p>
        </w:tc>
      </w:tr>
      <w:tr w:rsidR="00BC332B">
        <w:trPr>
          <w:trHeight w:val="659"/>
        </w:trPr>
        <w:tc>
          <w:tcPr>
            <w:tcW w:w="874"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708"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6–10,6</w:t>
            </w:r>
          </w:p>
        </w:tc>
        <w:tc>
          <w:tcPr>
            <w:tcW w:w="71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6,1–10,9</w:t>
            </w:r>
          </w:p>
        </w:tc>
        <w:tc>
          <w:tcPr>
            <w:tcW w:w="71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6,2–12,1</w:t>
            </w:r>
          </w:p>
        </w:tc>
        <w:tc>
          <w:tcPr>
            <w:tcW w:w="68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5–10</w:t>
            </w:r>
          </w:p>
        </w:tc>
        <w:tc>
          <w:tcPr>
            <w:tcW w:w="599" w:type="pct"/>
            <w:tcMar>
              <w:top w:w="0" w:type="dxa"/>
              <w:left w:w="108" w:type="dxa"/>
              <w:bottom w:w="0" w:type="dxa"/>
              <w:right w:w="108" w:type="dxa"/>
            </w:tcMar>
            <w:vAlign w:val="center"/>
            <w:hideMark/>
          </w:tcPr>
          <w:p w:rsidR="00BC332B" w:rsidRDefault="00A017F6">
            <w:pPr>
              <w:ind w:right="33" w:hanging="109"/>
              <w:jc w:val="center"/>
              <w:rPr>
                <w:szCs w:val="24"/>
                <w:lang w:eastAsia="lt-LT"/>
              </w:rPr>
            </w:pPr>
            <w:r>
              <w:rPr>
                <w:color w:val="000000"/>
                <w:szCs w:val="24"/>
                <w:lang w:eastAsia="lt-LT"/>
              </w:rPr>
              <w:t>5,2–10,2</w:t>
            </w:r>
          </w:p>
        </w:tc>
        <w:tc>
          <w:tcPr>
            <w:tcW w:w="711"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5,3–10,4</w:t>
            </w:r>
          </w:p>
        </w:tc>
      </w:tr>
      <w:tr w:rsidR="00BC332B">
        <w:trPr>
          <w:trHeight w:val="645"/>
        </w:trPr>
        <w:tc>
          <w:tcPr>
            <w:tcW w:w="874"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lastRenderedPageBreak/>
              <w:t>daugiau</w:t>
            </w:r>
          </w:p>
          <w:p w:rsidR="00BC332B" w:rsidRDefault="00A017F6">
            <w:pPr>
              <w:jc w:val="center"/>
              <w:rPr>
                <w:szCs w:val="24"/>
                <w:lang w:eastAsia="lt-LT"/>
              </w:rPr>
            </w:pPr>
            <w:r>
              <w:rPr>
                <w:color w:val="000000"/>
                <w:szCs w:val="24"/>
                <w:lang w:eastAsia="lt-LT"/>
              </w:rPr>
              <w:t>kaip 10</w:t>
            </w:r>
          </w:p>
        </w:tc>
        <w:tc>
          <w:tcPr>
            <w:tcW w:w="708"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6,1–10,7</w:t>
            </w:r>
          </w:p>
        </w:tc>
        <w:tc>
          <w:tcPr>
            <w:tcW w:w="71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6,2–11,2</w:t>
            </w:r>
          </w:p>
        </w:tc>
        <w:tc>
          <w:tcPr>
            <w:tcW w:w="71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6,3–12,2</w:t>
            </w:r>
          </w:p>
        </w:tc>
        <w:tc>
          <w:tcPr>
            <w:tcW w:w="683" w:type="pct"/>
            <w:tcMar>
              <w:top w:w="0" w:type="dxa"/>
              <w:left w:w="108" w:type="dxa"/>
              <w:bottom w:w="0" w:type="dxa"/>
              <w:right w:w="108" w:type="dxa"/>
            </w:tcMar>
            <w:vAlign w:val="center"/>
            <w:hideMark/>
          </w:tcPr>
          <w:p w:rsidR="00BC332B" w:rsidRDefault="00A017F6">
            <w:pPr>
              <w:ind w:hanging="109"/>
              <w:jc w:val="center"/>
              <w:rPr>
                <w:szCs w:val="24"/>
                <w:lang w:eastAsia="lt-LT"/>
              </w:rPr>
            </w:pPr>
            <w:r>
              <w:rPr>
                <w:color w:val="000000"/>
                <w:szCs w:val="24"/>
                <w:lang w:eastAsia="lt-LT"/>
              </w:rPr>
              <w:t>5,2–10,2</w:t>
            </w:r>
          </w:p>
        </w:tc>
        <w:tc>
          <w:tcPr>
            <w:tcW w:w="599" w:type="pct"/>
            <w:tcMar>
              <w:top w:w="0" w:type="dxa"/>
              <w:left w:w="108" w:type="dxa"/>
              <w:bottom w:w="0" w:type="dxa"/>
              <w:right w:w="108" w:type="dxa"/>
            </w:tcMar>
            <w:vAlign w:val="center"/>
            <w:hideMark/>
          </w:tcPr>
          <w:p w:rsidR="00BC332B" w:rsidRDefault="00A017F6">
            <w:pPr>
              <w:ind w:hanging="109"/>
              <w:jc w:val="center"/>
              <w:rPr>
                <w:szCs w:val="24"/>
                <w:lang w:eastAsia="lt-LT"/>
              </w:rPr>
            </w:pPr>
            <w:r>
              <w:rPr>
                <w:color w:val="000000"/>
                <w:szCs w:val="24"/>
                <w:lang w:eastAsia="lt-LT"/>
              </w:rPr>
              <w:t>5,3–10,4</w:t>
            </w:r>
          </w:p>
        </w:tc>
        <w:tc>
          <w:tcPr>
            <w:tcW w:w="711"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5,4–10,6</w:t>
            </w:r>
          </w:p>
        </w:tc>
      </w:tr>
    </w:tbl>
    <w:p w:rsidR="00BC332B" w:rsidRDefault="00BC332B">
      <w:pPr>
        <w:rPr>
          <w:b/>
          <w:bCs/>
          <w:szCs w:val="24"/>
          <w:lang w:eastAsia="lt-LT"/>
        </w:rPr>
      </w:pPr>
    </w:p>
    <w:p w:rsidR="00BC332B" w:rsidRDefault="00BC332B">
      <w:pPr>
        <w:spacing w:line="360" w:lineRule="auto"/>
        <w:jc w:val="center"/>
        <w:rPr>
          <w:b/>
          <w:bCs/>
          <w:szCs w:val="24"/>
          <w:lang w:eastAsia="lt-LT"/>
        </w:rPr>
      </w:pPr>
    </w:p>
    <w:p w:rsidR="00BC332B" w:rsidRDefault="00BC332B">
      <w:pPr>
        <w:spacing w:line="360" w:lineRule="auto"/>
        <w:jc w:val="center"/>
        <w:rPr>
          <w:b/>
          <w:bCs/>
          <w:szCs w:val="24"/>
          <w:lang w:eastAsia="lt-LT"/>
        </w:rPr>
      </w:pPr>
    </w:p>
    <w:p w:rsidR="00BC332B" w:rsidRDefault="00A017F6">
      <w:pPr>
        <w:spacing w:line="360" w:lineRule="auto"/>
        <w:jc w:val="center"/>
        <w:rPr>
          <w:b/>
          <w:szCs w:val="24"/>
          <w:lang w:eastAsia="lt-LT"/>
        </w:rPr>
      </w:pPr>
      <w:r>
        <w:rPr>
          <w:b/>
          <w:bCs/>
          <w:szCs w:val="24"/>
          <w:lang w:eastAsia="lt-LT"/>
        </w:rPr>
        <w:t>II SKYRIUS</w:t>
      </w:r>
    </w:p>
    <w:p w:rsidR="00BC332B" w:rsidRDefault="00A017F6">
      <w:pPr>
        <w:spacing w:line="360" w:lineRule="auto"/>
        <w:jc w:val="center"/>
        <w:rPr>
          <w:b/>
          <w:bCs/>
          <w:szCs w:val="24"/>
          <w:lang w:eastAsia="lt-LT"/>
        </w:rPr>
      </w:pPr>
      <w:r>
        <w:rPr>
          <w:b/>
          <w:bCs/>
          <w:szCs w:val="24"/>
          <w:lang w:eastAsia="lt-LT"/>
        </w:rPr>
        <w:t>VALSTYBĖS IR SAVIVALDYBIŲ ĮSTAIGŲ ADMINISTRACIJOS IR STRUKTŪRINIŲ PADALINIŲ VADOVŲ PAVADUOTOJŲ PAREIGINĖS ALGOS PASTOVIOSIOS DALIES KOEFICIENTAI</w:t>
      </w:r>
    </w:p>
    <w:p w:rsidR="00BC332B" w:rsidRDefault="00BC332B">
      <w:pPr>
        <w:spacing w:line="360" w:lineRule="auto"/>
        <w:jc w:val="center"/>
        <w:rPr>
          <w:b/>
          <w:bCs/>
          <w:szCs w:val="24"/>
          <w:lang w:eastAsia="lt-LT"/>
        </w:rPr>
      </w:pPr>
    </w:p>
    <w:p w:rsidR="00BC332B" w:rsidRDefault="00A017F6">
      <w:pPr>
        <w:ind w:firstLine="7371"/>
        <w:rPr>
          <w:szCs w:val="24"/>
          <w:lang w:eastAsia="lt-LT"/>
        </w:rPr>
      </w:pPr>
      <w:r>
        <w:rPr>
          <w:color w:val="000000"/>
          <w:szCs w:val="24"/>
          <w:lang w:eastAsia="lt-LT"/>
        </w:rPr>
        <w:t>(Baziniais dydžiais)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277"/>
        <w:gridCol w:w="1417"/>
        <w:gridCol w:w="1134"/>
        <w:gridCol w:w="1279"/>
        <w:gridCol w:w="1329"/>
        <w:gridCol w:w="1228"/>
      </w:tblGrid>
      <w:tr w:rsidR="00BC332B">
        <w:trPr>
          <w:trHeight w:val="340"/>
        </w:trPr>
        <w:tc>
          <w:tcPr>
            <w:tcW w:w="906" w:type="pct"/>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Vadovaujamo darbo patirtis (metais)</w:t>
            </w:r>
          </w:p>
        </w:tc>
        <w:tc>
          <w:tcPr>
            <w:tcW w:w="4094" w:type="pct"/>
            <w:gridSpan w:val="6"/>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Pareigybės lygis</w:t>
            </w:r>
          </w:p>
        </w:tc>
      </w:tr>
      <w:tr w:rsidR="00BC332B">
        <w:trPr>
          <w:trHeight w:val="340"/>
        </w:trPr>
        <w:tc>
          <w:tcPr>
            <w:tcW w:w="0" w:type="auto"/>
            <w:vMerge/>
            <w:vAlign w:val="center"/>
            <w:hideMark/>
          </w:tcPr>
          <w:p w:rsidR="00BC332B" w:rsidRDefault="00BC332B">
            <w:pPr>
              <w:rPr>
                <w:szCs w:val="24"/>
                <w:lang w:eastAsia="lt-LT"/>
              </w:rPr>
            </w:pPr>
          </w:p>
        </w:tc>
        <w:tc>
          <w:tcPr>
            <w:tcW w:w="2045"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A</w:t>
            </w:r>
          </w:p>
        </w:tc>
        <w:tc>
          <w:tcPr>
            <w:tcW w:w="2049"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B</w:t>
            </w:r>
          </w:p>
        </w:tc>
      </w:tr>
      <w:tr w:rsidR="00BC332B">
        <w:trPr>
          <w:trHeight w:val="340"/>
        </w:trPr>
        <w:tc>
          <w:tcPr>
            <w:tcW w:w="0" w:type="auto"/>
            <w:vMerge/>
            <w:vAlign w:val="center"/>
            <w:hideMark/>
          </w:tcPr>
          <w:p w:rsidR="00BC332B" w:rsidRDefault="00BC332B">
            <w:pPr>
              <w:rPr>
                <w:szCs w:val="24"/>
                <w:lang w:eastAsia="lt-LT"/>
              </w:rPr>
            </w:pPr>
          </w:p>
        </w:tc>
        <w:tc>
          <w:tcPr>
            <w:tcW w:w="2045"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c>
          <w:tcPr>
            <w:tcW w:w="2049" w:type="pct"/>
            <w:gridSpan w:val="3"/>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r>
      <w:tr w:rsidR="00BC332B">
        <w:trPr>
          <w:trHeight w:val="1034"/>
        </w:trPr>
        <w:tc>
          <w:tcPr>
            <w:tcW w:w="0" w:type="auto"/>
            <w:vMerge/>
            <w:vAlign w:val="center"/>
            <w:hideMark/>
          </w:tcPr>
          <w:p w:rsidR="00BC332B" w:rsidRDefault="00BC332B">
            <w:pPr>
              <w:rPr>
                <w:szCs w:val="24"/>
                <w:lang w:eastAsia="lt-LT"/>
              </w:rPr>
            </w:pPr>
          </w:p>
        </w:tc>
        <w:tc>
          <w:tcPr>
            <w:tcW w:w="68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757"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60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683"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710" w:type="pct"/>
            <w:tcMar>
              <w:top w:w="0" w:type="dxa"/>
              <w:left w:w="108" w:type="dxa"/>
              <w:bottom w:w="0" w:type="dxa"/>
              <w:right w:w="108" w:type="dxa"/>
            </w:tcMar>
            <w:vAlign w:val="center"/>
            <w:hideMark/>
          </w:tcPr>
          <w:p w:rsidR="00BC332B" w:rsidRDefault="00A017F6">
            <w:pPr>
              <w:ind w:left="-108"/>
              <w:jc w:val="center"/>
              <w:rPr>
                <w:szCs w:val="24"/>
                <w:lang w:eastAsia="lt-LT"/>
              </w:rPr>
            </w:pPr>
            <w:r>
              <w:rPr>
                <w:color w:val="000000"/>
                <w:szCs w:val="24"/>
                <w:lang w:eastAsia="lt-LT"/>
              </w:rPr>
              <w:t>nuo daugiau kaip 5 iki 10</w:t>
            </w:r>
          </w:p>
        </w:tc>
        <w:tc>
          <w:tcPr>
            <w:tcW w:w="65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r>
      <w:tr w:rsidR="00BC332B">
        <w:trPr>
          <w:trHeight w:val="670"/>
        </w:trPr>
        <w:tc>
          <w:tcPr>
            <w:tcW w:w="90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5</w:t>
            </w:r>
          </w:p>
        </w:tc>
        <w:tc>
          <w:tcPr>
            <w:tcW w:w="68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5,4–9,5</w:t>
            </w:r>
          </w:p>
        </w:tc>
        <w:tc>
          <w:tcPr>
            <w:tcW w:w="757"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5,5–10,6</w:t>
            </w:r>
          </w:p>
        </w:tc>
        <w:tc>
          <w:tcPr>
            <w:tcW w:w="60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5,6–11,8</w:t>
            </w:r>
          </w:p>
        </w:tc>
        <w:tc>
          <w:tcPr>
            <w:tcW w:w="683" w:type="pct"/>
            <w:tcMar>
              <w:top w:w="0" w:type="dxa"/>
              <w:left w:w="108" w:type="dxa"/>
              <w:bottom w:w="0" w:type="dxa"/>
              <w:right w:w="108" w:type="dxa"/>
            </w:tcMar>
            <w:vAlign w:val="center"/>
            <w:hideMark/>
          </w:tcPr>
          <w:p w:rsidR="00BC332B" w:rsidRDefault="00A017F6">
            <w:pPr>
              <w:ind w:hanging="109"/>
              <w:jc w:val="center"/>
              <w:rPr>
                <w:szCs w:val="24"/>
                <w:lang w:eastAsia="lt-LT"/>
              </w:rPr>
            </w:pPr>
            <w:r>
              <w:rPr>
                <w:color w:val="000000"/>
                <w:szCs w:val="24"/>
                <w:lang w:eastAsia="lt-LT"/>
              </w:rPr>
              <w:t>4,7–8,9</w:t>
            </w:r>
          </w:p>
        </w:tc>
        <w:tc>
          <w:tcPr>
            <w:tcW w:w="710"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4,8–9</w:t>
            </w:r>
          </w:p>
        </w:tc>
        <w:tc>
          <w:tcPr>
            <w:tcW w:w="65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4,9–9,2</w:t>
            </w:r>
          </w:p>
        </w:tc>
      </w:tr>
      <w:tr w:rsidR="00BC332B">
        <w:trPr>
          <w:trHeight w:val="670"/>
        </w:trPr>
        <w:tc>
          <w:tcPr>
            <w:tcW w:w="90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68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5,5–9,6</w:t>
            </w:r>
          </w:p>
        </w:tc>
        <w:tc>
          <w:tcPr>
            <w:tcW w:w="757"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5,6–10,7</w:t>
            </w:r>
          </w:p>
        </w:tc>
        <w:tc>
          <w:tcPr>
            <w:tcW w:w="606" w:type="pct"/>
            <w:tcMar>
              <w:top w:w="0" w:type="dxa"/>
              <w:left w:w="108" w:type="dxa"/>
              <w:bottom w:w="0" w:type="dxa"/>
              <w:right w:w="108" w:type="dxa"/>
            </w:tcMar>
            <w:vAlign w:val="center"/>
            <w:hideMark/>
          </w:tcPr>
          <w:p w:rsidR="00BC332B" w:rsidRDefault="00A017F6">
            <w:pPr>
              <w:ind w:hanging="107"/>
              <w:jc w:val="center"/>
              <w:rPr>
                <w:szCs w:val="24"/>
                <w:lang w:eastAsia="lt-LT"/>
              </w:rPr>
            </w:pPr>
            <w:r>
              <w:rPr>
                <w:color w:val="000000"/>
                <w:szCs w:val="24"/>
                <w:lang w:eastAsia="lt-LT"/>
              </w:rPr>
              <w:t>5,7–11,9</w:t>
            </w:r>
          </w:p>
        </w:tc>
        <w:tc>
          <w:tcPr>
            <w:tcW w:w="683" w:type="pct"/>
            <w:tcMar>
              <w:top w:w="0" w:type="dxa"/>
              <w:left w:w="108" w:type="dxa"/>
              <w:bottom w:w="0" w:type="dxa"/>
              <w:right w:w="108" w:type="dxa"/>
            </w:tcMar>
            <w:vAlign w:val="center"/>
            <w:hideMark/>
          </w:tcPr>
          <w:p w:rsidR="00BC332B" w:rsidRDefault="00A017F6">
            <w:pPr>
              <w:ind w:right="-191" w:hanging="109"/>
              <w:jc w:val="center"/>
              <w:rPr>
                <w:szCs w:val="24"/>
                <w:lang w:eastAsia="lt-LT"/>
              </w:rPr>
            </w:pPr>
            <w:r>
              <w:rPr>
                <w:color w:val="000000"/>
                <w:szCs w:val="24"/>
                <w:lang w:eastAsia="lt-LT"/>
              </w:rPr>
              <w:t>4,8–9</w:t>
            </w:r>
          </w:p>
        </w:tc>
        <w:tc>
          <w:tcPr>
            <w:tcW w:w="710"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4,9–9,2</w:t>
            </w:r>
          </w:p>
        </w:tc>
        <w:tc>
          <w:tcPr>
            <w:tcW w:w="65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5–9,4</w:t>
            </w:r>
          </w:p>
        </w:tc>
      </w:tr>
      <w:tr w:rsidR="00BC332B">
        <w:trPr>
          <w:trHeight w:val="670"/>
        </w:trPr>
        <w:tc>
          <w:tcPr>
            <w:tcW w:w="90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c>
          <w:tcPr>
            <w:tcW w:w="682"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5,6–9,7</w:t>
            </w:r>
          </w:p>
        </w:tc>
        <w:tc>
          <w:tcPr>
            <w:tcW w:w="757"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5,7–10,8</w:t>
            </w:r>
          </w:p>
        </w:tc>
        <w:tc>
          <w:tcPr>
            <w:tcW w:w="606" w:type="pct"/>
            <w:tcMar>
              <w:top w:w="0" w:type="dxa"/>
              <w:left w:w="108" w:type="dxa"/>
              <w:bottom w:w="0" w:type="dxa"/>
              <w:right w:w="108" w:type="dxa"/>
            </w:tcMar>
            <w:vAlign w:val="center"/>
            <w:hideMark/>
          </w:tcPr>
          <w:p w:rsidR="00BC332B" w:rsidRDefault="00A017F6">
            <w:pPr>
              <w:ind w:hanging="107"/>
              <w:jc w:val="center"/>
              <w:rPr>
                <w:szCs w:val="24"/>
                <w:lang w:eastAsia="lt-LT"/>
              </w:rPr>
            </w:pPr>
            <w:r>
              <w:rPr>
                <w:color w:val="000000"/>
                <w:szCs w:val="24"/>
                <w:lang w:eastAsia="lt-LT"/>
              </w:rPr>
              <w:t>5,8–12</w:t>
            </w:r>
          </w:p>
        </w:tc>
        <w:tc>
          <w:tcPr>
            <w:tcW w:w="683" w:type="pct"/>
            <w:tcMar>
              <w:top w:w="0" w:type="dxa"/>
              <w:left w:w="108" w:type="dxa"/>
              <w:bottom w:w="0" w:type="dxa"/>
              <w:right w:w="108" w:type="dxa"/>
            </w:tcMar>
            <w:vAlign w:val="center"/>
            <w:hideMark/>
          </w:tcPr>
          <w:p w:rsidR="00BC332B" w:rsidRDefault="00A017F6">
            <w:pPr>
              <w:ind w:right="-191" w:hanging="109"/>
              <w:jc w:val="center"/>
              <w:rPr>
                <w:szCs w:val="24"/>
                <w:lang w:eastAsia="lt-LT"/>
              </w:rPr>
            </w:pPr>
            <w:r>
              <w:rPr>
                <w:color w:val="000000"/>
                <w:szCs w:val="24"/>
                <w:lang w:eastAsia="lt-LT"/>
              </w:rPr>
              <w:t>4,9–9,2</w:t>
            </w:r>
          </w:p>
        </w:tc>
        <w:tc>
          <w:tcPr>
            <w:tcW w:w="710"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5–9,4</w:t>
            </w:r>
          </w:p>
        </w:tc>
        <w:tc>
          <w:tcPr>
            <w:tcW w:w="656" w:type="pc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 xml:space="preserve">5,2–9,5“ </w:t>
            </w:r>
          </w:p>
        </w:tc>
      </w:tr>
    </w:tbl>
    <w:p w:rsidR="00BC332B" w:rsidRDefault="00BC332B">
      <w:pPr>
        <w:spacing w:line="360" w:lineRule="auto"/>
        <w:ind w:firstLine="720"/>
        <w:rPr>
          <w:szCs w:val="24"/>
          <w:lang w:eastAsia="lt-LT"/>
        </w:rPr>
      </w:pPr>
    </w:p>
    <w:p w:rsidR="00BC332B" w:rsidRDefault="00A017F6">
      <w:pPr>
        <w:spacing w:line="360" w:lineRule="auto"/>
        <w:ind w:firstLine="720"/>
        <w:rPr>
          <w:b/>
          <w:szCs w:val="24"/>
          <w:lang w:eastAsia="lt-LT"/>
        </w:rPr>
      </w:pPr>
      <w:r>
        <w:rPr>
          <w:b/>
          <w:szCs w:val="24"/>
          <w:lang w:eastAsia="lt-LT"/>
        </w:rPr>
        <w:t>11 straipsnis. Įstatymo 3 priedo pakeitimas</w:t>
      </w:r>
    </w:p>
    <w:p w:rsidR="00BC332B" w:rsidRDefault="00A017F6">
      <w:pPr>
        <w:spacing w:line="360" w:lineRule="auto"/>
        <w:ind w:firstLine="720"/>
        <w:rPr>
          <w:szCs w:val="24"/>
          <w:lang w:eastAsia="lt-LT"/>
        </w:rPr>
      </w:pPr>
      <w:r>
        <w:rPr>
          <w:szCs w:val="24"/>
          <w:lang w:eastAsia="lt-LT"/>
        </w:rPr>
        <w:t>Pakeisti Įstatymo 3 priedą ir jį išdėstyti taip:</w:t>
      </w:r>
    </w:p>
    <w:p w:rsidR="00A017F6" w:rsidRDefault="00A017F6">
      <w:pPr>
        <w:ind w:left="5103"/>
        <w:rPr>
          <w:szCs w:val="24"/>
          <w:lang w:eastAsia="lt-LT"/>
        </w:rPr>
      </w:pPr>
    </w:p>
    <w:p w:rsidR="00A017F6" w:rsidRDefault="00A017F6" w:rsidP="00A017F6">
      <w:pPr>
        <w:ind w:left="5103"/>
        <w:rPr>
          <w:szCs w:val="24"/>
          <w:lang w:eastAsia="lt-LT"/>
        </w:rPr>
      </w:pPr>
      <w:r>
        <w:rPr>
          <w:szCs w:val="24"/>
          <w:lang w:eastAsia="lt-LT"/>
        </w:rPr>
        <w:t xml:space="preserve">„Lietuvos Respublikos </w:t>
      </w:r>
    </w:p>
    <w:p w:rsidR="00BC332B" w:rsidRDefault="00A017F6">
      <w:pPr>
        <w:ind w:left="5103"/>
        <w:rPr>
          <w:szCs w:val="24"/>
          <w:lang w:eastAsia="lt-LT"/>
        </w:rPr>
      </w:pPr>
      <w:r>
        <w:rPr>
          <w:szCs w:val="24"/>
          <w:lang w:eastAsia="lt-LT"/>
        </w:rPr>
        <w:t xml:space="preserve">valstybės ir savivaldybių įstaigų darbuotojų </w:t>
      </w:r>
    </w:p>
    <w:p w:rsidR="00BC332B" w:rsidRDefault="00A017F6">
      <w:pPr>
        <w:ind w:left="5103"/>
        <w:rPr>
          <w:szCs w:val="24"/>
          <w:lang w:eastAsia="lt-LT"/>
        </w:rPr>
      </w:pPr>
      <w:r>
        <w:rPr>
          <w:szCs w:val="24"/>
          <w:lang w:eastAsia="lt-LT"/>
        </w:rPr>
        <w:t xml:space="preserve">darbo apmokėjimo ir komisijų narių atlygio </w:t>
      </w:r>
    </w:p>
    <w:p w:rsidR="00BC332B" w:rsidRDefault="00A017F6">
      <w:pPr>
        <w:ind w:left="5103"/>
        <w:rPr>
          <w:szCs w:val="24"/>
          <w:lang w:eastAsia="lt-LT"/>
        </w:rPr>
      </w:pPr>
      <w:r>
        <w:rPr>
          <w:szCs w:val="24"/>
          <w:lang w:eastAsia="lt-LT"/>
        </w:rPr>
        <w:t>už darbą įstatymo</w:t>
      </w:r>
    </w:p>
    <w:p w:rsidR="00BC332B" w:rsidRDefault="00A017F6">
      <w:pPr>
        <w:ind w:left="5103"/>
        <w:rPr>
          <w:szCs w:val="24"/>
          <w:lang w:eastAsia="lt-LT"/>
        </w:rPr>
      </w:pPr>
      <w:r>
        <w:rPr>
          <w:szCs w:val="24"/>
          <w:lang w:eastAsia="lt-LT"/>
        </w:rPr>
        <w:t>3 priedas</w:t>
      </w:r>
    </w:p>
    <w:p w:rsidR="00BC332B" w:rsidRDefault="00BC332B">
      <w:pPr>
        <w:ind w:firstLine="5761"/>
        <w:rPr>
          <w:szCs w:val="24"/>
          <w:lang w:eastAsia="lt-LT"/>
        </w:rPr>
      </w:pPr>
    </w:p>
    <w:p w:rsidR="00BC332B" w:rsidRDefault="00A017F6">
      <w:pPr>
        <w:spacing w:line="360" w:lineRule="auto"/>
        <w:jc w:val="center"/>
        <w:rPr>
          <w:b/>
          <w:szCs w:val="24"/>
          <w:lang w:eastAsia="lt-LT"/>
        </w:rPr>
      </w:pPr>
      <w:r>
        <w:rPr>
          <w:b/>
          <w:bCs/>
          <w:szCs w:val="24"/>
          <w:lang w:eastAsia="lt-LT"/>
        </w:rPr>
        <w:t>VALSTYBĖS IR SAVIVALDYBIŲ ĮSTAIGŲ DARBUOTOJŲ, SU KURIAIS SUDARYTOS SUTARTYS DĖL MENTORYSTĖS, IR SPECIALISTŲ PAREIGINĖS ALGOS PASTOVIOSIOS DALIES KOEFICIENTAI</w:t>
      </w:r>
    </w:p>
    <w:p w:rsidR="00BC332B" w:rsidRDefault="00BC332B">
      <w:pPr>
        <w:ind w:firstLine="62"/>
        <w:rPr>
          <w:szCs w:val="24"/>
          <w:lang w:eastAsia="lt-LT"/>
        </w:rPr>
      </w:pPr>
    </w:p>
    <w:p w:rsidR="00BC332B" w:rsidRDefault="00A017F6">
      <w:pPr>
        <w:ind w:firstLine="7230"/>
        <w:rPr>
          <w:szCs w:val="24"/>
          <w:lang w:eastAsia="lt-LT"/>
        </w:rPr>
      </w:pPr>
      <w:r>
        <w:rPr>
          <w:color w:val="000000"/>
          <w:szCs w:val="24"/>
          <w:lang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BC332B">
        <w:trPr>
          <w:trHeight w:val="340"/>
        </w:trPr>
        <w:tc>
          <w:tcPr>
            <w:tcW w:w="1980"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Pareigybės lygis</w:t>
            </w:r>
          </w:p>
        </w:tc>
        <w:tc>
          <w:tcPr>
            <w:tcW w:w="7654" w:type="dxa"/>
            <w:gridSpan w:val="4"/>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 xml:space="preserve">Pastoviosios dalies koeficientai </w:t>
            </w:r>
          </w:p>
        </w:tc>
      </w:tr>
      <w:tr w:rsidR="00BC332B">
        <w:trPr>
          <w:trHeight w:val="340"/>
        </w:trPr>
        <w:tc>
          <w:tcPr>
            <w:tcW w:w="0" w:type="auto"/>
            <w:vMerge/>
            <w:vAlign w:val="center"/>
            <w:hideMark/>
          </w:tcPr>
          <w:p w:rsidR="00BC332B" w:rsidRDefault="00BC332B">
            <w:pPr>
              <w:rPr>
                <w:szCs w:val="24"/>
                <w:lang w:eastAsia="lt-LT"/>
              </w:rPr>
            </w:pPr>
          </w:p>
        </w:tc>
        <w:tc>
          <w:tcPr>
            <w:tcW w:w="7654" w:type="dxa"/>
            <w:gridSpan w:val="4"/>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r>
      <w:tr w:rsidR="00BC332B">
        <w:trPr>
          <w:trHeight w:val="836"/>
        </w:trPr>
        <w:tc>
          <w:tcPr>
            <w:tcW w:w="0" w:type="auto"/>
            <w:vMerge/>
            <w:vAlign w:val="center"/>
            <w:hideMark/>
          </w:tcPr>
          <w:p w:rsidR="00BC332B" w:rsidRDefault="00BC332B">
            <w:pPr>
              <w:rPr>
                <w:szCs w:val="24"/>
                <w:lang w:eastAsia="lt-LT"/>
              </w:rPr>
            </w:pPr>
          </w:p>
        </w:tc>
        <w:tc>
          <w:tcPr>
            <w:tcW w:w="202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2</w:t>
            </w:r>
          </w:p>
        </w:tc>
        <w:tc>
          <w:tcPr>
            <w:tcW w:w="1807"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2 iki 5</w:t>
            </w:r>
          </w:p>
        </w:tc>
        <w:tc>
          <w:tcPr>
            <w:tcW w:w="1985"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1842"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r>
      <w:tr w:rsidR="00BC332B">
        <w:trPr>
          <w:trHeight w:val="670"/>
        </w:trPr>
        <w:tc>
          <w:tcPr>
            <w:tcW w:w="198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A lygis</w:t>
            </w:r>
          </w:p>
        </w:tc>
        <w:tc>
          <w:tcPr>
            <w:tcW w:w="202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5–8,4</w:t>
            </w:r>
          </w:p>
        </w:tc>
        <w:tc>
          <w:tcPr>
            <w:tcW w:w="1807"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5,1–9,4</w:t>
            </w:r>
          </w:p>
        </w:tc>
        <w:tc>
          <w:tcPr>
            <w:tcW w:w="1985"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5,2–10,5</w:t>
            </w:r>
          </w:p>
        </w:tc>
        <w:tc>
          <w:tcPr>
            <w:tcW w:w="1842"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5,3–11,6</w:t>
            </w:r>
          </w:p>
        </w:tc>
      </w:tr>
      <w:tr w:rsidR="00BC332B">
        <w:trPr>
          <w:trHeight w:val="670"/>
        </w:trPr>
        <w:tc>
          <w:tcPr>
            <w:tcW w:w="198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B lygis</w:t>
            </w:r>
          </w:p>
        </w:tc>
        <w:tc>
          <w:tcPr>
            <w:tcW w:w="2020"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4,6–8,1</w:t>
            </w:r>
          </w:p>
        </w:tc>
        <w:tc>
          <w:tcPr>
            <w:tcW w:w="1807"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4,7–8,2</w:t>
            </w:r>
          </w:p>
        </w:tc>
        <w:tc>
          <w:tcPr>
            <w:tcW w:w="1985"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4,8–8,4</w:t>
            </w:r>
          </w:p>
        </w:tc>
        <w:tc>
          <w:tcPr>
            <w:tcW w:w="1842"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4,9–8,9“</w:t>
            </w:r>
          </w:p>
        </w:tc>
      </w:tr>
    </w:tbl>
    <w:p w:rsidR="00BC332B" w:rsidRDefault="00BC332B">
      <w:pPr>
        <w:ind w:left="5103"/>
        <w:rPr>
          <w:szCs w:val="24"/>
          <w:lang w:eastAsia="lt-LT"/>
        </w:rPr>
      </w:pPr>
    </w:p>
    <w:p w:rsidR="00BC332B" w:rsidRDefault="00A017F6">
      <w:pPr>
        <w:spacing w:line="360" w:lineRule="auto"/>
        <w:ind w:firstLine="720"/>
        <w:rPr>
          <w:b/>
          <w:szCs w:val="24"/>
          <w:lang w:eastAsia="lt-LT"/>
        </w:rPr>
      </w:pPr>
      <w:r>
        <w:rPr>
          <w:b/>
          <w:szCs w:val="24"/>
          <w:lang w:eastAsia="lt-LT"/>
        </w:rPr>
        <w:t>12 straipsnis. Įstatymo 4 priedo pakeitimas</w:t>
      </w:r>
    </w:p>
    <w:p w:rsidR="00BC332B" w:rsidRDefault="00A017F6">
      <w:pPr>
        <w:spacing w:line="360" w:lineRule="auto"/>
        <w:ind w:firstLine="720"/>
        <w:rPr>
          <w:szCs w:val="24"/>
          <w:lang w:eastAsia="lt-LT"/>
        </w:rPr>
      </w:pPr>
      <w:r>
        <w:rPr>
          <w:szCs w:val="24"/>
          <w:lang w:eastAsia="lt-LT"/>
        </w:rPr>
        <w:t>Pakeisti Įstatymo 4 priedą ir jį išdėstyti taip:</w:t>
      </w:r>
    </w:p>
    <w:p w:rsidR="00BC332B" w:rsidRDefault="00BC332B">
      <w:pPr>
        <w:ind w:left="5103"/>
        <w:rPr>
          <w:szCs w:val="24"/>
          <w:lang w:eastAsia="lt-LT"/>
        </w:rPr>
      </w:pPr>
    </w:p>
    <w:p w:rsidR="00A017F6" w:rsidRDefault="00A017F6">
      <w:pPr>
        <w:ind w:left="5103"/>
      </w:pPr>
      <w:r>
        <w:rPr>
          <w:szCs w:val="24"/>
          <w:lang w:eastAsia="lt-LT"/>
        </w:rPr>
        <w:t>„Lietuvos Respublikos</w:t>
      </w:r>
    </w:p>
    <w:p w:rsidR="00BC332B" w:rsidRDefault="00A017F6">
      <w:pPr>
        <w:ind w:left="5103"/>
        <w:rPr>
          <w:szCs w:val="24"/>
          <w:lang w:eastAsia="lt-LT"/>
        </w:rPr>
      </w:pPr>
      <w:r>
        <w:rPr>
          <w:szCs w:val="24"/>
          <w:lang w:eastAsia="lt-LT"/>
        </w:rPr>
        <w:t xml:space="preserve">valstybės ir savivaldybių įstaigų darbuotojų </w:t>
      </w:r>
    </w:p>
    <w:p w:rsidR="00BC332B" w:rsidRDefault="00A017F6">
      <w:pPr>
        <w:ind w:left="5103"/>
        <w:rPr>
          <w:szCs w:val="24"/>
          <w:lang w:eastAsia="lt-LT"/>
        </w:rPr>
      </w:pPr>
      <w:r>
        <w:rPr>
          <w:szCs w:val="24"/>
          <w:lang w:eastAsia="lt-LT"/>
        </w:rPr>
        <w:t xml:space="preserve">darbo apmokėjimo ir komisijų narių atlygio </w:t>
      </w:r>
    </w:p>
    <w:p w:rsidR="00BC332B" w:rsidRDefault="00A017F6">
      <w:pPr>
        <w:ind w:left="5103"/>
        <w:rPr>
          <w:szCs w:val="24"/>
          <w:lang w:eastAsia="lt-LT"/>
        </w:rPr>
      </w:pPr>
      <w:r>
        <w:rPr>
          <w:szCs w:val="24"/>
          <w:lang w:eastAsia="lt-LT"/>
        </w:rPr>
        <w:t xml:space="preserve">už darbą įstatymo </w:t>
      </w:r>
    </w:p>
    <w:p w:rsidR="00BC332B" w:rsidRDefault="00A017F6">
      <w:pPr>
        <w:ind w:left="5103"/>
        <w:rPr>
          <w:szCs w:val="24"/>
          <w:lang w:eastAsia="lt-LT"/>
        </w:rPr>
      </w:pPr>
      <w:r>
        <w:rPr>
          <w:szCs w:val="24"/>
          <w:lang w:eastAsia="lt-LT"/>
        </w:rPr>
        <w:t>4 priedas</w:t>
      </w:r>
    </w:p>
    <w:p w:rsidR="00BC332B" w:rsidRDefault="00BC332B">
      <w:pPr>
        <w:ind w:left="5103"/>
        <w:rPr>
          <w:szCs w:val="24"/>
          <w:lang w:eastAsia="lt-LT"/>
        </w:rPr>
      </w:pPr>
    </w:p>
    <w:p w:rsidR="00BC332B" w:rsidRDefault="00A017F6">
      <w:pPr>
        <w:spacing w:line="360" w:lineRule="auto"/>
        <w:jc w:val="center"/>
        <w:rPr>
          <w:b/>
          <w:szCs w:val="24"/>
          <w:lang w:eastAsia="lt-LT"/>
        </w:rPr>
      </w:pPr>
      <w:r>
        <w:rPr>
          <w:b/>
          <w:bCs/>
          <w:szCs w:val="24"/>
          <w:lang w:eastAsia="lt-LT"/>
        </w:rPr>
        <w:t>VALSTYBĖS IR SAVIVALDYBIŲ ĮSTAIGŲ KVALIFIKUOTŲ DARBUOTOJŲ PAREIGINĖS ALGOS PASTOVIOSIOS DALIES KOEFICIENTAI</w:t>
      </w:r>
    </w:p>
    <w:p w:rsidR="00BC332B" w:rsidRDefault="00BC332B">
      <w:pPr>
        <w:rPr>
          <w:szCs w:val="24"/>
          <w:lang w:eastAsia="lt-LT"/>
        </w:rPr>
      </w:pPr>
    </w:p>
    <w:p w:rsidR="00BC332B" w:rsidRDefault="00A017F6">
      <w:pPr>
        <w:ind w:firstLine="7371"/>
        <w:jc w:val="both"/>
        <w:rPr>
          <w:szCs w:val="24"/>
          <w:lang w:eastAsia="lt-LT"/>
        </w:rPr>
      </w:pPr>
      <w:r>
        <w:rPr>
          <w:color w:val="000000"/>
          <w:szCs w:val="24"/>
          <w:lang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8"/>
        <w:gridCol w:w="1743"/>
        <w:gridCol w:w="1956"/>
        <w:gridCol w:w="1927"/>
        <w:gridCol w:w="1792"/>
      </w:tblGrid>
      <w:tr w:rsidR="00BC332B">
        <w:trPr>
          <w:trHeight w:val="340"/>
        </w:trPr>
        <w:tc>
          <w:tcPr>
            <w:tcW w:w="1938" w:type="dxa"/>
            <w:vMerge w:val="restart"/>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Pareigybės lygis</w:t>
            </w:r>
          </w:p>
        </w:tc>
        <w:tc>
          <w:tcPr>
            <w:tcW w:w="7418" w:type="dxa"/>
            <w:gridSpan w:val="4"/>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 xml:space="preserve">Pastoviosios dalies koeficientai </w:t>
            </w:r>
          </w:p>
        </w:tc>
      </w:tr>
      <w:tr w:rsidR="00BC332B">
        <w:trPr>
          <w:trHeight w:val="340"/>
        </w:trPr>
        <w:tc>
          <w:tcPr>
            <w:tcW w:w="0" w:type="auto"/>
            <w:vMerge/>
            <w:vAlign w:val="center"/>
            <w:hideMark/>
          </w:tcPr>
          <w:p w:rsidR="00BC332B" w:rsidRDefault="00BC332B">
            <w:pPr>
              <w:rPr>
                <w:szCs w:val="24"/>
                <w:lang w:eastAsia="lt-LT"/>
              </w:rPr>
            </w:pPr>
          </w:p>
        </w:tc>
        <w:tc>
          <w:tcPr>
            <w:tcW w:w="7418" w:type="dxa"/>
            <w:gridSpan w:val="4"/>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profesinio darbo patirtis (metais)</w:t>
            </w:r>
          </w:p>
        </w:tc>
      </w:tr>
      <w:tr w:rsidR="00BC332B">
        <w:trPr>
          <w:trHeight w:val="685"/>
        </w:trPr>
        <w:tc>
          <w:tcPr>
            <w:tcW w:w="0" w:type="auto"/>
            <w:vMerge/>
            <w:vAlign w:val="center"/>
            <w:hideMark/>
          </w:tcPr>
          <w:p w:rsidR="00BC332B" w:rsidRDefault="00BC332B">
            <w:pPr>
              <w:rPr>
                <w:szCs w:val="24"/>
                <w:lang w:eastAsia="lt-LT"/>
              </w:rPr>
            </w:pPr>
          </w:p>
        </w:tc>
        <w:tc>
          <w:tcPr>
            <w:tcW w:w="1743"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iki 2</w:t>
            </w:r>
          </w:p>
        </w:tc>
        <w:tc>
          <w:tcPr>
            <w:tcW w:w="1956"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2 iki 5</w:t>
            </w:r>
          </w:p>
        </w:tc>
        <w:tc>
          <w:tcPr>
            <w:tcW w:w="1927"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nuo daugiau kaip 5 iki 10</w:t>
            </w:r>
          </w:p>
        </w:tc>
        <w:tc>
          <w:tcPr>
            <w:tcW w:w="1792"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daugiau kaip 10</w:t>
            </w:r>
          </w:p>
        </w:tc>
      </w:tr>
      <w:tr w:rsidR="00BC332B">
        <w:trPr>
          <w:trHeight w:val="660"/>
        </w:trPr>
        <w:tc>
          <w:tcPr>
            <w:tcW w:w="1938"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C lygis</w:t>
            </w:r>
          </w:p>
        </w:tc>
        <w:tc>
          <w:tcPr>
            <w:tcW w:w="1743"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4,2–5,9</w:t>
            </w:r>
          </w:p>
        </w:tc>
        <w:tc>
          <w:tcPr>
            <w:tcW w:w="1956"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4,3–6</w:t>
            </w:r>
          </w:p>
        </w:tc>
        <w:tc>
          <w:tcPr>
            <w:tcW w:w="1927"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4,4–6,2</w:t>
            </w:r>
          </w:p>
        </w:tc>
        <w:tc>
          <w:tcPr>
            <w:tcW w:w="1792" w:type="dxa"/>
            <w:tcMar>
              <w:top w:w="0" w:type="dxa"/>
              <w:left w:w="108" w:type="dxa"/>
              <w:bottom w:w="0" w:type="dxa"/>
              <w:right w:w="108" w:type="dxa"/>
            </w:tcMar>
            <w:vAlign w:val="center"/>
            <w:hideMark/>
          </w:tcPr>
          <w:p w:rsidR="00BC332B" w:rsidRDefault="00A017F6">
            <w:pPr>
              <w:jc w:val="center"/>
              <w:rPr>
                <w:szCs w:val="24"/>
                <w:lang w:eastAsia="lt-LT"/>
              </w:rPr>
            </w:pPr>
            <w:r>
              <w:rPr>
                <w:color w:val="000000"/>
                <w:szCs w:val="24"/>
                <w:lang w:eastAsia="lt-LT"/>
              </w:rPr>
              <w:t>4,5–7,8“</w:t>
            </w:r>
          </w:p>
        </w:tc>
      </w:tr>
    </w:tbl>
    <w:p w:rsidR="00BC332B" w:rsidRDefault="00BC332B">
      <w:pPr>
        <w:ind w:left="567" w:firstLine="142"/>
        <w:rPr>
          <w:szCs w:val="24"/>
          <w:lang w:eastAsia="lt-LT"/>
        </w:rPr>
      </w:pPr>
    </w:p>
    <w:p w:rsidR="00BC332B" w:rsidRDefault="00A017F6">
      <w:pPr>
        <w:spacing w:line="360" w:lineRule="auto"/>
        <w:ind w:firstLine="720"/>
        <w:rPr>
          <w:b/>
          <w:szCs w:val="24"/>
          <w:lang w:eastAsia="lt-LT"/>
        </w:rPr>
      </w:pPr>
      <w:r>
        <w:rPr>
          <w:b/>
          <w:szCs w:val="24"/>
          <w:lang w:eastAsia="lt-LT"/>
        </w:rPr>
        <w:t>13 straipsnis. Įstatymo 5 priedo pakeitimas</w:t>
      </w:r>
    </w:p>
    <w:p w:rsidR="00BC332B" w:rsidRDefault="00A017F6">
      <w:pPr>
        <w:spacing w:line="360" w:lineRule="auto"/>
        <w:ind w:firstLine="720"/>
        <w:rPr>
          <w:szCs w:val="24"/>
          <w:lang w:eastAsia="lt-LT"/>
        </w:rPr>
      </w:pPr>
      <w:r>
        <w:rPr>
          <w:szCs w:val="24"/>
          <w:lang w:eastAsia="lt-LT"/>
        </w:rPr>
        <w:t>1. Pakeisti Įstatymo 5 priedo 32 punktą ir jį išdėstyti taip:</w:t>
      </w:r>
    </w:p>
    <w:p w:rsidR="00BC332B" w:rsidRDefault="00A017F6">
      <w:pPr>
        <w:spacing w:line="360" w:lineRule="auto"/>
        <w:ind w:firstLine="720"/>
        <w:jc w:val="both"/>
        <w:rPr>
          <w:szCs w:val="24"/>
          <w:lang w:eastAsia="lt-LT"/>
        </w:rPr>
      </w:pPr>
      <w:r>
        <w:rPr>
          <w:szCs w:val="24"/>
          <w:lang w:eastAsia="lt-LT"/>
        </w:rPr>
        <w:t>„32. Šiame skyriuje nurodytų darbuotojų pareiginės algos pastoviosios dalies koeficientai:</w:t>
      </w:r>
    </w:p>
    <w:p w:rsidR="00BC332B" w:rsidRDefault="00BC332B">
      <w:pPr>
        <w:spacing w:line="360" w:lineRule="auto"/>
        <w:ind w:firstLine="720"/>
        <w:jc w:val="both"/>
        <w:rPr>
          <w:szCs w:val="24"/>
          <w:lang w:eastAsia="lt-LT"/>
        </w:rPr>
      </w:pPr>
    </w:p>
    <w:p w:rsidR="00BC332B" w:rsidRDefault="00A017F6">
      <w:pPr>
        <w:ind w:firstLine="7371"/>
        <w:rPr>
          <w:szCs w:val="24"/>
          <w:lang w:eastAsia="lt-LT"/>
        </w:rPr>
      </w:pPr>
      <w:r>
        <w:rPr>
          <w:color w:val="000000"/>
          <w:szCs w:val="24"/>
          <w:lang w:eastAsia="lt-LT"/>
        </w:rPr>
        <w:t>(Baziniais dydžiais)</w:t>
      </w:r>
    </w:p>
    <w:tbl>
      <w:tblPr>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48"/>
        <w:gridCol w:w="1492"/>
        <w:gridCol w:w="1418"/>
        <w:gridCol w:w="1416"/>
        <w:gridCol w:w="1493"/>
      </w:tblGrid>
      <w:tr w:rsidR="00BC332B">
        <w:trPr>
          <w:trHeight w:val="583"/>
        </w:trPr>
        <w:tc>
          <w:tcPr>
            <w:tcW w:w="3748" w:type="dxa"/>
            <w:vMerge w:val="restart"/>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Pareigybė</w:t>
            </w:r>
          </w:p>
        </w:tc>
        <w:tc>
          <w:tcPr>
            <w:tcW w:w="5819" w:type="dxa"/>
            <w:gridSpan w:val="4"/>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 xml:space="preserve">Pastoviosios dalies koeficientai </w:t>
            </w:r>
          </w:p>
        </w:tc>
      </w:tr>
      <w:tr w:rsidR="00BC332B">
        <w:trPr>
          <w:trHeight w:val="300"/>
        </w:trPr>
        <w:tc>
          <w:tcPr>
            <w:tcW w:w="0" w:type="auto"/>
            <w:vMerge/>
            <w:vAlign w:val="center"/>
            <w:hideMark/>
          </w:tcPr>
          <w:p w:rsidR="00BC332B" w:rsidRDefault="00BC332B">
            <w:pPr>
              <w:spacing w:line="259" w:lineRule="auto"/>
              <w:rPr>
                <w:szCs w:val="24"/>
                <w:lang w:eastAsia="lt-LT"/>
              </w:rPr>
            </w:pPr>
          </w:p>
        </w:tc>
        <w:tc>
          <w:tcPr>
            <w:tcW w:w="5819" w:type="dxa"/>
            <w:gridSpan w:val="4"/>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pedagoginio darbo stažas (metais)</w:t>
            </w:r>
          </w:p>
        </w:tc>
      </w:tr>
      <w:tr w:rsidR="00BC332B">
        <w:trPr>
          <w:trHeight w:val="272"/>
        </w:trPr>
        <w:tc>
          <w:tcPr>
            <w:tcW w:w="0" w:type="auto"/>
            <w:vMerge/>
            <w:vAlign w:val="center"/>
            <w:hideMark/>
          </w:tcPr>
          <w:p w:rsidR="00BC332B" w:rsidRDefault="00BC332B">
            <w:pPr>
              <w:spacing w:line="259" w:lineRule="auto"/>
              <w:rPr>
                <w:szCs w:val="24"/>
                <w:lang w:eastAsia="lt-LT"/>
              </w:rPr>
            </w:pPr>
          </w:p>
        </w:tc>
        <w:tc>
          <w:tcPr>
            <w:tcW w:w="1492"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 xml:space="preserve">iki 3 </w:t>
            </w:r>
          </w:p>
        </w:tc>
        <w:tc>
          <w:tcPr>
            <w:tcW w:w="1418"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nuo daugiau kaip 3 iki 10</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 xml:space="preserve">nuo daugiau kaip 10 iki 15 </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daugiau kaip 15</w:t>
            </w:r>
          </w:p>
        </w:tc>
      </w:tr>
      <w:tr w:rsidR="00BC332B">
        <w:trPr>
          <w:trHeight w:val="300"/>
        </w:trPr>
        <w:tc>
          <w:tcPr>
            <w:tcW w:w="9567" w:type="dxa"/>
            <w:gridSpan w:val="5"/>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Nesuteiktos kvalifikacinės kategorijos</w:t>
            </w:r>
          </w:p>
        </w:tc>
      </w:tr>
      <w:tr w:rsidR="00BC332B">
        <w:trPr>
          <w:trHeight w:val="645"/>
        </w:trPr>
        <w:tc>
          <w:tcPr>
            <w:tcW w:w="3748" w:type="dxa"/>
            <w:tcMar>
              <w:top w:w="0" w:type="dxa"/>
              <w:left w:w="108" w:type="dxa"/>
              <w:bottom w:w="0" w:type="dxa"/>
              <w:right w:w="108" w:type="dxa"/>
            </w:tcMar>
            <w:vAlign w:val="bottom"/>
            <w:hideMark/>
          </w:tcPr>
          <w:p w:rsidR="00BC332B" w:rsidRDefault="00A017F6">
            <w:pPr>
              <w:spacing w:line="259" w:lineRule="auto"/>
              <w:rPr>
                <w:szCs w:val="24"/>
                <w:lang w:eastAsia="lt-LT"/>
              </w:rPr>
            </w:pPr>
            <w:r>
              <w:rPr>
                <w:szCs w:val="24"/>
                <w:lang w:eastAsia="lt-LT"/>
              </w:rPr>
              <w:t>Auklėtojas, koncertmeisteris, akompaniatorius</w:t>
            </w:r>
          </w:p>
        </w:tc>
        <w:tc>
          <w:tcPr>
            <w:tcW w:w="1492"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5,1</w:t>
            </w:r>
          </w:p>
        </w:tc>
        <w:tc>
          <w:tcPr>
            <w:tcW w:w="1418"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5,2</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5,25</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5,3</w:t>
            </w:r>
          </w:p>
        </w:tc>
      </w:tr>
      <w:tr w:rsidR="00BC332B">
        <w:trPr>
          <w:trHeight w:val="293"/>
        </w:trPr>
        <w:tc>
          <w:tcPr>
            <w:tcW w:w="3748" w:type="dxa"/>
            <w:tcMar>
              <w:top w:w="0" w:type="dxa"/>
              <w:left w:w="108" w:type="dxa"/>
              <w:bottom w:w="0" w:type="dxa"/>
              <w:right w:w="108" w:type="dxa"/>
            </w:tcMar>
            <w:vAlign w:val="center"/>
            <w:hideMark/>
          </w:tcPr>
          <w:p w:rsidR="00BC332B" w:rsidRDefault="00BC332B">
            <w:pPr>
              <w:spacing w:line="259" w:lineRule="auto"/>
              <w:rPr>
                <w:szCs w:val="24"/>
                <w:lang w:eastAsia="lt-LT"/>
              </w:rPr>
            </w:pPr>
          </w:p>
        </w:tc>
        <w:tc>
          <w:tcPr>
            <w:tcW w:w="5819" w:type="dxa"/>
            <w:gridSpan w:val="4"/>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Pedagoginio darbo stažas (metais)</w:t>
            </w:r>
          </w:p>
        </w:tc>
      </w:tr>
      <w:tr w:rsidR="00BC332B">
        <w:trPr>
          <w:trHeight w:val="219"/>
        </w:trPr>
        <w:tc>
          <w:tcPr>
            <w:tcW w:w="3748" w:type="dxa"/>
            <w:tcMar>
              <w:top w:w="0" w:type="dxa"/>
              <w:left w:w="108" w:type="dxa"/>
              <w:bottom w:w="0" w:type="dxa"/>
              <w:right w:w="108" w:type="dxa"/>
            </w:tcMar>
            <w:vAlign w:val="center"/>
            <w:hideMark/>
          </w:tcPr>
          <w:p w:rsidR="00BC332B" w:rsidRDefault="00BC332B">
            <w:pPr>
              <w:spacing w:line="259" w:lineRule="auto"/>
              <w:rPr>
                <w:szCs w:val="24"/>
                <w:lang w:eastAsia="lt-LT"/>
              </w:rPr>
            </w:pPr>
          </w:p>
        </w:tc>
        <w:tc>
          <w:tcPr>
            <w:tcW w:w="2910" w:type="dxa"/>
            <w:gridSpan w:val="2"/>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iki 10</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nuo daugiau kaip 10 iki 15</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daugiau kaip 15</w:t>
            </w:r>
          </w:p>
        </w:tc>
      </w:tr>
      <w:tr w:rsidR="00BC332B">
        <w:trPr>
          <w:trHeight w:val="300"/>
        </w:trPr>
        <w:tc>
          <w:tcPr>
            <w:tcW w:w="9567" w:type="dxa"/>
            <w:gridSpan w:val="5"/>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Suteiktos kvalifikacinės kategorijos</w:t>
            </w:r>
          </w:p>
        </w:tc>
      </w:tr>
      <w:tr w:rsidR="00BC332B">
        <w:trPr>
          <w:trHeight w:val="593"/>
        </w:trPr>
        <w:tc>
          <w:tcPr>
            <w:tcW w:w="3748" w:type="dxa"/>
            <w:tcMar>
              <w:top w:w="0" w:type="dxa"/>
              <w:left w:w="108" w:type="dxa"/>
              <w:bottom w:w="0" w:type="dxa"/>
              <w:right w:w="108" w:type="dxa"/>
            </w:tcMar>
            <w:vAlign w:val="bottom"/>
            <w:hideMark/>
          </w:tcPr>
          <w:p w:rsidR="00BC332B" w:rsidRDefault="00A017F6">
            <w:pPr>
              <w:spacing w:line="259" w:lineRule="auto"/>
              <w:rPr>
                <w:szCs w:val="24"/>
                <w:lang w:eastAsia="lt-LT"/>
              </w:rPr>
            </w:pPr>
            <w:r>
              <w:rPr>
                <w:color w:val="000000"/>
                <w:szCs w:val="24"/>
                <w:lang w:eastAsia="lt-LT"/>
              </w:rPr>
              <w:t>Auklėtojas, koncertmeisteris, akompaniatorius</w:t>
            </w:r>
            <w:r>
              <w:rPr>
                <w:strike/>
                <w:szCs w:val="24"/>
                <w:lang w:eastAsia="lt-LT"/>
              </w:rPr>
              <w:t xml:space="preserve"> </w:t>
            </w:r>
          </w:p>
        </w:tc>
        <w:tc>
          <w:tcPr>
            <w:tcW w:w="2910" w:type="dxa"/>
            <w:gridSpan w:val="2"/>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5,4</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5,45</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5,5</w:t>
            </w:r>
          </w:p>
        </w:tc>
      </w:tr>
      <w:tr w:rsidR="00BC332B">
        <w:trPr>
          <w:trHeight w:val="454"/>
        </w:trPr>
        <w:tc>
          <w:tcPr>
            <w:tcW w:w="3748" w:type="dxa"/>
            <w:tcMar>
              <w:top w:w="0" w:type="dxa"/>
              <w:left w:w="108" w:type="dxa"/>
              <w:bottom w:w="0" w:type="dxa"/>
              <w:right w:w="108" w:type="dxa"/>
            </w:tcMar>
            <w:vAlign w:val="bottom"/>
            <w:hideMark/>
          </w:tcPr>
          <w:p w:rsidR="00BC332B" w:rsidRDefault="00A017F6">
            <w:pPr>
              <w:spacing w:line="259" w:lineRule="auto"/>
              <w:rPr>
                <w:szCs w:val="24"/>
                <w:lang w:eastAsia="lt-LT"/>
              </w:rPr>
            </w:pPr>
            <w:r>
              <w:rPr>
                <w:color w:val="000000"/>
                <w:szCs w:val="24"/>
                <w:lang w:eastAsia="lt-LT"/>
              </w:rPr>
              <w:t>Vyresnysis auklėtojas, vyresnysis koncertmeisteris, vyresnysis akompaniatorius</w:t>
            </w:r>
            <w:r>
              <w:rPr>
                <w:szCs w:val="24"/>
                <w:lang w:eastAsia="lt-LT"/>
              </w:rPr>
              <w:t xml:space="preserve"> </w:t>
            </w:r>
          </w:p>
        </w:tc>
        <w:tc>
          <w:tcPr>
            <w:tcW w:w="2910" w:type="dxa"/>
            <w:gridSpan w:val="2"/>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5,6</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5,65</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5,7</w:t>
            </w:r>
          </w:p>
        </w:tc>
      </w:tr>
      <w:tr w:rsidR="00BC332B">
        <w:trPr>
          <w:trHeight w:val="561"/>
        </w:trPr>
        <w:tc>
          <w:tcPr>
            <w:tcW w:w="3748" w:type="dxa"/>
            <w:tcMar>
              <w:top w:w="0" w:type="dxa"/>
              <w:left w:w="108" w:type="dxa"/>
              <w:bottom w:w="0" w:type="dxa"/>
              <w:right w:w="108" w:type="dxa"/>
            </w:tcMar>
            <w:vAlign w:val="bottom"/>
            <w:hideMark/>
          </w:tcPr>
          <w:p w:rsidR="00BC332B" w:rsidRDefault="00A017F6">
            <w:pPr>
              <w:spacing w:line="259" w:lineRule="auto"/>
              <w:rPr>
                <w:szCs w:val="24"/>
                <w:lang w:eastAsia="lt-LT"/>
              </w:rPr>
            </w:pPr>
            <w:r>
              <w:rPr>
                <w:color w:val="000000"/>
                <w:szCs w:val="24"/>
                <w:lang w:eastAsia="lt-LT"/>
              </w:rPr>
              <w:t>Auklėtojas metodininkas, koncertmeisteris metodininkas, akompaniatorius metodininkas</w:t>
            </w:r>
            <w:r>
              <w:rPr>
                <w:szCs w:val="24"/>
                <w:lang w:eastAsia="lt-LT"/>
              </w:rPr>
              <w:t xml:space="preserve"> </w:t>
            </w:r>
          </w:p>
        </w:tc>
        <w:tc>
          <w:tcPr>
            <w:tcW w:w="2910" w:type="dxa"/>
            <w:gridSpan w:val="2"/>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5,75</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5,8</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5,85</w:t>
            </w:r>
          </w:p>
        </w:tc>
      </w:tr>
      <w:tr w:rsidR="00BC332B">
        <w:trPr>
          <w:trHeight w:val="988"/>
        </w:trPr>
        <w:tc>
          <w:tcPr>
            <w:tcW w:w="3748" w:type="dxa"/>
            <w:tcMar>
              <w:top w:w="0" w:type="dxa"/>
              <w:left w:w="108" w:type="dxa"/>
              <w:bottom w:w="0" w:type="dxa"/>
              <w:right w:w="108" w:type="dxa"/>
            </w:tcMar>
            <w:vAlign w:val="bottom"/>
            <w:hideMark/>
          </w:tcPr>
          <w:p w:rsidR="00BC332B" w:rsidRDefault="00A017F6">
            <w:pPr>
              <w:spacing w:line="259" w:lineRule="auto"/>
              <w:rPr>
                <w:szCs w:val="24"/>
                <w:lang w:eastAsia="lt-LT"/>
              </w:rPr>
            </w:pPr>
            <w:r>
              <w:rPr>
                <w:color w:val="000000"/>
                <w:szCs w:val="24"/>
                <w:lang w:eastAsia="lt-LT"/>
              </w:rPr>
              <w:t>Auklėtojas ekspertas, koncertmeisteris ekspertas, akompaniatorius ekspertas</w:t>
            </w:r>
          </w:p>
        </w:tc>
        <w:tc>
          <w:tcPr>
            <w:tcW w:w="2910" w:type="dxa"/>
            <w:gridSpan w:val="2"/>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5,95</w:t>
            </w:r>
          </w:p>
        </w:tc>
        <w:tc>
          <w:tcPr>
            <w:tcW w:w="141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6,02</w:t>
            </w:r>
          </w:p>
        </w:tc>
        <w:tc>
          <w:tcPr>
            <w:tcW w:w="1493"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6,17“</w:t>
            </w:r>
          </w:p>
        </w:tc>
      </w:tr>
    </w:tbl>
    <w:p w:rsidR="00BC332B" w:rsidRDefault="00BC332B">
      <w:pPr>
        <w:ind w:firstLine="720"/>
        <w:jc w:val="both"/>
        <w:rPr>
          <w:szCs w:val="24"/>
          <w:lang w:eastAsia="lt-LT"/>
        </w:rPr>
      </w:pPr>
    </w:p>
    <w:p w:rsidR="00BC332B" w:rsidRDefault="00A017F6">
      <w:pPr>
        <w:spacing w:line="360" w:lineRule="auto"/>
        <w:ind w:firstLine="720"/>
        <w:jc w:val="both"/>
        <w:rPr>
          <w:szCs w:val="24"/>
          <w:lang w:eastAsia="lt-LT"/>
        </w:rPr>
      </w:pPr>
      <w:r>
        <w:rPr>
          <w:szCs w:val="24"/>
          <w:lang w:eastAsia="lt-LT"/>
        </w:rPr>
        <w:t>2. Pakeisti Įstatymo 5 priedo 42 punktą ir jį išdėstyti taip:</w:t>
      </w:r>
    </w:p>
    <w:p w:rsidR="00BC332B" w:rsidRDefault="00A017F6">
      <w:pPr>
        <w:spacing w:line="360" w:lineRule="auto"/>
        <w:ind w:firstLine="720"/>
        <w:jc w:val="both"/>
        <w:rPr>
          <w:szCs w:val="24"/>
          <w:lang w:eastAsia="lt-LT"/>
        </w:rPr>
      </w:pPr>
      <w:r>
        <w:rPr>
          <w:szCs w:val="24"/>
          <w:lang w:eastAsia="lt-LT"/>
        </w:rPr>
        <w:t>„42. Mokyklų vadovų pareiginės algos pastoviosios dalies koeficientai:</w:t>
      </w:r>
    </w:p>
    <w:p w:rsidR="00BC332B" w:rsidRDefault="00BC332B">
      <w:pPr>
        <w:spacing w:line="360" w:lineRule="auto"/>
        <w:ind w:firstLine="720"/>
        <w:jc w:val="both"/>
        <w:rPr>
          <w:szCs w:val="24"/>
          <w:lang w:eastAsia="lt-LT"/>
        </w:rPr>
      </w:pPr>
    </w:p>
    <w:p w:rsidR="00BC332B" w:rsidRDefault="00A017F6">
      <w:pPr>
        <w:ind w:firstLine="7371"/>
        <w:rPr>
          <w:szCs w:val="24"/>
          <w:lang w:eastAsia="lt-LT"/>
        </w:rPr>
      </w:pPr>
      <w:r>
        <w:rPr>
          <w:color w:val="000000"/>
          <w:szCs w:val="24"/>
          <w:lang w:eastAsia="lt-LT"/>
        </w:rPr>
        <w:t>(Baziniais dydžiais)</w:t>
      </w:r>
    </w:p>
    <w:tbl>
      <w:tblPr>
        <w:tblW w:w="9480" w:type="dxa"/>
        <w:tblCellMar>
          <w:left w:w="0" w:type="dxa"/>
          <w:right w:w="0" w:type="dxa"/>
        </w:tblCellMar>
        <w:tblLook w:val="04A0" w:firstRow="1" w:lastRow="0" w:firstColumn="1" w:lastColumn="0" w:noHBand="0" w:noVBand="1"/>
      </w:tblPr>
      <w:tblGrid>
        <w:gridCol w:w="2093"/>
        <w:gridCol w:w="1588"/>
        <w:gridCol w:w="3118"/>
        <w:gridCol w:w="2665"/>
        <w:gridCol w:w="16"/>
      </w:tblGrid>
      <w:tr w:rsidR="00BC332B">
        <w:trPr>
          <w:trHeight w:val="310"/>
          <w:tblHeader/>
        </w:trPr>
        <w:tc>
          <w:tcPr>
            <w:tcW w:w="20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332B" w:rsidRDefault="00A017F6">
            <w:pPr>
              <w:spacing w:line="259" w:lineRule="auto"/>
              <w:ind w:right="240" w:firstLine="57"/>
              <w:jc w:val="center"/>
              <w:rPr>
                <w:szCs w:val="24"/>
                <w:lang w:eastAsia="lt-LT"/>
              </w:rPr>
            </w:pPr>
            <w:r>
              <w:rPr>
                <w:color w:val="000000"/>
                <w:szCs w:val="24"/>
                <w:lang w:eastAsia="lt-LT"/>
              </w:rPr>
              <w:t xml:space="preserve">Mokinių skaičius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332B" w:rsidRDefault="00A017F6">
            <w:pPr>
              <w:spacing w:line="259" w:lineRule="auto"/>
              <w:ind w:right="240"/>
              <w:jc w:val="center"/>
              <w:rPr>
                <w:szCs w:val="24"/>
                <w:lang w:eastAsia="lt-LT"/>
              </w:rPr>
            </w:pPr>
            <w:r>
              <w:rPr>
                <w:color w:val="000000"/>
                <w:szCs w:val="24"/>
                <w:lang w:eastAsia="lt-LT"/>
              </w:rPr>
              <w:t xml:space="preserve">Pastoviosios dalies koeficientai </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310"/>
          <w:tblHeader/>
        </w:trPr>
        <w:tc>
          <w:tcPr>
            <w:tcW w:w="209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C332B" w:rsidRDefault="00BC332B">
            <w:pPr>
              <w:spacing w:line="259" w:lineRule="auto"/>
              <w:ind w:right="240"/>
              <w:jc w:val="center"/>
              <w:rPr>
                <w:szCs w:val="24"/>
                <w:lang w:eastAsia="lt-LT"/>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C332B" w:rsidRDefault="00A017F6">
            <w:pPr>
              <w:spacing w:line="259" w:lineRule="auto"/>
              <w:ind w:right="240"/>
              <w:jc w:val="center"/>
              <w:rPr>
                <w:color w:val="000000"/>
                <w:szCs w:val="24"/>
                <w:lang w:eastAsia="lt-LT"/>
              </w:rPr>
            </w:pPr>
            <w:r>
              <w:rPr>
                <w:szCs w:val="24"/>
                <w:lang w:eastAsia="lt-LT"/>
              </w:rPr>
              <w:t>pedagoginio darbo stažas (metais)</w:t>
            </w:r>
          </w:p>
        </w:tc>
        <w:tc>
          <w:tcPr>
            <w:tcW w:w="16" w:type="dxa"/>
            <w:tcBorders>
              <w:left w:val="single" w:sz="4" w:space="0" w:color="auto"/>
            </w:tcBorders>
            <w:vAlign w:val="center"/>
          </w:tcPr>
          <w:p w:rsidR="00BC332B" w:rsidRDefault="00BC332B">
            <w:pPr>
              <w:spacing w:line="259" w:lineRule="auto"/>
              <w:rPr>
                <w:szCs w:val="24"/>
                <w:lang w:eastAsia="lt-LT"/>
              </w:rPr>
            </w:pPr>
          </w:p>
        </w:tc>
      </w:tr>
      <w:tr w:rsidR="00BC332B">
        <w:trPr>
          <w:trHeight w:val="290"/>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C332B" w:rsidRDefault="00BC332B">
            <w:pPr>
              <w:spacing w:line="259" w:lineRule="auto"/>
              <w:rPr>
                <w:szCs w:val="24"/>
                <w:lang w:eastAsia="lt-LT"/>
              </w:rPr>
            </w:pPr>
          </w:p>
        </w:tc>
        <w:tc>
          <w:tcPr>
            <w:tcW w:w="15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332B" w:rsidRDefault="00A017F6">
            <w:pPr>
              <w:spacing w:line="259" w:lineRule="auto"/>
              <w:ind w:right="240"/>
              <w:jc w:val="center"/>
              <w:rPr>
                <w:szCs w:val="24"/>
                <w:lang w:eastAsia="lt-LT"/>
              </w:rPr>
            </w:pPr>
            <w:r>
              <w:rPr>
                <w:color w:val="000000"/>
                <w:szCs w:val="24"/>
                <w:lang w:eastAsia="lt-LT"/>
              </w:rPr>
              <w:t xml:space="preserve">iki 10 metų </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332B" w:rsidRDefault="00A017F6">
            <w:pPr>
              <w:spacing w:line="259" w:lineRule="auto"/>
              <w:ind w:right="240"/>
              <w:jc w:val="center"/>
              <w:rPr>
                <w:szCs w:val="24"/>
                <w:lang w:eastAsia="lt-LT"/>
              </w:rPr>
            </w:pPr>
            <w:r>
              <w:rPr>
                <w:color w:val="000000"/>
                <w:szCs w:val="24"/>
                <w:lang w:eastAsia="lt-LT"/>
              </w:rPr>
              <w:t>nuo daugiau kaip 10 iki 15 metų</w:t>
            </w:r>
          </w:p>
        </w:tc>
        <w:tc>
          <w:tcPr>
            <w:tcW w:w="26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332B" w:rsidRDefault="00A017F6">
            <w:pPr>
              <w:spacing w:line="259" w:lineRule="auto"/>
              <w:ind w:right="240"/>
              <w:jc w:val="center"/>
              <w:rPr>
                <w:szCs w:val="24"/>
                <w:lang w:eastAsia="lt-LT"/>
              </w:rPr>
            </w:pPr>
            <w:r>
              <w:rPr>
                <w:color w:val="000000"/>
                <w:szCs w:val="24"/>
                <w:lang w:eastAsia="lt-LT"/>
              </w:rPr>
              <w:t>daugiau kaip 15 metų</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405"/>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C332B" w:rsidRDefault="00BC332B">
            <w:pPr>
              <w:spacing w:line="259" w:lineRule="auto"/>
              <w:rPr>
                <w:szCs w:val="24"/>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BC332B" w:rsidRDefault="00BC332B">
            <w:pPr>
              <w:spacing w:line="259" w:lineRule="auto"/>
              <w:rPr>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C332B" w:rsidRDefault="00BC332B">
            <w:pPr>
              <w:spacing w:line="259" w:lineRule="auto"/>
              <w:rPr>
                <w:szCs w:val="24"/>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rsidR="00BC332B" w:rsidRDefault="00BC332B">
            <w:pPr>
              <w:spacing w:line="259" w:lineRule="auto"/>
              <w:rPr>
                <w:szCs w:val="24"/>
                <w:lang w:eastAsia="lt-LT"/>
              </w:rPr>
            </w:pP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ind w:right="240"/>
              <w:rPr>
                <w:szCs w:val="24"/>
                <w:lang w:eastAsia="lt-LT"/>
              </w:rPr>
            </w:pPr>
            <w:r>
              <w:rPr>
                <w:color w:val="000000"/>
                <w:szCs w:val="24"/>
                <w:lang w:eastAsia="lt-LT"/>
              </w:rPr>
              <w:t>iki 200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10,71</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11,1</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11,37</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ind w:right="240"/>
              <w:rPr>
                <w:szCs w:val="24"/>
                <w:lang w:eastAsia="lt-LT"/>
              </w:rPr>
            </w:pPr>
            <w:r>
              <w:rPr>
                <w:color w:val="000000"/>
                <w:szCs w:val="24"/>
                <w:lang w:eastAsia="lt-LT"/>
              </w:rPr>
              <w:t>201–400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11,7</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11,81</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ind w:right="240"/>
              <w:rPr>
                <w:szCs w:val="24"/>
                <w:lang w:eastAsia="lt-LT"/>
              </w:rPr>
            </w:pPr>
            <w:r>
              <w:rPr>
                <w:color w:val="000000"/>
                <w:szCs w:val="24"/>
                <w:lang w:eastAsia="lt-LT"/>
              </w:rPr>
              <w:t>401–600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11,74</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szCs w:val="24"/>
                <w:lang w:eastAsia="lt-LT"/>
              </w:rPr>
              <w:t>11,82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szCs w:val="24"/>
                <w:lang w:eastAsia="lt-LT"/>
              </w:rPr>
              <w:t>11,85</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ind w:right="240"/>
              <w:rPr>
                <w:szCs w:val="24"/>
                <w:lang w:eastAsia="lt-LT"/>
              </w:rPr>
            </w:pPr>
            <w:r>
              <w:rPr>
                <w:color w:val="000000"/>
                <w:szCs w:val="24"/>
                <w:lang w:eastAsia="lt-LT"/>
              </w:rPr>
              <w:t>601–1 000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color w:val="000000"/>
                <w:szCs w:val="24"/>
                <w:lang w:eastAsia="lt-LT"/>
              </w:rPr>
              <w:t>12,6</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szCs w:val="24"/>
                <w:lang w:eastAsia="lt-LT"/>
              </w:rPr>
              <w:t>12,62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jc w:val="center"/>
              <w:rPr>
                <w:szCs w:val="24"/>
                <w:lang w:eastAsia="lt-LT"/>
              </w:rPr>
            </w:pPr>
            <w:r>
              <w:rPr>
                <w:szCs w:val="24"/>
                <w:lang w:eastAsia="lt-LT"/>
              </w:rPr>
              <w:t>12,65</w:t>
            </w:r>
          </w:p>
        </w:tc>
        <w:tc>
          <w:tcPr>
            <w:tcW w:w="16" w:type="dxa"/>
            <w:tcBorders>
              <w:left w:val="single" w:sz="4" w:space="0" w:color="auto"/>
            </w:tcBorders>
            <w:vAlign w:val="center"/>
            <w:hideMark/>
          </w:tcPr>
          <w:p w:rsidR="00BC332B" w:rsidRDefault="00BC332B">
            <w:pPr>
              <w:spacing w:line="259" w:lineRule="auto"/>
              <w:rPr>
                <w:szCs w:val="24"/>
                <w:lang w:eastAsia="lt-LT"/>
              </w:rPr>
            </w:pPr>
          </w:p>
        </w:tc>
      </w:tr>
      <w:tr w:rsidR="00BC332B">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332B" w:rsidRDefault="00A017F6">
            <w:pPr>
              <w:spacing w:line="259" w:lineRule="auto"/>
              <w:ind w:right="240"/>
              <w:rPr>
                <w:szCs w:val="24"/>
                <w:lang w:eastAsia="lt-LT"/>
              </w:rPr>
            </w:pPr>
            <w:r>
              <w:rPr>
                <w:color w:val="000000"/>
                <w:szCs w:val="24"/>
                <w:lang w:eastAsia="lt-LT"/>
              </w:rPr>
              <w:t>1 001 ir daugiau</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C332B" w:rsidRDefault="00A017F6">
            <w:pPr>
              <w:spacing w:line="259" w:lineRule="auto"/>
              <w:jc w:val="center"/>
              <w:rPr>
                <w:szCs w:val="24"/>
                <w:lang w:eastAsia="lt-LT"/>
              </w:rPr>
            </w:pPr>
            <w:r>
              <w:rPr>
                <w:color w:val="000000"/>
                <w:szCs w:val="24"/>
                <w:lang w:eastAsia="lt-LT"/>
              </w:rPr>
              <w:t>12,62</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12,64</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12,68“</w:t>
            </w:r>
          </w:p>
        </w:tc>
        <w:tc>
          <w:tcPr>
            <w:tcW w:w="16" w:type="dxa"/>
            <w:tcBorders>
              <w:left w:val="single" w:sz="4" w:space="0" w:color="auto"/>
            </w:tcBorders>
            <w:vAlign w:val="center"/>
            <w:hideMark/>
          </w:tcPr>
          <w:p w:rsidR="00BC332B" w:rsidRDefault="00BC332B">
            <w:pPr>
              <w:spacing w:line="259" w:lineRule="auto"/>
              <w:rPr>
                <w:szCs w:val="24"/>
                <w:lang w:eastAsia="lt-LT"/>
              </w:rPr>
            </w:pPr>
          </w:p>
        </w:tc>
      </w:tr>
    </w:tbl>
    <w:p w:rsidR="00BC332B" w:rsidRDefault="00BC332B">
      <w:pPr>
        <w:spacing w:line="259" w:lineRule="auto"/>
        <w:jc w:val="both"/>
        <w:rPr>
          <w:szCs w:val="24"/>
          <w:lang w:eastAsia="lt-LT"/>
        </w:rPr>
      </w:pPr>
    </w:p>
    <w:p w:rsidR="00BC332B" w:rsidRDefault="00A017F6">
      <w:pPr>
        <w:spacing w:line="360" w:lineRule="auto"/>
        <w:ind w:firstLine="720"/>
        <w:jc w:val="both"/>
        <w:rPr>
          <w:szCs w:val="24"/>
          <w:lang w:eastAsia="lt-LT"/>
        </w:rPr>
      </w:pPr>
      <w:r>
        <w:rPr>
          <w:szCs w:val="24"/>
          <w:lang w:eastAsia="lt-LT"/>
        </w:rPr>
        <w:t>3. Pakeisti Įstatymo 5 priedo 43 punktą ir jį išdėstyti taip:</w:t>
      </w:r>
    </w:p>
    <w:p w:rsidR="00BC332B" w:rsidRDefault="00A017F6" w:rsidP="00A017F6">
      <w:pPr>
        <w:spacing w:line="360" w:lineRule="auto"/>
        <w:ind w:firstLine="720"/>
        <w:jc w:val="both"/>
        <w:rPr>
          <w:szCs w:val="24"/>
          <w:lang w:eastAsia="lt-LT"/>
        </w:rPr>
      </w:pPr>
      <w:r>
        <w:rPr>
          <w:szCs w:val="24"/>
          <w:lang w:eastAsia="lt-LT"/>
        </w:rPr>
        <w:t xml:space="preserve">„43. Mokyklų vadovų pavaduotojų ugdymui pareiginės algos pastoviosios dalies koeficientai: </w:t>
      </w:r>
    </w:p>
    <w:p w:rsidR="00BC332B" w:rsidRDefault="00BC332B">
      <w:pPr>
        <w:spacing w:line="360" w:lineRule="auto"/>
        <w:ind w:firstLine="720"/>
        <w:jc w:val="both"/>
        <w:textAlignment w:val="baseline"/>
        <w:rPr>
          <w:szCs w:val="24"/>
          <w:lang w:eastAsia="lt-LT"/>
        </w:rPr>
      </w:pPr>
    </w:p>
    <w:p w:rsidR="00BC332B" w:rsidRDefault="00A017F6">
      <w:pPr>
        <w:ind w:firstLine="7371"/>
        <w:textAlignment w:val="baseline"/>
        <w:rPr>
          <w:szCs w:val="24"/>
          <w:lang w:eastAsia="lt-LT"/>
        </w:rPr>
      </w:pPr>
      <w:r>
        <w:rPr>
          <w:color w:val="000000"/>
          <w:szCs w:val="24"/>
          <w:lang w:eastAsia="lt-LT"/>
        </w:rPr>
        <w:t>(Baziniais dydžiais)</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1872"/>
        <w:gridCol w:w="2806"/>
        <w:gridCol w:w="2157"/>
      </w:tblGrid>
      <w:tr w:rsidR="00BC332B">
        <w:trPr>
          <w:trHeight w:val="294"/>
        </w:trPr>
        <w:tc>
          <w:tcPr>
            <w:tcW w:w="2523" w:type="dxa"/>
            <w:vMerge w:val="restart"/>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Mokinių skaičius</w:t>
            </w:r>
          </w:p>
        </w:tc>
        <w:tc>
          <w:tcPr>
            <w:tcW w:w="6835" w:type="dxa"/>
            <w:gridSpan w:val="3"/>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Pastoviosios dalies koeficientai</w:t>
            </w:r>
          </w:p>
        </w:tc>
      </w:tr>
      <w:tr w:rsidR="00BC332B">
        <w:trPr>
          <w:trHeight w:val="228"/>
        </w:trPr>
        <w:tc>
          <w:tcPr>
            <w:tcW w:w="2523" w:type="dxa"/>
            <w:vMerge/>
            <w:vAlign w:val="center"/>
            <w:hideMark/>
          </w:tcPr>
          <w:p w:rsidR="00BC332B" w:rsidRDefault="00BC332B">
            <w:pPr>
              <w:spacing w:line="259" w:lineRule="auto"/>
              <w:rPr>
                <w:szCs w:val="24"/>
                <w:lang w:eastAsia="lt-LT"/>
              </w:rPr>
            </w:pPr>
          </w:p>
        </w:tc>
        <w:tc>
          <w:tcPr>
            <w:tcW w:w="6835" w:type="dxa"/>
            <w:gridSpan w:val="3"/>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pedagoginio darbo stažas (metais)</w:t>
            </w:r>
          </w:p>
        </w:tc>
      </w:tr>
      <w:tr w:rsidR="00BC332B">
        <w:trPr>
          <w:trHeight w:val="391"/>
        </w:trPr>
        <w:tc>
          <w:tcPr>
            <w:tcW w:w="2523" w:type="dxa"/>
            <w:vMerge/>
            <w:tcBorders>
              <w:bottom w:val="single" w:sz="2" w:space="0" w:color="auto"/>
            </w:tcBorders>
            <w:vAlign w:val="center"/>
            <w:hideMark/>
          </w:tcPr>
          <w:p w:rsidR="00BC332B" w:rsidRDefault="00BC332B">
            <w:pPr>
              <w:spacing w:line="259" w:lineRule="auto"/>
              <w:rPr>
                <w:szCs w:val="24"/>
                <w:lang w:eastAsia="lt-LT"/>
              </w:rPr>
            </w:pPr>
          </w:p>
        </w:tc>
        <w:tc>
          <w:tcPr>
            <w:tcW w:w="1872"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iki 10</w:t>
            </w:r>
          </w:p>
        </w:tc>
        <w:tc>
          <w:tcPr>
            <w:tcW w:w="280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nuo</w:t>
            </w:r>
            <w:r>
              <w:rPr>
                <w:szCs w:val="24"/>
                <w:lang w:eastAsia="lt-LT"/>
              </w:rPr>
              <w:t xml:space="preserve"> daugiau kaip 10 iki 15 </w:t>
            </w:r>
          </w:p>
        </w:tc>
        <w:tc>
          <w:tcPr>
            <w:tcW w:w="2157"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 xml:space="preserve">daugiau kaip 15 </w:t>
            </w:r>
          </w:p>
        </w:tc>
      </w:tr>
      <w:tr w:rsidR="00BC332B">
        <w:trPr>
          <w:trHeight w:val="324"/>
        </w:trPr>
        <w:tc>
          <w:tcPr>
            <w:tcW w:w="252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BC332B" w:rsidRDefault="00A017F6">
            <w:pPr>
              <w:spacing w:line="259" w:lineRule="auto"/>
              <w:rPr>
                <w:szCs w:val="24"/>
                <w:lang w:eastAsia="lt-LT"/>
              </w:rPr>
            </w:pPr>
            <w:r>
              <w:rPr>
                <w:szCs w:val="24"/>
                <w:lang w:eastAsia="lt-LT"/>
              </w:rPr>
              <w:t>iki 500</w:t>
            </w:r>
          </w:p>
        </w:tc>
        <w:tc>
          <w:tcPr>
            <w:tcW w:w="1872" w:type="dxa"/>
            <w:tcBorders>
              <w:left w:val="single" w:sz="2" w:space="0" w:color="auto"/>
            </w:tcBorders>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10,44</w:t>
            </w:r>
          </w:p>
        </w:tc>
        <w:tc>
          <w:tcPr>
            <w:tcW w:w="2806"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10,46</w:t>
            </w:r>
          </w:p>
        </w:tc>
        <w:tc>
          <w:tcPr>
            <w:tcW w:w="2157"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10,48</w:t>
            </w:r>
          </w:p>
        </w:tc>
      </w:tr>
      <w:tr w:rsidR="00BC332B">
        <w:trPr>
          <w:trHeight w:val="324"/>
        </w:trPr>
        <w:tc>
          <w:tcPr>
            <w:tcW w:w="2523" w:type="dxa"/>
            <w:tcBorders>
              <w:top w:val="single" w:sz="2" w:space="0" w:color="auto"/>
            </w:tcBorders>
            <w:tcMar>
              <w:top w:w="0" w:type="dxa"/>
              <w:left w:w="108" w:type="dxa"/>
              <w:bottom w:w="0" w:type="dxa"/>
              <w:right w:w="108" w:type="dxa"/>
            </w:tcMar>
            <w:vAlign w:val="center"/>
            <w:hideMark/>
          </w:tcPr>
          <w:p w:rsidR="00BC332B" w:rsidRDefault="00A017F6">
            <w:pPr>
              <w:spacing w:line="259" w:lineRule="auto"/>
              <w:rPr>
                <w:szCs w:val="24"/>
                <w:lang w:eastAsia="lt-LT"/>
              </w:rPr>
            </w:pPr>
            <w:r>
              <w:rPr>
                <w:szCs w:val="24"/>
                <w:lang w:eastAsia="lt-LT"/>
              </w:rPr>
              <w:t>501 ir daugiau</w:t>
            </w:r>
          </w:p>
        </w:tc>
        <w:tc>
          <w:tcPr>
            <w:tcW w:w="1872"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10,5</w:t>
            </w:r>
          </w:p>
        </w:tc>
        <w:tc>
          <w:tcPr>
            <w:tcW w:w="2806" w:type="dxa"/>
            <w:tcMar>
              <w:top w:w="0" w:type="dxa"/>
              <w:left w:w="108" w:type="dxa"/>
              <w:bottom w:w="0" w:type="dxa"/>
              <w:right w:w="108" w:type="dxa"/>
            </w:tcMar>
            <w:vAlign w:val="center"/>
            <w:hideMark/>
          </w:tcPr>
          <w:p w:rsidR="00BC332B" w:rsidRDefault="00A017F6">
            <w:pPr>
              <w:spacing w:line="259" w:lineRule="auto"/>
              <w:ind w:hanging="122"/>
              <w:jc w:val="center"/>
              <w:rPr>
                <w:szCs w:val="24"/>
                <w:lang w:eastAsia="lt-LT"/>
              </w:rPr>
            </w:pPr>
            <w:r>
              <w:rPr>
                <w:szCs w:val="24"/>
                <w:lang w:eastAsia="lt-LT"/>
              </w:rPr>
              <w:t>10,65</w:t>
            </w:r>
          </w:p>
        </w:tc>
        <w:tc>
          <w:tcPr>
            <w:tcW w:w="2157"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10,8“</w:t>
            </w:r>
          </w:p>
        </w:tc>
      </w:tr>
    </w:tbl>
    <w:p w:rsidR="00BC332B" w:rsidRDefault="00BC332B">
      <w:pPr>
        <w:spacing w:line="259" w:lineRule="auto"/>
        <w:rPr>
          <w:szCs w:val="24"/>
          <w:lang w:eastAsia="lt-LT"/>
        </w:rPr>
      </w:pPr>
    </w:p>
    <w:p w:rsidR="00A017F6" w:rsidRDefault="00A017F6">
      <w:pPr>
        <w:spacing w:line="360" w:lineRule="auto"/>
        <w:ind w:firstLine="720"/>
        <w:jc w:val="both"/>
        <w:rPr>
          <w:szCs w:val="24"/>
          <w:lang w:eastAsia="lt-LT"/>
        </w:rPr>
      </w:pPr>
      <w:r>
        <w:rPr>
          <w:szCs w:val="24"/>
          <w:lang w:eastAsia="lt-LT"/>
        </w:rPr>
        <w:t>4. Pakeisti Įstatymo 5 priedo 47 punktą ir jį išdėstyti taip:</w:t>
      </w:r>
    </w:p>
    <w:p w:rsidR="00BC332B" w:rsidRDefault="00A017F6">
      <w:pPr>
        <w:spacing w:line="360" w:lineRule="auto"/>
        <w:ind w:firstLine="720"/>
        <w:jc w:val="both"/>
        <w:rPr>
          <w:szCs w:val="24"/>
          <w:lang w:eastAsia="lt-LT"/>
        </w:rPr>
      </w:pPr>
      <w:r>
        <w:rPr>
          <w:szCs w:val="24"/>
          <w:lang w:eastAsia="lt-LT"/>
        </w:rPr>
        <w:lastRenderedPageBreak/>
        <w:t xml:space="preserve">„47. Šiame skyriuje nurodytų darbuotojų pareiginės algos pastoviosios dalies koeficientai: </w:t>
      </w:r>
    </w:p>
    <w:p w:rsidR="00BC332B" w:rsidRDefault="00BC332B">
      <w:pPr>
        <w:spacing w:line="360" w:lineRule="auto"/>
        <w:ind w:firstLine="720"/>
        <w:jc w:val="both"/>
        <w:rPr>
          <w:szCs w:val="24"/>
          <w:lang w:eastAsia="lt-LT"/>
        </w:rPr>
      </w:pPr>
    </w:p>
    <w:p w:rsidR="00BC332B" w:rsidRDefault="00A017F6">
      <w:pPr>
        <w:ind w:firstLine="7371"/>
        <w:rPr>
          <w:szCs w:val="24"/>
          <w:lang w:eastAsia="lt-LT"/>
        </w:rPr>
      </w:pPr>
      <w:r>
        <w:rPr>
          <w:color w:val="000000"/>
          <w:szCs w:val="24"/>
          <w:lang w:eastAsia="lt-LT"/>
        </w:rPr>
        <w:t>(Baziniais dydžiais)</w:t>
      </w:r>
    </w:p>
    <w:tbl>
      <w:tblPr>
        <w:tblW w:w="0" w:type="auto"/>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77"/>
        <w:gridCol w:w="6432"/>
      </w:tblGrid>
      <w:tr w:rsidR="00BC332B">
        <w:trPr>
          <w:trHeight w:val="300"/>
        </w:trPr>
        <w:tc>
          <w:tcPr>
            <w:tcW w:w="2977"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szCs w:val="24"/>
                <w:lang w:eastAsia="lt-LT"/>
              </w:rPr>
              <w:t>Pedagoginio darbo stažas (metais)</w:t>
            </w:r>
          </w:p>
        </w:tc>
        <w:tc>
          <w:tcPr>
            <w:tcW w:w="6432" w:type="dxa"/>
            <w:tcMar>
              <w:top w:w="0" w:type="dxa"/>
              <w:left w:w="108" w:type="dxa"/>
              <w:bottom w:w="0" w:type="dxa"/>
              <w:right w:w="108" w:type="dxa"/>
            </w:tcMar>
            <w:vAlign w:val="center"/>
            <w:hideMark/>
          </w:tcPr>
          <w:p w:rsidR="00BC332B" w:rsidRDefault="00A017F6">
            <w:pPr>
              <w:spacing w:line="259" w:lineRule="auto"/>
              <w:jc w:val="center"/>
              <w:rPr>
                <w:szCs w:val="24"/>
                <w:lang w:eastAsia="lt-LT"/>
              </w:rPr>
            </w:pPr>
            <w:r>
              <w:rPr>
                <w:color w:val="000000"/>
                <w:szCs w:val="24"/>
                <w:lang w:eastAsia="lt-LT"/>
              </w:rPr>
              <w:t xml:space="preserve">Pastoviosios dalies koeficientai </w:t>
            </w:r>
          </w:p>
        </w:tc>
      </w:tr>
      <w:tr w:rsidR="00BC332B">
        <w:trPr>
          <w:trHeight w:val="300"/>
        </w:trPr>
        <w:tc>
          <w:tcPr>
            <w:tcW w:w="2977" w:type="dxa"/>
            <w:tcMar>
              <w:top w:w="0" w:type="dxa"/>
              <w:left w:w="108" w:type="dxa"/>
              <w:bottom w:w="0" w:type="dxa"/>
              <w:right w:w="108" w:type="dxa"/>
            </w:tcMar>
            <w:hideMark/>
          </w:tcPr>
          <w:p w:rsidR="00BC332B" w:rsidRDefault="00A017F6">
            <w:pPr>
              <w:spacing w:line="259" w:lineRule="auto"/>
              <w:rPr>
                <w:szCs w:val="24"/>
                <w:lang w:eastAsia="lt-LT"/>
              </w:rPr>
            </w:pPr>
            <w:r>
              <w:rPr>
                <w:szCs w:val="24"/>
                <w:lang w:eastAsia="lt-LT"/>
              </w:rPr>
              <w:t xml:space="preserve">iki 10 </w:t>
            </w:r>
          </w:p>
        </w:tc>
        <w:tc>
          <w:tcPr>
            <w:tcW w:w="6432" w:type="dxa"/>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9,1</w:t>
            </w:r>
          </w:p>
        </w:tc>
      </w:tr>
      <w:tr w:rsidR="00BC332B">
        <w:trPr>
          <w:trHeight w:val="300"/>
        </w:trPr>
        <w:tc>
          <w:tcPr>
            <w:tcW w:w="2977" w:type="dxa"/>
            <w:tcMar>
              <w:top w:w="0" w:type="dxa"/>
              <w:left w:w="108" w:type="dxa"/>
              <w:bottom w:w="0" w:type="dxa"/>
              <w:right w:w="108" w:type="dxa"/>
            </w:tcMar>
            <w:hideMark/>
          </w:tcPr>
          <w:p w:rsidR="00BC332B" w:rsidRDefault="00A017F6">
            <w:pPr>
              <w:spacing w:line="259" w:lineRule="auto"/>
              <w:rPr>
                <w:szCs w:val="24"/>
                <w:lang w:eastAsia="lt-LT"/>
              </w:rPr>
            </w:pPr>
            <w:r>
              <w:rPr>
                <w:color w:val="000000"/>
                <w:szCs w:val="24"/>
                <w:lang w:eastAsia="lt-LT"/>
              </w:rPr>
              <w:t>nuo</w:t>
            </w:r>
            <w:r>
              <w:rPr>
                <w:szCs w:val="24"/>
                <w:lang w:eastAsia="lt-LT"/>
              </w:rPr>
              <w:t xml:space="preserve"> daugiau kaip 10 iki 15 </w:t>
            </w:r>
          </w:p>
        </w:tc>
        <w:tc>
          <w:tcPr>
            <w:tcW w:w="6432" w:type="dxa"/>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9,5</w:t>
            </w:r>
          </w:p>
        </w:tc>
      </w:tr>
      <w:tr w:rsidR="00BC332B">
        <w:trPr>
          <w:trHeight w:val="300"/>
        </w:trPr>
        <w:tc>
          <w:tcPr>
            <w:tcW w:w="2977" w:type="dxa"/>
            <w:tcMar>
              <w:top w:w="0" w:type="dxa"/>
              <w:left w:w="108" w:type="dxa"/>
              <w:bottom w:w="0" w:type="dxa"/>
              <w:right w:w="108" w:type="dxa"/>
            </w:tcMar>
            <w:hideMark/>
          </w:tcPr>
          <w:p w:rsidR="00BC332B" w:rsidRDefault="00A017F6">
            <w:pPr>
              <w:spacing w:line="259" w:lineRule="auto"/>
              <w:rPr>
                <w:szCs w:val="24"/>
                <w:lang w:eastAsia="lt-LT"/>
              </w:rPr>
            </w:pPr>
            <w:r>
              <w:rPr>
                <w:szCs w:val="24"/>
                <w:lang w:eastAsia="lt-LT"/>
              </w:rPr>
              <w:t xml:space="preserve">daugiau kaip 15 </w:t>
            </w:r>
          </w:p>
        </w:tc>
        <w:tc>
          <w:tcPr>
            <w:tcW w:w="6432" w:type="dxa"/>
            <w:tcMar>
              <w:top w:w="0" w:type="dxa"/>
              <w:left w:w="108" w:type="dxa"/>
              <w:bottom w:w="0" w:type="dxa"/>
              <w:right w:w="108" w:type="dxa"/>
            </w:tcMar>
            <w:hideMark/>
          </w:tcPr>
          <w:p w:rsidR="00BC332B" w:rsidRDefault="00A017F6">
            <w:pPr>
              <w:spacing w:line="259" w:lineRule="auto"/>
              <w:jc w:val="center"/>
              <w:rPr>
                <w:szCs w:val="24"/>
                <w:lang w:eastAsia="lt-LT"/>
              </w:rPr>
            </w:pPr>
            <w:r>
              <w:rPr>
                <w:szCs w:val="24"/>
                <w:lang w:eastAsia="lt-LT"/>
              </w:rPr>
              <w:t>10“</w:t>
            </w:r>
          </w:p>
        </w:tc>
      </w:tr>
    </w:tbl>
    <w:p w:rsidR="00BC332B" w:rsidRDefault="00BC332B">
      <w:pPr>
        <w:ind w:firstLine="709"/>
        <w:jc w:val="both"/>
        <w:rPr>
          <w:b/>
          <w:szCs w:val="24"/>
          <w:lang w:eastAsia="lt-LT"/>
        </w:rPr>
      </w:pPr>
    </w:p>
    <w:p w:rsidR="00BC332B" w:rsidRDefault="00BC332B">
      <w:pPr>
        <w:spacing w:line="360" w:lineRule="auto"/>
        <w:ind w:firstLine="720"/>
        <w:jc w:val="both"/>
        <w:rPr>
          <w:b/>
          <w:szCs w:val="24"/>
          <w:lang w:eastAsia="lt-LT"/>
        </w:rPr>
      </w:pPr>
    </w:p>
    <w:p w:rsidR="00BC332B" w:rsidRDefault="00A017F6">
      <w:pPr>
        <w:spacing w:line="360" w:lineRule="auto"/>
        <w:ind w:firstLine="720"/>
        <w:jc w:val="both"/>
        <w:rPr>
          <w:b/>
          <w:szCs w:val="24"/>
          <w:lang w:eastAsia="lt-LT"/>
        </w:rPr>
      </w:pPr>
      <w:r>
        <w:rPr>
          <w:b/>
          <w:szCs w:val="24"/>
          <w:lang w:eastAsia="lt-LT"/>
        </w:rPr>
        <w:t xml:space="preserve">14 straipsnis. Įstatymo įsigaliojimas </w:t>
      </w:r>
    </w:p>
    <w:p w:rsidR="00BC332B" w:rsidRDefault="00A017F6">
      <w:pPr>
        <w:spacing w:line="360" w:lineRule="auto"/>
        <w:ind w:firstLine="720"/>
        <w:jc w:val="both"/>
        <w:rPr>
          <w:szCs w:val="24"/>
          <w:lang w:eastAsia="lt-LT"/>
        </w:rPr>
      </w:pPr>
      <w:r>
        <w:rPr>
          <w:szCs w:val="24"/>
          <w:lang w:eastAsia="lt-LT"/>
        </w:rPr>
        <w:t>1. Šis įstatymas, išskyrus 3 straipsnį, įsigalioja 2021 m. sausio 1 d.</w:t>
      </w:r>
    </w:p>
    <w:p w:rsidR="00BC332B" w:rsidRDefault="00A017F6">
      <w:pPr>
        <w:spacing w:line="360" w:lineRule="auto"/>
        <w:ind w:firstLine="720"/>
        <w:jc w:val="both"/>
        <w:rPr>
          <w:szCs w:val="24"/>
          <w:lang w:eastAsia="lt-LT"/>
        </w:rPr>
      </w:pPr>
      <w:r>
        <w:rPr>
          <w:szCs w:val="24"/>
          <w:lang w:eastAsia="lt-LT"/>
        </w:rPr>
        <w:t>2. Šio įstatymo 3 straipsnis įsigalioja 2021 m. liepos 1 d.</w:t>
      </w:r>
    </w:p>
    <w:p w:rsidR="00BC332B" w:rsidRDefault="00BC332B">
      <w:pPr>
        <w:spacing w:line="360" w:lineRule="auto"/>
        <w:ind w:firstLine="720"/>
        <w:jc w:val="both"/>
        <w:rPr>
          <w:i/>
          <w:szCs w:val="24"/>
        </w:rPr>
      </w:pPr>
    </w:p>
    <w:p w:rsidR="00BC332B" w:rsidRDefault="00A017F6">
      <w:pPr>
        <w:spacing w:line="360" w:lineRule="auto"/>
        <w:ind w:firstLine="720"/>
        <w:jc w:val="both"/>
        <w:rPr>
          <w:i/>
          <w:szCs w:val="24"/>
        </w:rPr>
      </w:pPr>
      <w:r>
        <w:rPr>
          <w:i/>
          <w:szCs w:val="24"/>
        </w:rPr>
        <w:t>Skelbiu šį Lietuvos Respublikos Seimo priimtą įstatymą.</w:t>
      </w:r>
    </w:p>
    <w:p w:rsidR="00BC332B" w:rsidRDefault="00BC332B">
      <w:pPr>
        <w:spacing w:line="360" w:lineRule="auto"/>
        <w:rPr>
          <w:i/>
          <w:szCs w:val="24"/>
        </w:rPr>
      </w:pPr>
    </w:p>
    <w:p w:rsidR="00BC332B" w:rsidRDefault="00BC332B">
      <w:pPr>
        <w:spacing w:line="360" w:lineRule="auto"/>
        <w:rPr>
          <w:i/>
          <w:szCs w:val="24"/>
        </w:rPr>
      </w:pPr>
    </w:p>
    <w:p w:rsidR="00BC332B" w:rsidRDefault="00BC332B">
      <w:pPr>
        <w:spacing w:line="360" w:lineRule="auto"/>
      </w:pPr>
    </w:p>
    <w:p w:rsidR="00BC332B" w:rsidRDefault="00A017F6">
      <w:pPr>
        <w:tabs>
          <w:tab w:val="right" w:pos="9356"/>
        </w:tabs>
      </w:pPr>
      <w:r>
        <w:rPr>
          <w:lang w:val="en-US"/>
        </w:rPr>
        <w:t>Respublikos Prezidentas</w:t>
      </w:r>
      <w:r>
        <w:rPr>
          <w:caps/>
        </w:rPr>
        <w:tab/>
      </w:r>
      <w:r>
        <w:rPr>
          <w:lang w:val="en-US"/>
        </w:rPr>
        <w:t>Gitanas Nausėda</w:t>
      </w:r>
    </w:p>
    <w:sectPr w:rsidR="00BC332B">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D7" w:rsidRDefault="002550D7">
      <w:pPr>
        <w:rPr>
          <w:rFonts w:ascii="TIMESLT" w:hAnsi="TIMESLT"/>
          <w:lang w:val="en-US"/>
        </w:rPr>
      </w:pPr>
      <w:r>
        <w:rPr>
          <w:rFonts w:ascii="TIMESLT" w:hAnsi="TIMESLT"/>
          <w:lang w:val="en-US"/>
        </w:rPr>
        <w:separator/>
      </w:r>
    </w:p>
  </w:endnote>
  <w:endnote w:type="continuationSeparator" w:id="0">
    <w:p w:rsidR="002550D7" w:rsidRDefault="002550D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A017F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BC332B" w:rsidRDefault="00BC332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BC332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BC332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D7" w:rsidRDefault="002550D7">
      <w:pPr>
        <w:rPr>
          <w:rFonts w:ascii="TIMESLT" w:hAnsi="TIMESLT"/>
          <w:lang w:val="en-US"/>
        </w:rPr>
      </w:pPr>
      <w:r>
        <w:rPr>
          <w:rFonts w:ascii="TIMESLT" w:hAnsi="TIMESLT"/>
          <w:lang w:val="en-US"/>
        </w:rPr>
        <w:separator/>
      </w:r>
    </w:p>
  </w:footnote>
  <w:footnote w:type="continuationSeparator" w:id="0">
    <w:p w:rsidR="002550D7" w:rsidRDefault="002550D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A017F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BC332B" w:rsidRDefault="00BC332B">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A017F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E150FD">
      <w:rPr>
        <w:noProof/>
        <w:szCs w:val="24"/>
        <w:lang w:val="en-US"/>
      </w:rPr>
      <w:t>10</w:t>
    </w:r>
    <w:r>
      <w:rPr>
        <w:szCs w:val="24"/>
        <w:lang w:val="en-US"/>
      </w:rPr>
      <w:fldChar w:fldCharType="end"/>
    </w:r>
  </w:p>
  <w:p w:rsidR="00BC332B" w:rsidRDefault="00BC332B">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32B" w:rsidRDefault="00BC332B">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22"/>
    <w:rsid w:val="002550D7"/>
    <w:rsid w:val="002B6322"/>
    <w:rsid w:val="00A017F6"/>
    <w:rsid w:val="00BC332B"/>
    <w:rsid w:val="00E15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7A80F-06F1-42C1-9F01-83C3FADF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017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10572</Words>
  <Characters>6027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16566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Solveiga Sereikienė</cp:lastModifiedBy>
  <cp:revision>2</cp:revision>
  <cp:lastPrinted>2020-12-23T12:52:00Z</cp:lastPrinted>
  <dcterms:created xsi:type="dcterms:W3CDTF">2021-01-05T07:44:00Z</dcterms:created>
  <dcterms:modified xsi:type="dcterms:W3CDTF">2021-01-05T07:44:00Z</dcterms:modified>
</cp:coreProperties>
</file>