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5B0B4" w14:textId="77777777" w:rsidR="00214716" w:rsidRPr="00E40C89" w:rsidRDefault="00214716" w:rsidP="00214716">
      <w:pPr>
        <w:jc w:val="center"/>
        <w:rPr>
          <w:szCs w:val="24"/>
        </w:rPr>
      </w:pPr>
      <w:bookmarkStart w:id="0" w:name="_GoBack"/>
      <w:bookmarkEnd w:id="0"/>
      <w:r w:rsidRPr="00E40C89">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E40C89" w:rsidRDefault="00214716" w:rsidP="00214716">
      <w:pPr>
        <w:jc w:val="center"/>
        <w:rPr>
          <w:szCs w:val="24"/>
        </w:rPr>
      </w:pPr>
    </w:p>
    <w:p w14:paraId="1F44316C" w14:textId="77777777" w:rsidR="00214716" w:rsidRPr="00E40C89" w:rsidRDefault="00214716" w:rsidP="00214716">
      <w:pPr>
        <w:jc w:val="center"/>
        <w:rPr>
          <w:b/>
          <w:sz w:val="28"/>
        </w:rPr>
      </w:pPr>
      <w:r w:rsidRPr="00E40C89">
        <w:rPr>
          <w:b/>
          <w:sz w:val="28"/>
        </w:rPr>
        <w:t>PANEVĖŽIO MIESTO SAVIVALDYBĖS TARYBA</w:t>
      </w:r>
    </w:p>
    <w:p w14:paraId="1628B7CE" w14:textId="77777777" w:rsidR="00214716" w:rsidRPr="00E40C89" w:rsidRDefault="00214716" w:rsidP="00214716">
      <w:pPr>
        <w:keepNext/>
        <w:jc w:val="center"/>
        <w:outlineLvl w:val="1"/>
      </w:pPr>
    </w:p>
    <w:p w14:paraId="7DA9DCE5" w14:textId="77777777" w:rsidR="009C07CA" w:rsidRPr="00E40C89" w:rsidRDefault="009C07CA" w:rsidP="009C07CA">
      <w:pPr>
        <w:keepNext/>
        <w:jc w:val="center"/>
        <w:outlineLvl w:val="1"/>
        <w:rPr>
          <w:b/>
        </w:rPr>
      </w:pPr>
      <w:r w:rsidRPr="00E40C89">
        <w:rPr>
          <w:b/>
        </w:rPr>
        <w:t>SPRENDIMAS</w:t>
      </w:r>
    </w:p>
    <w:p w14:paraId="307116FA" w14:textId="1C38C913" w:rsidR="009C07CA" w:rsidRPr="00E40C89" w:rsidRDefault="006E206B" w:rsidP="00214716">
      <w:pPr>
        <w:jc w:val="center"/>
        <w:rPr>
          <w:b/>
          <w:bCs/>
          <w:shd w:val="clear" w:color="auto" w:fill="FFFFFF"/>
        </w:rPr>
      </w:pPr>
      <w:r w:rsidRPr="00E40C89">
        <w:rPr>
          <w:b/>
          <w:bCs/>
        </w:rPr>
        <w:t xml:space="preserve">DĖL </w:t>
      </w:r>
      <w:r w:rsidR="00670FFD" w:rsidRPr="00E40C89">
        <w:rPr>
          <w:b/>
          <w:szCs w:val="24"/>
        </w:rPr>
        <w:t xml:space="preserve">JAUNŲJŲ </w:t>
      </w:r>
      <w:r w:rsidR="00670FFD" w:rsidRPr="00E40C89">
        <w:rPr>
          <w:b/>
        </w:rPr>
        <w:t>SPECIALISTŲ PRITRAUKIMO Į PANEVĖŽIO MIESTO UGDYMO ĮSTAIGAS IR PEDAGOGŲ PERKVALIFIKAVIMO 2021</w:t>
      </w:r>
      <w:r w:rsidR="00D122C4">
        <w:rPr>
          <w:b/>
        </w:rPr>
        <w:t>–</w:t>
      </w:r>
      <w:r w:rsidR="00670FFD" w:rsidRPr="00E40C89">
        <w:rPr>
          <w:b/>
        </w:rPr>
        <w:t xml:space="preserve">2023 M. </w:t>
      </w:r>
      <w:r w:rsidR="00D122C4" w:rsidRPr="00E40C89">
        <w:rPr>
          <w:b/>
        </w:rPr>
        <w:t xml:space="preserve">PROGRAMOS </w:t>
      </w:r>
      <w:r w:rsidR="00670FFD" w:rsidRPr="00E40C89">
        <w:rPr>
          <w:b/>
          <w:szCs w:val="24"/>
        </w:rPr>
        <w:t>PATVIRTINIMO</w:t>
      </w:r>
      <w:r w:rsidR="00F86282" w:rsidRPr="00E40C89">
        <w:rPr>
          <w:b/>
          <w:szCs w:val="24"/>
        </w:rPr>
        <w:t xml:space="preserve"> IR </w:t>
      </w:r>
      <w:r w:rsidR="00D122C4" w:rsidRPr="00E40C89">
        <w:rPr>
          <w:b/>
          <w:szCs w:val="24"/>
        </w:rPr>
        <w:t xml:space="preserve">SAVIVALDYBĖS TARYBOS </w:t>
      </w:r>
      <w:r w:rsidR="00F86282" w:rsidRPr="00E40C89">
        <w:rPr>
          <w:b/>
          <w:szCs w:val="24"/>
        </w:rPr>
        <w:t xml:space="preserve">2018 M. BIRŽELIO 28 D. SPRENDIMO NR. 1-231 </w:t>
      </w:r>
      <w:r w:rsidR="00D122C4" w:rsidRPr="00D122C4">
        <w:rPr>
          <w:b/>
          <w:szCs w:val="24"/>
        </w:rPr>
        <w:t>„DĖL JAUNŲ SPECIALISTŲ PRITRAUKIMO Į PANEVĖŽIO MIESTO UGDYMO ĮSTAIGAS IR PEDAGOGŲ PERKVALIFIKAVIMO PROGRAMOS PATVIRTINIMO“</w:t>
      </w:r>
      <w:r w:rsidR="00D122C4">
        <w:rPr>
          <w:b/>
          <w:szCs w:val="24"/>
        </w:rPr>
        <w:t xml:space="preserve"> </w:t>
      </w:r>
      <w:r w:rsidR="00F86282" w:rsidRPr="00E40C89">
        <w:rPr>
          <w:b/>
          <w:szCs w:val="24"/>
        </w:rPr>
        <w:t>PRIPAŽINIMO NETEKUSIU GALIOS</w:t>
      </w:r>
    </w:p>
    <w:p w14:paraId="12E07381" w14:textId="77777777" w:rsidR="006E206B" w:rsidRPr="00E40C89" w:rsidRDefault="006E206B" w:rsidP="00214716">
      <w:pPr>
        <w:jc w:val="center"/>
        <w:rPr>
          <w:b/>
          <w:szCs w:val="24"/>
        </w:rPr>
      </w:pPr>
    </w:p>
    <w:p w14:paraId="2F3F9CC4" w14:textId="77777777" w:rsidR="00E2523E" w:rsidRPr="00E40C89" w:rsidRDefault="00E2523E" w:rsidP="00E2523E">
      <w:pPr>
        <w:jc w:val="center"/>
      </w:pPr>
      <w:r w:rsidRPr="00E40C89">
        <w:rPr>
          <w:rStyle w:val="Style3"/>
        </w:rPr>
        <w:fldChar w:fldCharType="begin">
          <w:ffData>
            <w:name w:val="registravimoDataIlga"/>
            <w:enabled/>
            <w:calcOnExit w:val="0"/>
            <w:textInput/>
          </w:ffData>
        </w:fldChar>
      </w:r>
      <w:bookmarkStart w:id="1" w:name="registravimoDataIlga"/>
      <w:r w:rsidRPr="00E40C89">
        <w:rPr>
          <w:rStyle w:val="Style3"/>
        </w:rPr>
        <w:instrText xml:space="preserve"> FORMTEXT </w:instrText>
      </w:r>
      <w:r w:rsidRPr="00E40C89">
        <w:rPr>
          <w:rStyle w:val="Style3"/>
        </w:rPr>
      </w:r>
      <w:r w:rsidRPr="00E40C89">
        <w:rPr>
          <w:rStyle w:val="Style3"/>
        </w:rPr>
        <w:fldChar w:fldCharType="separate"/>
      </w:r>
      <w:r w:rsidRPr="00E40C89">
        <w:rPr>
          <w:rStyle w:val="Style3"/>
          <w:noProof/>
        </w:rPr>
        <w:t>2021 m. birželio 15 d.</w:t>
      </w:r>
      <w:r w:rsidRPr="00E40C89">
        <w:rPr>
          <w:rStyle w:val="Style3"/>
        </w:rPr>
        <w:fldChar w:fldCharType="end"/>
      </w:r>
      <w:bookmarkEnd w:id="1"/>
      <w:r w:rsidRPr="00E40C89">
        <w:t xml:space="preserve"> Nr. </w:t>
      </w:r>
      <w:r w:rsidRPr="00E40C89">
        <w:fldChar w:fldCharType="begin">
          <w:ffData>
            <w:name w:val="registravimoNr"/>
            <w:enabled/>
            <w:calcOnExit w:val="0"/>
            <w:textInput/>
          </w:ffData>
        </w:fldChar>
      </w:r>
      <w:bookmarkStart w:id="2" w:name="registravimoNr"/>
      <w:r w:rsidRPr="00E40C89">
        <w:instrText xml:space="preserve"> FORMTEXT </w:instrText>
      </w:r>
      <w:r w:rsidRPr="00E40C89">
        <w:fldChar w:fldCharType="separate"/>
      </w:r>
      <w:r w:rsidRPr="00E40C89">
        <w:rPr>
          <w:noProof/>
        </w:rPr>
        <w:t>TSP-234</w:t>
      </w:r>
      <w:r w:rsidRPr="00E40C89">
        <w:fldChar w:fldCharType="end"/>
      </w:r>
      <w:bookmarkEnd w:id="2"/>
    </w:p>
    <w:p w14:paraId="43D8D823" w14:textId="77777777" w:rsidR="00214716" w:rsidRPr="00E40C89" w:rsidRDefault="00214716" w:rsidP="00214716">
      <w:pPr>
        <w:keepNext/>
        <w:jc w:val="center"/>
        <w:outlineLvl w:val="2"/>
        <w:rPr>
          <w:b/>
        </w:rPr>
      </w:pPr>
      <w:r w:rsidRPr="00E40C89">
        <w:t>Panevėžys</w:t>
      </w:r>
    </w:p>
    <w:p w14:paraId="70E88264" w14:textId="77777777" w:rsidR="00214716" w:rsidRPr="00E40C89" w:rsidRDefault="00214716" w:rsidP="00214716">
      <w:pPr>
        <w:ind w:firstLine="851"/>
        <w:jc w:val="both"/>
      </w:pPr>
    </w:p>
    <w:p w14:paraId="478C4341" w14:textId="241B2206" w:rsidR="00A773ED" w:rsidRPr="00E40C89" w:rsidRDefault="00A773ED" w:rsidP="00E40C89">
      <w:pPr>
        <w:spacing w:line="360" w:lineRule="auto"/>
        <w:ind w:firstLine="851"/>
        <w:jc w:val="both"/>
        <w:rPr>
          <w:szCs w:val="24"/>
          <w:lang w:eastAsia="lt-LT"/>
        </w:rPr>
      </w:pPr>
      <w:r w:rsidRPr="00E40C89">
        <w:rPr>
          <w:szCs w:val="24"/>
        </w:rPr>
        <w:t xml:space="preserve">Vadovaudamasi </w:t>
      </w:r>
      <w:r w:rsidRPr="00E40C89">
        <w:rPr>
          <w:szCs w:val="24"/>
          <w:lang w:eastAsia="lt-LT"/>
        </w:rPr>
        <w:t xml:space="preserve">Lietuvos Respublikos vietos savivaldos įstatymo </w:t>
      </w:r>
      <w:r w:rsidR="00075CC1" w:rsidRPr="00E40C89">
        <w:rPr>
          <w:szCs w:val="24"/>
        </w:rPr>
        <w:t>18 straipsnio 1</w:t>
      </w:r>
      <w:r w:rsidR="00294003" w:rsidRPr="00E40C89">
        <w:rPr>
          <w:szCs w:val="24"/>
        </w:rPr>
        <w:t xml:space="preserve"> dalimi, 16 straipsnio 2 dalies 40 punktu, Panevėžio miesto savivaldybės </w:t>
      </w:r>
      <w:r w:rsidR="00294003" w:rsidRPr="00E40C89">
        <w:t>2021–2023 metų socialinės ir ekonominės plėtros programų</w:t>
      </w:r>
      <w:r w:rsidR="00294003" w:rsidRPr="00E40C89">
        <w:rPr>
          <w:szCs w:val="24"/>
        </w:rPr>
        <w:t>, patvirtintų Panevėžio miesto savivaldybės tarybos 2021 m. vasario 18 d. sprendimu Nr. 1</w:t>
      </w:r>
      <w:r w:rsidR="00D122C4">
        <w:rPr>
          <w:szCs w:val="24"/>
        </w:rPr>
        <w:t>-</w:t>
      </w:r>
      <w:r w:rsidR="00294003" w:rsidRPr="00E40C89">
        <w:rPr>
          <w:szCs w:val="24"/>
        </w:rPr>
        <w:t>31</w:t>
      </w:r>
      <w:r w:rsidR="006E78A1">
        <w:rPr>
          <w:szCs w:val="24"/>
        </w:rPr>
        <w:t xml:space="preserve"> „</w:t>
      </w:r>
      <w:r w:rsidR="006E78A1" w:rsidRPr="006E78A1">
        <w:rPr>
          <w:szCs w:val="24"/>
        </w:rPr>
        <w:t>Dėl Panevėžio miesto savivaldybės 2021–2023 metų veiklos plano, socialinės ir ekonominės plėtros programų patvirtinimo</w:t>
      </w:r>
      <w:r w:rsidR="006E78A1">
        <w:rPr>
          <w:szCs w:val="24"/>
        </w:rPr>
        <w:t>“</w:t>
      </w:r>
      <w:r w:rsidR="00294003" w:rsidRPr="00E40C89">
        <w:rPr>
          <w:szCs w:val="24"/>
        </w:rPr>
        <w:t xml:space="preserve">, 13 priedu, Panevėžio miesto savivaldybės taryba  </w:t>
      </w:r>
      <w:r w:rsidRPr="00E40C89">
        <w:rPr>
          <w:szCs w:val="24"/>
          <w:lang w:eastAsia="lt-LT"/>
        </w:rPr>
        <w:t>n u s p r e n d ž i a:</w:t>
      </w:r>
    </w:p>
    <w:p w14:paraId="643B2B84" w14:textId="015CB28C" w:rsidR="00294003" w:rsidRPr="00E40C89" w:rsidRDefault="00294003" w:rsidP="00E40C89">
      <w:pPr>
        <w:numPr>
          <w:ilvl w:val="0"/>
          <w:numId w:val="5"/>
        </w:numPr>
        <w:spacing w:line="360" w:lineRule="auto"/>
        <w:ind w:left="0" w:firstLine="851"/>
        <w:jc w:val="both"/>
        <w:rPr>
          <w:szCs w:val="24"/>
        </w:rPr>
      </w:pPr>
      <w:r w:rsidRPr="00E40C89">
        <w:rPr>
          <w:szCs w:val="24"/>
        </w:rPr>
        <w:t>Patvirtinti jaunųjų specialistų pritraukimo į Panevėžio miesto ugdymo įstaigas ir pedagogų perkvalifikavimo 2021</w:t>
      </w:r>
      <w:r w:rsidR="00D122C4">
        <w:rPr>
          <w:szCs w:val="24"/>
        </w:rPr>
        <w:t>–</w:t>
      </w:r>
      <w:r w:rsidRPr="00E40C89">
        <w:rPr>
          <w:szCs w:val="24"/>
        </w:rPr>
        <w:t>2023 m. programą (pridedama).</w:t>
      </w:r>
    </w:p>
    <w:p w14:paraId="1A1B8C5B" w14:textId="0117F284" w:rsidR="00294003" w:rsidRPr="00E40C89" w:rsidRDefault="00294003" w:rsidP="00E40C89">
      <w:pPr>
        <w:numPr>
          <w:ilvl w:val="0"/>
          <w:numId w:val="5"/>
        </w:numPr>
        <w:spacing w:line="360" w:lineRule="auto"/>
        <w:ind w:left="0" w:firstLine="851"/>
        <w:jc w:val="both"/>
        <w:rPr>
          <w:szCs w:val="24"/>
        </w:rPr>
      </w:pPr>
      <w:r w:rsidRPr="00E40C89">
        <w:rPr>
          <w:szCs w:val="24"/>
        </w:rPr>
        <w:t xml:space="preserve">Pripažinti </w:t>
      </w:r>
      <w:r w:rsidR="00F86282" w:rsidRPr="00E40C89">
        <w:rPr>
          <w:szCs w:val="24"/>
        </w:rPr>
        <w:t>netekusiu galios</w:t>
      </w:r>
      <w:r w:rsidRPr="00E40C89">
        <w:rPr>
          <w:szCs w:val="24"/>
        </w:rPr>
        <w:t xml:space="preserve"> </w:t>
      </w:r>
      <w:r w:rsidR="006E78A1">
        <w:rPr>
          <w:szCs w:val="24"/>
        </w:rPr>
        <w:t xml:space="preserve">Panevėžio miesto savivaldybės </w:t>
      </w:r>
      <w:r w:rsidR="006E78A1" w:rsidRPr="00E40C89">
        <w:rPr>
          <w:szCs w:val="24"/>
        </w:rPr>
        <w:t xml:space="preserve">tarybos </w:t>
      </w:r>
      <w:r w:rsidRPr="00E40C89">
        <w:rPr>
          <w:szCs w:val="24"/>
        </w:rPr>
        <w:t xml:space="preserve">2018 m. birželio 28 d. sprendimą Nr. 1-231 „Dėl </w:t>
      </w:r>
      <w:r w:rsidR="006E78A1" w:rsidRPr="00E40C89">
        <w:rPr>
          <w:szCs w:val="24"/>
        </w:rPr>
        <w:t xml:space="preserve">Jaunų </w:t>
      </w:r>
      <w:r w:rsidRPr="00E40C89">
        <w:rPr>
          <w:szCs w:val="24"/>
        </w:rPr>
        <w:t>specialistų pritraukimo į Panevėžio miesto ugdymo įstaigas ir pedagogų perkvalifikavimo programos patvirtinimo“.</w:t>
      </w:r>
    </w:p>
    <w:p w14:paraId="3DA85713" w14:textId="77777777" w:rsidR="00A773ED" w:rsidRPr="00E40C89" w:rsidRDefault="00A773ED" w:rsidP="00A773ED">
      <w:pPr>
        <w:spacing w:line="360" w:lineRule="auto"/>
        <w:jc w:val="both"/>
        <w:rPr>
          <w:szCs w:val="24"/>
        </w:rPr>
      </w:pPr>
    </w:p>
    <w:p w14:paraId="5C6B9DD1" w14:textId="606D08AD" w:rsidR="006E206B" w:rsidRPr="00E40C89" w:rsidRDefault="00A773ED" w:rsidP="00A773ED">
      <w:pPr>
        <w:tabs>
          <w:tab w:val="left" w:pos="5385"/>
        </w:tabs>
        <w:jc w:val="both"/>
        <w:rPr>
          <w:szCs w:val="24"/>
        </w:rPr>
      </w:pPr>
      <w:r w:rsidRPr="00E40C89">
        <w:rPr>
          <w:rFonts w:eastAsia="Calibri"/>
          <w:szCs w:val="24"/>
        </w:rPr>
        <w:t>Savivaldybės meras</w:t>
      </w:r>
      <w:r w:rsidRPr="00E40C89">
        <w:rPr>
          <w:rFonts w:eastAsia="Calibri"/>
          <w:szCs w:val="24"/>
        </w:rPr>
        <w:tab/>
        <w:t xml:space="preserve">                        Rytis Mykolas Račkauskas</w:t>
      </w:r>
      <w:r w:rsidRPr="00E40C89">
        <w:rPr>
          <w:szCs w:val="24"/>
        </w:rPr>
        <w:t xml:space="preserve">   </w:t>
      </w:r>
    </w:p>
    <w:p w14:paraId="51F2BDE5" w14:textId="77777777" w:rsidR="006E206B" w:rsidRPr="00E40C89" w:rsidRDefault="006E206B">
      <w:pPr>
        <w:rPr>
          <w:szCs w:val="24"/>
        </w:rPr>
      </w:pPr>
      <w:r w:rsidRPr="00E40C89">
        <w:rPr>
          <w:szCs w:val="24"/>
        </w:rPr>
        <w:br w:type="page"/>
      </w:r>
    </w:p>
    <w:p w14:paraId="54AF340F" w14:textId="77777777" w:rsidR="00A773ED" w:rsidRPr="00E40C89" w:rsidRDefault="00A773ED" w:rsidP="00A773ED">
      <w:pPr>
        <w:tabs>
          <w:tab w:val="left" w:pos="5385"/>
        </w:tabs>
        <w:jc w:val="both"/>
        <w:rPr>
          <w:szCs w:val="24"/>
        </w:rPr>
      </w:pPr>
    </w:p>
    <w:p w14:paraId="2BA24848" w14:textId="292BB78F" w:rsidR="00A773ED" w:rsidRPr="00E40C89" w:rsidRDefault="00A773ED" w:rsidP="00E40C89">
      <w:pPr>
        <w:ind w:left="5245"/>
        <w:rPr>
          <w:szCs w:val="24"/>
        </w:rPr>
      </w:pPr>
      <w:r w:rsidRPr="00E40C89">
        <w:rPr>
          <w:szCs w:val="24"/>
        </w:rPr>
        <w:t>PATVIRTINTA</w:t>
      </w:r>
    </w:p>
    <w:p w14:paraId="6039C0FB" w14:textId="77777777" w:rsidR="009C07CA" w:rsidRPr="00E40C89" w:rsidRDefault="009C07CA" w:rsidP="00E40C89">
      <w:pPr>
        <w:ind w:left="5245"/>
        <w:rPr>
          <w:szCs w:val="24"/>
        </w:rPr>
      </w:pPr>
      <w:r w:rsidRPr="00E40C89">
        <w:rPr>
          <w:szCs w:val="24"/>
        </w:rPr>
        <w:t>Panevėžio miesto savivaldybės tarybos</w:t>
      </w:r>
    </w:p>
    <w:p w14:paraId="3994609A" w14:textId="002C4B25" w:rsidR="00A773ED" w:rsidRPr="00E40C89" w:rsidRDefault="007A7694" w:rsidP="00E40C89">
      <w:pPr>
        <w:ind w:left="5245"/>
        <w:rPr>
          <w:szCs w:val="24"/>
        </w:rPr>
      </w:pPr>
      <w:r w:rsidRPr="00E40C89">
        <w:t>2021</w:t>
      </w:r>
      <w:r w:rsidR="006E206B" w:rsidRPr="00E40C89">
        <w:t xml:space="preserve"> m. </w:t>
      </w:r>
      <w:r w:rsidR="002A741F" w:rsidRPr="00E40C89">
        <w:t>liepos</w:t>
      </w:r>
      <w:r w:rsidR="008D2CE8" w:rsidRPr="00E40C89">
        <w:t xml:space="preserve"> </w:t>
      </w:r>
      <w:r w:rsidR="006E206B" w:rsidRPr="00E40C89">
        <w:t xml:space="preserve"> d. sprendimu Nr. </w:t>
      </w:r>
    </w:p>
    <w:p w14:paraId="1578853F" w14:textId="4B9C8A6B" w:rsidR="007F0A0D" w:rsidRPr="00E40C89" w:rsidRDefault="007F0A0D" w:rsidP="00E40C89">
      <w:pPr>
        <w:ind w:left="5245"/>
        <w:rPr>
          <w:szCs w:val="24"/>
        </w:rPr>
      </w:pPr>
    </w:p>
    <w:p w14:paraId="4FE62F42" w14:textId="77777777" w:rsidR="007A7694" w:rsidRPr="00E40C89" w:rsidRDefault="007A7694" w:rsidP="00E40C89">
      <w:pPr>
        <w:jc w:val="center"/>
        <w:rPr>
          <w:b/>
        </w:rPr>
      </w:pPr>
      <w:r w:rsidRPr="00E40C89">
        <w:rPr>
          <w:b/>
        </w:rPr>
        <w:t>JAUNŲJŲ SPECIALISTŲ PRITRAUKIMO Į PANEVĖŽIO MIESTO UGDYMO ĮSTAIGAS IR PEDAGOGŲ PERKVALIFIKAVIMO PROGRAMA</w:t>
      </w:r>
    </w:p>
    <w:p w14:paraId="4CAFCA85" w14:textId="77777777" w:rsidR="007A7694" w:rsidRPr="00E40C89" w:rsidRDefault="007A7694" w:rsidP="00E40C89">
      <w:pPr>
        <w:jc w:val="center"/>
        <w:rPr>
          <w:u w:val="single"/>
        </w:rPr>
      </w:pPr>
    </w:p>
    <w:p w14:paraId="0EF93E77" w14:textId="77777777" w:rsidR="007A7694" w:rsidRPr="00E40C89" w:rsidRDefault="007A7694" w:rsidP="00E40C89">
      <w:pPr>
        <w:jc w:val="center"/>
        <w:rPr>
          <w:b/>
        </w:rPr>
      </w:pPr>
      <w:r w:rsidRPr="00E40C89">
        <w:rPr>
          <w:b/>
        </w:rPr>
        <w:t>I SKYRIUS</w:t>
      </w:r>
    </w:p>
    <w:p w14:paraId="0ADE0F29" w14:textId="77777777" w:rsidR="007A7694" w:rsidRPr="00E40C89" w:rsidRDefault="007A7694" w:rsidP="00E40C89">
      <w:pPr>
        <w:jc w:val="center"/>
        <w:rPr>
          <w:b/>
        </w:rPr>
      </w:pPr>
      <w:r w:rsidRPr="00E40C89">
        <w:rPr>
          <w:b/>
        </w:rPr>
        <w:t>BENDROSIOS NUOSTATOS</w:t>
      </w:r>
    </w:p>
    <w:p w14:paraId="03F846A7" w14:textId="77777777" w:rsidR="007A7694" w:rsidRPr="00E40C89" w:rsidRDefault="007A7694" w:rsidP="00E40C89">
      <w:pPr>
        <w:pStyle w:val="Sraopastraipa"/>
        <w:ind w:left="0"/>
        <w:jc w:val="center"/>
        <w:rPr>
          <w:b/>
        </w:rPr>
      </w:pPr>
    </w:p>
    <w:p w14:paraId="66BB3554" w14:textId="33529C8A" w:rsidR="007A7694" w:rsidRPr="00E40C89" w:rsidRDefault="00A10778" w:rsidP="00E40C89">
      <w:pPr>
        <w:ind w:firstLine="851"/>
        <w:jc w:val="both"/>
      </w:pPr>
      <w:r w:rsidRPr="00E40C89">
        <w:t xml:space="preserve">1. </w:t>
      </w:r>
      <w:r w:rsidR="007A7694" w:rsidRPr="00E40C89">
        <w:t>Programa parengta atsižvelgiant į Panevėžio miesto savivaldybės 2021</w:t>
      </w:r>
      <w:r w:rsidR="00CF4A1C">
        <w:t>–</w:t>
      </w:r>
      <w:r w:rsidR="007A7694" w:rsidRPr="00E40C89">
        <w:t>2023 metų veiklos planą, patvirtintą Panevėžio miesto savivaldybės tarybos 2021 m. vasario 18 d. sprendimu Nr. 1-31</w:t>
      </w:r>
      <w:r w:rsidR="00CF4A1C">
        <w:t xml:space="preserve"> </w:t>
      </w:r>
      <w:r w:rsidR="00CF4A1C">
        <w:rPr>
          <w:szCs w:val="24"/>
        </w:rPr>
        <w:t>„</w:t>
      </w:r>
      <w:r w:rsidR="00CF4A1C" w:rsidRPr="006E78A1">
        <w:rPr>
          <w:szCs w:val="24"/>
        </w:rPr>
        <w:t>Dėl Panevėžio miesto savivaldybės 2021–2023 metų veiklos plano, socialinės ir ekonominės plėtros programų patvirtinimo</w:t>
      </w:r>
      <w:r w:rsidR="00CF4A1C">
        <w:rPr>
          <w:szCs w:val="24"/>
        </w:rPr>
        <w:t>“</w:t>
      </w:r>
      <w:r w:rsidR="007A7694" w:rsidRPr="00E40C89">
        <w:t>,</w:t>
      </w:r>
      <w:r w:rsidR="007A7694" w:rsidRPr="00E40C89">
        <w:rPr>
          <w:b/>
        </w:rPr>
        <w:t xml:space="preserve"> </w:t>
      </w:r>
      <w:r w:rsidR="007A7694" w:rsidRPr="00E40C89">
        <w:t>Lietuvos Respublikos švietimo ir mokslo ministerijos analizę „Lietuva. Švietimas šalyje ir regionuose 2019. Mokinių pasiekimų atotrūkis“</w:t>
      </w:r>
      <w:r w:rsidR="000F5C25">
        <w:t>.</w:t>
      </w:r>
    </w:p>
    <w:p w14:paraId="36F9CE5A" w14:textId="597D36B1" w:rsidR="007A7694" w:rsidRPr="00E40C89" w:rsidRDefault="00A10778" w:rsidP="00E40C89">
      <w:pPr>
        <w:ind w:firstLine="851"/>
        <w:jc w:val="both"/>
      </w:pPr>
      <w:r w:rsidRPr="00E40C89">
        <w:t>2. Programoje vartojama sąvoka „</w:t>
      </w:r>
      <w:r w:rsidR="007A7694" w:rsidRPr="00E40C89">
        <w:t>Jaunasis specialistas</w:t>
      </w:r>
      <w:r w:rsidRPr="00E40C89">
        <w:t>“ suprantama kaip</w:t>
      </w:r>
      <w:r w:rsidR="007A7694" w:rsidRPr="00E40C89">
        <w:t xml:space="preserve"> universitetą</w:t>
      </w:r>
      <w:r w:rsidR="000F5C25">
        <w:t xml:space="preserve"> ar </w:t>
      </w:r>
      <w:r w:rsidR="007A7694" w:rsidRPr="00E40C89">
        <w:t>kolegiją baigęs ir</w:t>
      </w:r>
      <w:r w:rsidR="000F5C25">
        <w:t xml:space="preserve"> (</w:t>
      </w:r>
      <w:r w:rsidR="007A7694" w:rsidRPr="00E40C89">
        <w:t>ar</w:t>
      </w:r>
      <w:r w:rsidR="000F5C25">
        <w:t>)</w:t>
      </w:r>
      <w:r w:rsidR="007A7694" w:rsidRPr="00E40C89">
        <w:t xml:space="preserve"> mažą pedagoginio darbo patirtį (iki 5 m.) turintis asmuo.</w:t>
      </w:r>
    </w:p>
    <w:p w14:paraId="286E2FAF" w14:textId="497F3926" w:rsidR="007A7694" w:rsidRPr="00E40C89" w:rsidRDefault="00A10778" w:rsidP="00E40C89">
      <w:pPr>
        <w:ind w:firstLine="851"/>
        <w:jc w:val="both"/>
      </w:pPr>
      <w:r w:rsidRPr="00E40C89">
        <w:t xml:space="preserve">3. </w:t>
      </w:r>
      <w:r w:rsidR="007A7694" w:rsidRPr="00E40C89">
        <w:t xml:space="preserve">Trūkstamų pedagoginių specialistų, mokytojų miesto ugdymo įstaigose sąrašas parengiamas kiekvienais mokslo metais remiantis atliktos apklausos miesto ugdymo įstaigose duomenimis. Sąrašą parengia </w:t>
      </w:r>
      <w:r w:rsidR="000F5C25">
        <w:t xml:space="preserve">Panevėžio miesto </w:t>
      </w:r>
      <w:r w:rsidR="007A7694" w:rsidRPr="00E40C89">
        <w:t>savivaldybės administracijos Švietimo skyrius.</w:t>
      </w:r>
    </w:p>
    <w:p w14:paraId="26281003" w14:textId="77777777" w:rsidR="007A7694" w:rsidRPr="00E40C89" w:rsidRDefault="007A7694" w:rsidP="00E40C89">
      <w:pPr>
        <w:jc w:val="center"/>
        <w:rPr>
          <w:b/>
        </w:rPr>
      </w:pPr>
    </w:p>
    <w:p w14:paraId="69FB08D9" w14:textId="77777777" w:rsidR="007A7694" w:rsidRPr="00E40C89" w:rsidRDefault="007A7694" w:rsidP="00E40C89">
      <w:pPr>
        <w:jc w:val="center"/>
        <w:rPr>
          <w:b/>
        </w:rPr>
      </w:pPr>
      <w:r w:rsidRPr="00E40C89">
        <w:rPr>
          <w:b/>
        </w:rPr>
        <w:t>II SKYRIUS</w:t>
      </w:r>
    </w:p>
    <w:p w14:paraId="5E8F4ACA" w14:textId="77777777" w:rsidR="007A7694" w:rsidRPr="00E40C89" w:rsidRDefault="007A7694" w:rsidP="00E40C89">
      <w:pPr>
        <w:jc w:val="center"/>
        <w:rPr>
          <w:b/>
        </w:rPr>
      </w:pPr>
      <w:r w:rsidRPr="00E40C89">
        <w:rPr>
          <w:b/>
        </w:rPr>
        <w:t>SITUACIJOS ANALIZĖ</w:t>
      </w:r>
    </w:p>
    <w:p w14:paraId="3A351F0B" w14:textId="77777777" w:rsidR="007A7694" w:rsidRPr="00E40C89" w:rsidRDefault="007A7694" w:rsidP="00E40C89">
      <w:pPr>
        <w:jc w:val="center"/>
      </w:pPr>
    </w:p>
    <w:p w14:paraId="22F4C5E9" w14:textId="36CDBA98" w:rsidR="007A7694" w:rsidRPr="00E40C89" w:rsidRDefault="00A10778" w:rsidP="00E40C89">
      <w:pPr>
        <w:autoSpaceDE w:val="0"/>
        <w:autoSpaceDN w:val="0"/>
        <w:adjustRightInd w:val="0"/>
        <w:ind w:firstLine="709"/>
        <w:jc w:val="both"/>
        <w:rPr>
          <w:szCs w:val="24"/>
        </w:rPr>
      </w:pPr>
      <w:r w:rsidRPr="00E40C89">
        <w:rPr>
          <w:lang w:eastAsia="lt-LT"/>
        </w:rPr>
        <w:t xml:space="preserve">4. </w:t>
      </w:r>
      <w:r w:rsidR="007A7694" w:rsidRPr="00E40C89">
        <w:rPr>
          <w:lang w:eastAsia="lt-LT"/>
        </w:rPr>
        <w:t xml:space="preserve">Valstybinėje švietimo 2013–2022 metų strategijoje iškeltam tikslui – </w:t>
      </w:r>
      <w:r w:rsidR="007A7694" w:rsidRPr="00E40C89">
        <w:rPr>
          <w:color w:val="000000"/>
        </w:rPr>
        <w:t>paversti Lietuvos švietimą tvariu pagrindu valstybės gerovės kėlimui, ugdyti veržliam ir savarankiškam žmogui, atsakingai ir solidariai kuriančiam savo, Lietuvos ir pasaulio ateitį, – pasiekti reikalingi pedagoginiai resursai.</w:t>
      </w:r>
      <w:r w:rsidR="007A7694" w:rsidRPr="00E40C89">
        <w:rPr>
          <w:lang w:eastAsia="lt-LT"/>
        </w:rPr>
        <w:t xml:space="preserve"> Privalu pasiekti </w:t>
      </w:r>
      <w:r w:rsidR="007A7694" w:rsidRPr="00E40C89">
        <w:rPr>
          <w:color w:val="000000"/>
        </w:rPr>
        <w:t xml:space="preserve">tokį pedagoginių bendruomenių lygį, kai jų daugumą sudaro mąstantys, nuolat tobulėjantys ir rezultatyviai </w:t>
      </w:r>
      <w:r w:rsidR="007A7694" w:rsidRPr="00E40C89">
        <w:t>dirbantys profesionalūs mokytojai ir dėstytojai.</w:t>
      </w:r>
    </w:p>
    <w:p w14:paraId="2359381D" w14:textId="6C70D980" w:rsidR="007A7694" w:rsidRPr="00E40C89" w:rsidRDefault="00A10778" w:rsidP="00E40C89">
      <w:pPr>
        <w:ind w:firstLine="709"/>
        <w:jc w:val="both"/>
        <w:rPr>
          <w:lang w:eastAsia="lt-LT"/>
        </w:rPr>
      </w:pPr>
      <w:r w:rsidRPr="00E40C89">
        <w:rPr>
          <w:lang w:eastAsia="lt-LT"/>
        </w:rPr>
        <w:t xml:space="preserve">5. </w:t>
      </w:r>
      <w:r w:rsidR="007A7694" w:rsidRPr="00E40C89">
        <w:rPr>
          <w:lang w:eastAsia="lt-LT"/>
        </w:rPr>
        <w:t xml:space="preserve">Mokytojo profesionalumo, kaip svarbiausio mokyklos pažangos veiksnio, aktualumas pabrėžiamas ne viename valstybės strateginiame dokumente. Teigiama, kad mokytojas neturi būti tik formalus švietimo paslaugų teikėjas, nes tokia situacija neskatins ateityje valstybės pažangos, todėl būtina dėmesį sutelkti į kompetencijų – bendrųjų ir dalykinių – plėtotę, nes keičiasi mokytojo vaidmuo ir veiklos pobūdis. </w:t>
      </w:r>
    </w:p>
    <w:p w14:paraId="30CA7A6A" w14:textId="4054EB5A" w:rsidR="007A7694" w:rsidRPr="00E40C89" w:rsidRDefault="00A10778" w:rsidP="00E40C89">
      <w:pPr>
        <w:ind w:firstLine="709"/>
        <w:jc w:val="both"/>
        <w:rPr>
          <w:lang w:eastAsia="lt-LT"/>
        </w:rPr>
      </w:pPr>
      <w:r w:rsidRPr="00E40C89">
        <w:rPr>
          <w:lang w:eastAsia="lt-LT"/>
        </w:rPr>
        <w:t xml:space="preserve">6. </w:t>
      </w:r>
      <w:r w:rsidR="007A7694" w:rsidRPr="00E40C89">
        <w:rPr>
          <w:lang w:eastAsia="lt-LT"/>
        </w:rPr>
        <w:t>Pasirenkančių pedagogo kelią abiturientų skaičius mažėja, pretendentų studijuoti konkursiniai balai gerokai žemesni negu įstojusiųjų į populiariausias programas. Esant tokiai situacijai, ypač svarbi pedagogų rengimo ir kvalifikacijos tobulinimo sistema, kuri tenkintų ambicingus švietimo kokybės lūkesčius, socialinės ir ekonominės mokytojo darbo sąlygos, kurios laiduotų pedagogo karjeros prestižą. Lietuvos Respublikos švietimo ir mokslo ministerijos Lietuvos švietimo būklės apžvalgoje „Lietuva. Švietimas šalyje ir regionuose 2019. Mokinių pasiekimų atotrūkis“ pabrėžiama, kad mokytojų profesionalumas turi tiesioginės įtakos mokinių pasiekimams.</w:t>
      </w:r>
    </w:p>
    <w:p w14:paraId="62C71217" w14:textId="713F2071" w:rsidR="007A7694" w:rsidRPr="00E40C89" w:rsidRDefault="00A10778" w:rsidP="00E40C89">
      <w:pPr>
        <w:ind w:firstLine="709"/>
        <w:jc w:val="both"/>
      </w:pPr>
      <w:r w:rsidRPr="00E40C89">
        <w:t xml:space="preserve">7. </w:t>
      </w:r>
      <w:r w:rsidR="007A7694" w:rsidRPr="00E40C89">
        <w:t xml:space="preserve">Leidinyje akcentuojama, kad </w:t>
      </w:r>
      <w:r w:rsidR="00BA1090">
        <w:t>„</w:t>
      </w:r>
      <w:r w:rsidR="007A7694" w:rsidRPr="00E40C89">
        <w:t>vidutinis bendrojo ugdymo mokyklų mokytojų amžius – apie 50 metų, tačiau matyti mokytojų senėjimo tendencija. Septyni iš devynių – toks bus pedagoginio personalo atnaujinimo poreikis Lietuvoje per ateinantį dešimtmetį</w:t>
      </w:r>
      <w:r w:rsidR="00230FB9">
        <w:t>“</w:t>
      </w:r>
      <w:r w:rsidR="007A7694" w:rsidRPr="00E40C89">
        <w:t xml:space="preserve">. </w:t>
      </w:r>
    </w:p>
    <w:p w14:paraId="0A0DF78B" w14:textId="17D58078" w:rsidR="007A7694" w:rsidRPr="00E40C89" w:rsidRDefault="00A10778" w:rsidP="00E40C89">
      <w:pPr>
        <w:ind w:firstLine="709"/>
        <w:jc w:val="both"/>
      </w:pPr>
      <w:r w:rsidRPr="00E40C89">
        <w:t xml:space="preserve">8. </w:t>
      </w:r>
      <w:r w:rsidR="007A7694" w:rsidRPr="00E40C89">
        <w:t xml:space="preserve">Sprendžiant mokytojų trūkumo mokymo įstaigose klausimą susiduriama su motyvacijos dirbti mokytoju stokos ir jaunimo pritraukimo į šią profesiją problema. </w:t>
      </w:r>
      <w:r w:rsidR="007A7694" w:rsidRPr="00E40C89">
        <w:rPr>
          <w:lang w:eastAsia="lt-LT"/>
        </w:rPr>
        <w:t xml:space="preserve">Svarbia priemone mokytojo profesijos patrauklumui didinti laikomas mokytojo darbo užmokesčio ir kitų darbo sąlygų gerinimas. Palyginti su kitų Europos Sąjungos (toliau – </w:t>
      </w:r>
      <w:r w:rsidR="007A7694" w:rsidRPr="00A949C1">
        <w:rPr>
          <w:lang w:eastAsia="lt-LT"/>
        </w:rPr>
        <w:t>ES</w:t>
      </w:r>
      <w:r w:rsidR="007A7694" w:rsidRPr="00E40C89">
        <w:rPr>
          <w:lang w:eastAsia="lt-LT"/>
        </w:rPr>
        <w:t>) šalių mokytojų darbo užmokesčiu, Lietuvoje jis yra vienas mažiausių. Pastaraisiais metais vidutinis mokytojų darbo užmokestis didėjo, bet ne taip sparčiai kaip vidutinis darbo užmokestis šalyje.</w:t>
      </w:r>
      <w:r w:rsidR="007A7694" w:rsidRPr="00E40C89">
        <w:rPr>
          <w:color w:val="000000"/>
        </w:rPr>
        <w:t xml:space="preserve"> </w:t>
      </w:r>
      <w:r w:rsidR="004A0265" w:rsidRPr="00E40C89">
        <w:rPr>
          <w:szCs w:val="24"/>
          <w:lang w:eastAsia="lt-LT"/>
        </w:rPr>
        <w:t xml:space="preserve">Žymus mokytojų atlygimų padidinimas </w:t>
      </w:r>
      <w:r w:rsidR="004A0265" w:rsidRPr="00E40C89">
        <w:rPr>
          <w:szCs w:val="24"/>
          <w:lang w:eastAsia="lt-LT"/>
        </w:rPr>
        <w:lastRenderedPageBreak/>
        <w:t>nepriklauso nuo savivaldybės, tai reglamentuoja Švietimo, mokslo ir sporto ministerijos teisės aktai ir tai nevyksta taip sparčiai, kaip norėtųsi.</w:t>
      </w:r>
    </w:p>
    <w:p w14:paraId="54DE3449" w14:textId="7C446391" w:rsidR="007A7694" w:rsidRPr="00E40C89" w:rsidRDefault="004A0265" w:rsidP="00E40C89">
      <w:pPr>
        <w:ind w:firstLine="709"/>
        <w:jc w:val="both"/>
        <w:rPr>
          <w:lang w:eastAsia="lt-LT"/>
        </w:rPr>
      </w:pPr>
      <w:r w:rsidRPr="00E40C89">
        <w:rPr>
          <w:lang w:eastAsia="lt-LT"/>
        </w:rPr>
        <w:t>9</w:t>
      </w:r>
      <w:r w:rsidR="00A10778" w:rsidRPr="00E40C89">
        <w:rPr>
          <w:lang w:eastAsia="lt-LT"/>
        </w:rPr>
        <w:t xml:space="preserve">. </w:t>
      </w:r>
      <w:r w:rsidR="007A7694" w:rsidRPr="00E40C89">
        <w:rPr>
          <w:lang w:eastAsia="lt-LT"/>
        </w:rPr>
        <w:t>2017 m. Europos Komisija nurodė, kad mokytojo profesijos prestižo mažėjimas ir personalo trūkumas kelia problemų daugelyje ES valstybių. Neskatinant jaunų ir gabių asmenų rinktis pedagogo profesijos ir darbo mokykloje, gali nebūti kam pakeisti į pensiją išeinanči</w:t>
      </w:r>
      <w:r w:rsidR="003D3A89">
        <w:rPr>
          <w:lang w:eastAsia="lt-LT"/>
        </w:rPr>
        <w:t>us</w:t>
      </w:r>
      <w:r w:rsidR="007A7694" w:rsidRPr="00E40C89">
        <w:rPr>
          <w:lang w:eastAsia="lt-LT"/>
        </w:rPr>
        <w:t xml:space="preserve"> mokytoj</w:t>
      </w:r>
      <w:r w:rsidR="003D3A89">
        <w:rPr>
          <w:lang w:eastAsia="lt-LT"/>
        </w:rPr>
        <w:t>us</w:t>
      </w:r>
      <w:r w:rsidR="007A7694" w:rsidRPr="00E40C89">
        <w:rPr>
          <w:lang w:eastAsia="lt-LT"/>
        </w:rPr>
        <w:t xml:space="preserve">. </w:t>
      </w:r>
    </w:p>
    <w:p w14:paraId="6B88B579" w14:textId="0BDD3CA3" w:rsidR="007A7694" w:rsidRPr="00E40C89" w:rsidRDefault="004A0265" w:rsidP="00E40C89">
      <w:pPr>
        <w:ind w:firstLine="709"/>
        <w:jc w:val="both"/>
        <w:rPr>
          <w:lang w:eastAsia="lt-LT"/>
        </w:rPr>
      </w:pPr>
      <w:r w:rsidRPr="00E40C89">
        <w:t xml:space="preserve">10. </w:t>
      </w:r>
      <w:r w:rsidR="007A7694" w:rsidRPr="00E40C89">
        <w:t xml:space="preserve">Ekonominio bendradarbiavimo ir plėtros organizacija (toliau – </w:t>
      </w:r>
      <w:r w:rsidR="007A7694" w:rsidRPr="00A949C1">
        <w:t>EBPO</w:t>
      </w:r>
      <w:r w:rsidR="007A7694" w:rsidRPr="00E40C89">
        <w:t>) rekomendavo Lietuvai apsispręsti dėl pedagogų rengimo finansavimo prioritetų. Jų nuomone, nacionaliniai ištekliai turėtų būti skiriami rengti tų dalykų mokytojus, kurių trūksta. Nepakanka tik skirti stipendijas pedagoginėms studijoms</w:t>
      </w:r>
      <w:r w:rsidR="003D3A89">
        <w:t xml:space="preserve"> – </w:t>
      </w:r>
      <w:r w:rsidR="007A7694" w:rsidRPr="00E40C89">
        <w:t xml:space="preserve">reikia užtikrinti ir jų panaudojimo efektyvumą. </w:t>
      </w:r>
      <w:r w:rsidR="007A7694" w:rsidRPr="00E40C89">
        <w:rPr>
          <w:lang w:eastAsia="lt-LT"/>
        </w:rPr>
        <w:t>Ir EBPO, ir Tarptautinio valiutos fondo ekspertai pabrėžia, kad būtina gerokai padidinti mokytojų atlyginimus, nes tai galėtų būti veiksminga priemonė, motyvuojanti jaunus ir gabius žmones rinktis mokytojo profesiją.</w:t>
      </w:r>
    </w:p>
    <w:p w14:paraId="76A6E4CE" w14:textId="3471C012" w:rsidR="007A7694" w:rsidRPr="00E40C89" w:rsidRDefault="004A0265" w:rsidP="00E40C89">
      <w:pPr>
        <w:spacing w:after="100" w:afterAutospacing="1"/>
        <w:ind w:firstLine="709"/>
        <w:jc w:val="both"/>
      </w:pPr>
      <w:r w:rsidRPr="00E40C89">
        <w:rPr>
          <w:szCs w:val="24"/>
          <w:lang w:eastAsia="lt-LT"/>
        </w:rPr>
        <w:t xml:space="preserve">11. </w:t>
      </w:r>
      <w:r w:rsidR="007A7694" w:rsidRPr="00E40C89">
        <w:rPr>
          <w:szCs w:val="24"/>
          <w:lang w:eastAsia="lt-LT"/>
        </w:rPr>
        <w:t>Užimtumo tarnybos duomenimis</w:t>
      </w:r>
      <w:r w:rsidR="003D3A89">
        <w:rPr>
          <w:szCs w:val="24"/>
          <w:lang w:eastAsia="lt-LT"/>
        </w:rPr>
        <w:t>,</w:t>
      </w:r>
      <w:r w:rsidR="007A7694" w:rsidRPr="00E40C89">
        <w:rPr>
          <w:szCs w:val="24"/>
          <w:lang w:eastAsia="lt-LT"/>
        </w:rPr>
        <w:t xml:space="preserve"> 2020 m. Panevėžio regione užsiregistravusių ir </w:t>
      </w:r>
      <w:r w:rsidR="003D3A89">
        <w:rPr>
          <w:szCs w:val="24"/>
          <w:lang w:eastAsia="lt-LT"/>
        </w:rPr>
        <w:t xml:space="preserve">pageidaujančių dirbti </w:t>
      </w:r>
      <w:r w:rsidR="007A7694" w:rsidRPr="00E40C89">
        <w:rPr>
          <w:szCs w:val="24"/>
          <w:lang w:eastAsia="lt-LT"/>
        </w:rPr>
        <w:t>švietimo srit</w:t>
      </w:r>
      <w:r w:rsidR="003D3A89">
        <w:rPr>
          <w:szCs w:val="24"/>
          <w:lang w:eastAsia="lt-LT"/>
        </w:rPr>
        <w:t>yje</w:t>
      </w:r>
      <w:r w:rsidR="007A7694" w:rsidRPr="00E40C89">
        <w:rPr>
          <w:szCs w:val="24"/>
          <w:lang w:eastAsia="lt-LT"/>
        </w:rPr>
        <w:t xml:space="preserve"> asmenų amžiaus vidurkis buvo 41 metai (iki 29 m. – 28,3 proc., 30</w:t>
      </w:r>
      <w:r w:rsidR="003D3A89">
        <w:rPr>
          <w:szCs w:val="24"/>
          <w:lang w:eastAsia="lt-LT"/>
        </w:rPr>
        <w:t>–</w:t>
      </w:r>
      <w:r w:rsidR="007A7694" w:rsidRPr="00E40C89">
        <w:rPr>
          <w:szCs w:val="24"/>
          <w:lang w:eastAsia="lt-LT"/>
        </w:rPr>
        <w:t>40 m. – 20,6 proc., 41</w:t>
      </w:r>
      <w:r w:rsidR="003D3A89">
        <w:rPr>
          <w:szCs w:val="24"/>
          <w:lang w:eastAsia="lt-LT"/>
        </w:rPr>
        <w:t>–</w:t>
      </w:r>
      <w:r w:rsidR="007A7694" w:rsidRPr="00E40C89">
        <w:rPr>
          <w:szCs w:val="24"/>
          <w:lang w:eastAsia="lt-LT"/>
        </w:rPr>
        <w:t>50 m. – 16,8 proc., 51 m. ir vyresni – 34,3 proc.), Panevėžyje – 38 metai (iki 29 m. – 37,7 proc., 30</w:t>
      </w:r>
      <w:r w:rsidR="003D3A89">
        <w:rPr>
          <w:szCs w:val="24"/>
          <w:lang w:eastAsia="lt-LT"/>
        </w:rPr>
        <w:t>–</w:t>
      </w:r>
      <w:r w:rsidR="007A7694" w:rsidRPr="00E40C89">
        <w:rPr>
          <w:szCs w:val="24"/>
          <w:lang w:eastAsia="lt-LT"/>
        </w:rPr>
        <w:t>40 m. – 19,5 proc., 41</w:t>
      </w:r>
      <w:r w:rsidR="003D3A89">
        <w:rPr>
          <w:szCs w:val="24"/>
          <w:lang w:eastAsia="lt-LT"/>
        </w:rPr>
        <w:t>–</w:t>
      </w:r>
      <w:r w:rsidR="007A7694" w:rsidRPr="00E40C89">
        <w:rPr>
          <w:szCs w:val="24"/>
          <w:lang w:eastAsia="lt-LT"/>
        </w:rPr>
        <w:t>50 m. – 14,4 proc., 51 m. ir vyresni – 28,4 proc.</w:t>
      </w:r>
      <w:r w:rsidR="003D3A89">
        <w:rPr>
          <w:szCs w:val="24"/>
          <w:lang w:eastAsia="lt-LT"/>
        </w:rPr>
        <w:t>).</w:t>
      </w:r>
      <w:r w:rsidR="007A7694" w:rsidRPr="00E40C89">
        <w:rPr>
          <w:szCs w:val="24"/>
          <w:shd w:val="clear" w:color="auto" w:fill="FFFFFF"/>
        </w:rPr>
        <w:t xml:space="preserve"> 2021 m. </w:t>
      </w:r>
      <w:r w:rsidR="007A7694" w:rsidRPr="00E40C89">
        <w:rPr>
          <w:shd w:val="clear" w:color="auto" w:fill="FFFFFF"/>
        </w:rPr>
        <w:t xml:space="preserve">Lietuvoje </w:t>
      </w:r>
      <w:r w:rsidR="007A7694" w:rsidRPr="00E40C89">
        <w:rPr>
          <w:szCs w:val="24"/>
          <w:shd w:val="clear" w:color="auto" w:fill="FFFFFF"/>
        </w:rPr>
        <w:t>beveik 7000 mokytojų bus pensinio amžiaus</w:t>
      </w:r>
      <w:r w:rsidR="007A7694" w:rsidRPr="00E40C89">
        <w:rPr>
          <w:shd w:val="clear" w:color="auto" w:fill="FFFFFF"/>
        </w:rPr>
        <w:t xml:space="preserve"> ir ši</w:t>
      </w:r>
      <w:r w:rsidR="007A7694" w:rsidRPr="00E40C89">
        <w:rPr>
          <w:szCs w:val="24"/>
          <w:shd w:val="clear" w:color="auto" w:fill="FFFFFF"/>
        </w:rPr>
        <w:t>uo metu kai kuriose savivaldybėse jaučiamas mokytojų stygius greitai gali tapti nacionalinės reikšmės iššūkiu.</w:t>
      </w:r>
      <w:r w:rsidR="007A7694" w:rsidRPr="00E40C89">
        <w:t xml:space="preserve"> EBPO mokytojų, mokyklų vadovų ir mokymosi aplinkos mokyklose tyrimo TALIS 2018 m. duomenimis, Lietuvoje mokytojų amžiaus vidurkis yra apie 50 metų – didesnis negu mokytojų amžiaus vidurkis (44 metai) EBPO šalyse, dalyvaujančiose šiame tyrime. Be to, 57 proc. mokytojų Lietuvoje yra 50 metų ir vyresni (EBPO vidurkis – 34 proc.). 2020 m. Lietuvos bendrojo ugdymo mokyklose </w:t>
      </w:r>
      <w:r w:rsidR="007A7694" w:rsidRPr="00E40C89">
        <w:rPr>
          <w:szCs w:val="24"/>
        </w:rPr>
        <w:t xml:space="preserve">mokytojų vidutinis amžius svyruoja nuo 49 iki 51 metų. </w:t>
      </w:r>
      <w:r w:rsidR="007A7694" w:rsidRPr="00E40C89">
        <w:rPr>
          <w:bCs/>
          <w:szCs w:val="24"/>
          <w:lang w:eastAsia="lt-LT"/>
        </w:rPr>
        <w:t xml:space="preserve">2020 m. rugsėjo 1 d. </w:t>
      </w:r>
      <w:r w:rsidR="007A7694" w:rsidRPr="00E40C89">
        <w:rPr>
          <w:szCs w:val="24"/>
        </w:rPr>
        <w:t xml:space="preserve">bendras Panevėžio miesto mokytojų amžiaus vidurkis didesnis už </w:t>
      </w:r>
      <w:r w:rsidRPr="00E40C89">
        <w:rPr>
          <w:szCs w:val="24"/>
        </w:rPr>
        <w:t>šalie</w:t>
      </w:r>
      <w:r w:rsidR="007A7694" w:rsidRPr="00E40C89">
        <w:rPr>
          <w:szCs w:val="24"/>
        </w:rPr>
        <w:t xml:space="preserve">s </w:t>
      </w:r>
      <w:r w:rsidR="007A7694" w:rsidRPr="00E40C89">
        <w:t>–</w:t>
      </w:r>
      <w:r w:rsidR="007A7694" w:rsidRPr="00E40C89">
        <w:rPr>
          <w:szCs w:val="24"/>
        </w:rPr>
        <w:t xml:space="preserve"> 55 metai. </w:t>
      </w:r>
    </w:p>
    <w:p w14:paraId="7BA4AACB" w14:textId="77777777" w:rsidR="007A7694" w:rsidRPr="00E40C89" w:rsidRDefault="007A7694" w:rsidP="00E40C89">
      <w:pPr>
        <w:ind w:firstLine="851"/>
        <w:jc w:val="both"/>
        <w:rPr>
          <w:color w:val="5B9BD5"/>
        </w:rPr>
      </w:pPr>
    </w:p>
    <w:p w14:paraId="7739269A" w14:textId="274B2EE5" w:rsidR="007A7694" w:rsidRDefault="007A7694" w:rsidP="00E40C89">
      <w:pPr>
        <w:jc w:val="center"/>
        <w:rPr>
          <w:sz w:val="20"/>
        </w:rPr>
      </w:pPr>
      <w:r w:rsidRPr="00E40C89">
        <w:rPr>
          <w:noProof/>
          <w:lang w:eastAsia="lt-LT"/>
        </w:rPr>
        <w:drawing>
          <wp:inline distT="0" distB="0" distL="0" distR="0" wp14:anchorId="02F6BD19" wp14:editId="1A173CF0">
            <wp:extent cx="6115050" cy="3667125"/>
            <wp:effectExtent l="0" t="0" r="0" b="9525"/>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E40C89">
        <w:rPr>
          <w:noProof/>
          <w:lang w:eastAsia="lt-LT"/>
        </w:rPr>
        <mc:AlternateContent>
          <mc:Choice Requires="wps">
            <w:drawing>
              <wp:anchor distT="4294967295" distB="4294967295" distL="114300" distR="114300" simplePos="0" relativeHeight="251659264" behindDoc="0" locked="1" layoutInCell="1" allowOverlap="1" wp14:anchorId="4C981F54" wp14:editId="570F27A6">
                <wp:simplePos x="0" y="0"/>
                <wp:positionH relativeFrom="margin">
                  <wp:posOffset>177165</wp:posOffset>
                </wp:positionH>
                <wp:positionV relativeFrom="paragraph">
                  <wp:posOffset>1670684</wp:posOffset>
                </wp:positionV>
                <wp:extent cx="5759450" cy="0"/>
                <wp:effectExtent l="0" t="0" r="0" b="1905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22225" cap="flat" cmpd="sng" algn="ctr">
                          <a:solidFill>
                            <a:srgbClr val="5B9BD5"/>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E85C91" id="Tiesioji jungtis 6"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3.95pt,131.55pt" to="467.45pt,13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D7/A1gEAAJADAAAOAAAAZHJzL2Uyb0RvYy54bWysU8tu2zAQvBfoPxC811KMyk0EywESIb0E rYGkH7CmSIkpX+Aylvz3XcqPJu2tqA7Ekruc5cyO1reTNWwvI2rvGn61KDmTTvhOu77hP54fPl1z hglcB8Y72fCDRH67+fhhPYZaLv3gTScjIxCH9RgaPqQU6qJAMUgLuPBBOkoqHy0k2sa+6CKMhG5N sSzLVTH62IXohUSk0/aY5JsZXykp0nelUCZmGk5vS/Ma53WX12KzhrqPEAYtTs+Af3iFBe2o6QWq hQTsNeq/oKwW0aNXaSG8LbxSWsiZA7G5Kv9g8zRAkDMXEgfDRSb8f7Di234bme4avuLMgaURPWtJ 03zR7OXV9UkjW2WVxoA1Fd+7bcw8xeSewqMXP5Fyxbtk3mA4lk0q2lxORNk0q364qC6nxAQdVl+q m88VDUeccwXU54shYvoqvWU5aLjRLgsCNewfMeXWUJ9L8rHzD9qYeajGsbHhS/oqggbyljKQKLSB 2KLrOQPTk2lFijMkeqO7fD0DYex39yayPZBxqrubu7bKKlC7d2W5dws4HOvwgK1PR09ZncjYRtuG X5f5O103LsPL2ZonCr8Fy9HOd4dtPKtKY5+7niyaffV2T/HbH2nzCwAA//8DAFBLAwQUAAYACAAA ACEAZexbkt0AAAAKAQAADwAAAGRycy9kb3ducmV2LnhtbEyP0WrCQBBF3wv9h2WEvtWNpqQ1ZiNa KNUn0fYDxuyaDWZnQ3aN6d93CoX2aZh7L3fOFKvRtWIwfWg8KZhNExCGKq8bqhV8frw9voAIEUlj 68ko+DIBVuX9XYG59jc6mOEYa8ElFHJUYGPscilDZY3DMPWdIfbOvncYee1rqXu8cblr5TxJMumw Ib5gsTOv1lSX49Up2F020afRbbOdXR/eN7jfnuOg1MNkXC9BRDPGvzD84DM6lMx08lfSQbQK5s8L TvLM0hkIDizSJ1ZOv4osC/n/hfIbAAD//wMAUEsBAi0AFAAGAAgAAAAhALaDOJL+AAAA4QEAABMA AAAAAAAAAAAAAAAAAAAAAFtDb250ZW50X1R5cGVzXS54bWxQSwECLQAUAAYACAAAACEAOP0h/9YA AACUAQAACwAAAAAAAAAAAAAAAAAvAQAAX3JlbHMvLnJlbHNQSwECLQAUAAYACAAAACEApA+/wNYB AACQAwAADgAAAAAAAAAAAAAAAAAuAgAAZHJzL2Uyb0RvYy54bWxQSwECLQAUAAYACAAAACEAZexb kt0AAAAKAQAADwAAAAAAAAAAAAAAAAAwBAAAZHJzL2Rvd25yZXYueG1sUEsFBgAAAAAEAAQA8wAA ADoFAAAAAA== " strokecolor="#5b9bd5" strokeweight="1.75pt">
                <v:stroke dashstyle="1 1" joinstyle="miter"/>
                <o:lock v:ext="edit" shapetype="f"/>
                <w10:wrap anchorx="margin"/>
                <w10:anchorlock/>
              </v:line>
            </w:pict>
          </mc:Fallback>
        </mc:AlternateContent>
      </w:r>
      <w:r w:rsidRPr="00E40C89">
        <w:rPr>
          <w:sz w:val="20"/>
        </w:rPr>
        <w:t xml:space="preserve">Duomenų šaltinis </w:t>
      </w:r>
      <w:r w:rsidR="003D3A89">
        <w:rPr>
          <w:sz w:val="20"/>
        </w:rPr>
        <w:t xml:space="preserve">– </w:t>
      </w:r>
      <w:r w:rsidRPr="00E40C89">
        <w:rPr>
          <w:sz w:val="20"/>
        </w:rPr>
        <w:t>ŠVIS</w:t>
      </w:r>
    </w:p>
    <w:p w14:paraId="64DD320B" w14:textId="77777777" w:rsidR="00E40C89" w:rsidRPr="00E40C89" w:rsidRDefault="00E40C89" w:rsidP="00E40C89">
      <w:pPr>
        <w:jc w:val="both"/>
      </w:pPr>
    </w:p>
    <w:p w14:paraId="668AE1B2" w14:textId="290D84FD" w:rsidR="007A7694" w:rsidRDefault="008A2102" w:rsidP="00E40C89">
      <w:pPr>
        <w:ind w:firstLine="720"/>
        <w:jc w:val="both"/>
        <w:rPr>
          <w:szCs w:val="24"/>
        </w:rPr>
      </w:pPr>
      <w:r w:rsidRPr="00E40C89">
        <w:rPr>
          <w:szCs w:val="24"/>
        </w:rPr>
        <w:t xml:space="preserve">12. </w:t>
      </w:r>
      <w:r w:rsidR="007A7694" w:rsidRPr="00E40C89">
        <w:rPr>
          <w:szCs w:val="24"/>
        </w:rPr>
        <w:t>Panevėžio miesto bendrojo ugdymo mokyklose dirba labai nedaug jaunų specialistų – 20</w:t>
      </w:r>
      <w:r w:rsidR="00BA401F">
        <w:rPr>
          <w:szCs w:val="24"/>
        </w:rPr>
        <w:t>–</w:t>
      </w:r>
      <w:r w:rsidR="007A7694" w:rsidRPr="00E40C89">
        <w:rPr>
          <w:szCs w:val="24"/>
        </w:rPr>
        <w:t>25 m. amžiaus mokytojų yra tik 1 proc.</w:t>
      </w:r>
      <w:r w:rsidR="007A7694" w:rsidRPr="00E40C89">
        <w:rPr>
          <w:b/>
          <w:szCs w:val="24"/>
        </w:rPr>
        <w:t xml:space="preserve"> </w:t>
      </w:r>
      <w:r w:rsidR="007A7694" w:rsidRPr="00E40C89">
        <w:rPr>
          <w:szCs w:val="24"/>
        </w:rPr>
        <w:t xml:space="preserve">2020 m. 41 proc. pedagogų </w:t>
      </w:r>
      <w:r w:rsidR="00BA401F">
        <w:rPr>
          <w:szCs w:val="24"/>
        </w:rPr>
        <w:t>amžius –</w:t>
      </w:r>
      <w:r w:rsidR="007A7694" w:rsidRPr="00E40C89">
        <w:rPr>
          <w:szCs w:val="24"/>
        </w:rPr>
        <w:t xml:space="preserve"> 50</w:t>
      </w:r>
      <w:r w:rsidR="00BA401F">
        <w:rPr>
          <w:szCs w:val="24"/>
        </w:rPr>
        <w:t>–</w:t>
      </w:r>
      <w:r w:rsidR="007A7694" w:rsidRPr="00E40C89">
        <w:rPr>
          <w:szCs w:val="24"/>
        </w:rPr>
        <w:t xml:space="preserve">59 m. Ši </w:t>
      </w:r>
      <w:r w:rsidR="007A7694" w:rsidRPr="00E40C89">
        <w:rPr>
          <w:szCs w:val="24"/>
        </w:rPr>
        <w:lastRenderedPageBreak/>
        <w:t xml:space="preserve">mokytojų amžiaus grupė Panevėžio miesto bendrojo ugdymo mokyklose, išskyrus specialiąsias mokyklas, yra gausiausia. </w:t>
      </w:r>
    </w:p>
    <w:p w14:paraId="3E253212" w14:textId="77777777" w:rsidR="00FA67D9" w:rsidRPr="00E40C89" w:rsidRDefault="00FA67D9" w:rsidP="00E40C89">
      <w:pPr>
        <w:ind w:firstLine="720"/>
        <w:jc w:val="both"/>
        <w:rPr>
          <w:szCs w:val="24"/>
        </w:rPr>
      </w:pPr>
    </w:p>
    <w:p w14:paraId="79015E53" w14:textId="2CDD401D" w:rsidR="007A7694" w:rsidRPr="00E40C89" w:rsidRDefault="007A7694" w:rsidP="00E40C89">
      <w:pPr>
        <w:rPr>
          <w:noProof/>
          <w:lang w:eastAsia="lt-LT"/>
        </w:rPr>
      </w:pPr>
      <w:r w:rsidRPr="00E40C89">
        <w:rPr>
          <w:noProof/>
          <w:lang w:eastAsia="lt-LT"/>
        </w:rPr>
        <w:drawing>
          <wp:inline distT="0" distB="0" distL="0" distR="0" wp14:anchorId="4EC12AEB" wp14:editId="21379447">
            <wp:extent cx="6115050" cy="2427605"/>
            <wp:effectExtent l="0" t="0" r="0" b="10795"/>
            <wp:docPr id="4"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8C8F3D" w14:textId="33877972" w:rsidR="007A7694" w:rsidRPr="00E40C89" w:rsidRDefault="007A7694" w:rsidP="00E40C89">
      <w:pPr>
        <w:jc w:val="center"/>
      </w:pPr>
      <w:r w:rsidRPr="00E40C89">
        <w:rPr>
          <w:sz w:val="20"/>
        </w:rPr>
        <w:t>Duomenų šaltinis</w:t>
      </w:r>
      <w:r w:rsidR="00BA401F">
        <w:rPr>
          <w:sz w:val="20"/>
        </w:rPr>
        <w:t xml:space="preserve"> –</w:t>
      </w:r>
      <w:r w:rsidRPr="00E40C89">
        <w:rPr>
          <w:sz w:val="20"/>
        </w:rPr>
        <w:t xml:space="preserve"> ŠVIS</w:t>
      </w:r>
    </w:p>
    <w:p w14:paraId="5F5FDF04" w14:textId="77777777" w:rsidR="007A7694" w:rsidRPr="00E40C89" w:rsidRDefault="007A7694" w:rsidP="00E40C89">
      <w:pPr>
        <w:rPr>
          <w:noProof/>
          <w:lang w:eastAsia="lt-LT"/>
        </w:rPr>
      </w:pPr>
    </w:p>
    <w:p w14:paraId="7BFB7DB5" w14:textId="66EF392A" w:rsidR="007A7694" w:rsidRPr="00E40C89" w:rsidRDefault="00501175" w:rsidP="00E40C89">
      <w:pPr>
        <w:rPr>
          <w:noProof/>
          <w:lang w:eastAsia="lt-LT"/>
        </w:rPr>
      </w:pPr>
      <w:r>
        <w:rPr>
          <w:noProof/>
          <w:lang w:eastAsia="lt-LT"/>
        </w:rPr>
        <w:drawing>
          <wp:inline distT="0" distB="0" distL="0" distR="0" wp14:anchorId="0270FBF8" wp14:editId="6BA20B0B">
            <wp:extent cx="6031230" cy="3359150"/>
            <wp:effectExtent l="0" t="0" r="7620" b="1270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12801D" w14:textId="1B6A0BED" w:rsidR="007A7694" w:rsidRPr="00E40C89" w:rsidRDefault="007A7694" w:rsidP="00E40C89">
      <w:pPr>
        <w:jc w:val="center"/>
      </w:pPr>
      <w:r w:rsidRPr="00E40C89">
        <w:rPr>
          <w:sz w:val="20"/>
        </w:rPr>
        <w:t>Duomenų šaltinis ŠVIS</w:t>
      </w:r>
    </w:p>
    <w:p w14:paraId="7E1F44DE" w14:textId="77777777" w:rsidR="00BA401F" w:rsidRPr="00E40C89" w:rsidRDefault="00BA401F" w:rsidP="00E40C89">
      <w:pPr>
        <w:rPr>
          <w:noProof/>
          <w:lang w:eastAsia="lt-LT"/>
        </w:rPr>
      </w:pPr>
    </w:p>
    <w:p w14:paraId="00D80717" w14:textId="498702AD" w:rsidR="007A7694" w:rsidRPr="00E40C89" w:rsidRDefault="008A2102" w:rsidP="00E40C89">
      <w:pPr>
        <w:ind w:firstLine="720"/>
        <w:rPr>
          <w:szCs w:val="24"/>
        </w:rPr>
      </w:pPr>
      <w:r w:rsidRPr="00E40C89">
        <w:rPr>
          <w:szCs w:val="24"/>
        </w:rPr>
        <w:t xml:space="preserve">13. </w:t>
      </w:r>
      <w:r w:rsidR="007A7694" w:rsidRPr="00E40C89">
        <w:rPr>
          <w:szCs w:val="24"/>
        </w:rPr>
        <w:t>2021 m. Panevėžio miesto ikimokyklinio ugdymo mokyklose jaunų 20</w:t>
      </w:r>
      <w:r w:rsidR="00BA401F">
        <w:rPr>
          <w:szCs w:val="24"/>
        </w:rPr>
        <w:t>–</w:t>
      </w:r>
      <w:r w:rsidR="007A7694" w:rsidRPr="00E40C89">
        <w:rPr>
          <w:szCs w:val="24"/>
        </w:rPr>
        <w:t xml:space="preserve">25 m. amžiaus </w:t>
      </w:r>
      <w:r w:rsidR="00BA401F" w:rsidRPr="00E40C89">
        <w:rPr>
          <w:szCs w:val="24"/>
        </w:rPr>
        <w:t xml:space="preserve">specialistų </w:t>
      </w:r>
      <w:r w:rsidR="007A7694" w:rsidRPr="00E40C89">
        <w:rPr>
          <w:szCs w:val="24"/>
        </w:rPr>
        <w:t xml:space="preserve">yra 3 proc., </w:t>
      </w:r>
      <w:r w:rsidR="0016638B" w:rsidRPr="00E40C89">
        <w:rPr>
          <w:szCs w:val="24"/>
        </w:rPr>
        <w:t xml:space="preserve">20 proc. </w:t>
      </w:r>
      <w:r w:rsidR="00F47154">
        <w:rPr>
          <w:szCs w:val="24"/>
        </w:rPr>
        <w:t>–</w:t>
      </w:r>
      <w:r w:rsidR="0016638B" w:rsidRPr="00E40C89">
        <w:rPr>
          <w:szCs w:val="24"/>
        </w:rPr>
        <w:t xml:space="preserve"> 50</w:t>
      </w:r>
      <w:r w:rsidR="00F47154">
        <w:rPr>
          <w:szCs w:val="24"/>
        </w:rPr>
        <w:t>–</w:t>
      </w:r>
      <w:r w:rsidR="0016638B" w:rsidRPr="00E40C89">
        <w:rPr>
          <w:szCs w:val="24"/>
        </w:rPr>
        <w:t>54 m. amžiaus</w:t>
      </w:r>
      <w:r w:rsidR="007A7694" w:rsidRPr="00E40C89">
        <w:rPr>
          <w:szCs w:val="24"/>
        </w:rPr>
        <w:t>, 19 proc. 50</w:t>
      </w:r>
      <w:r w:rsidR="00F47154">
        <w:rPr>
          <w:szCs w:val="24"/>
        </w:rPr>
        <w:t>–</w:t>
      </w:r>
      <w:r w:rsidR="007A7694" w:rsidRPr="00E40C89">
        <w:rPr>
          <w:szCs w:val="24"/>
        </w:rPr>
        <w:t>59 m. amžiaus</w:t>
      </w:r>
      <w:r w:rsidR="00F47154" w:rsidRPr="00F47154">
        <w:rPr>
          <w:szCs w:val="24"/>
        </w:rPr>
        <w:t xml:space="preserve"> </w:t>
      </w:r>
      <w:r w:rsidR="00F47154" w:rsidRPr="00E40C89">
        <w:rPr>
          <w:szCs w:val="24"/>
        </w:rPr>
        <w:t>pedagogų</w:t>
      </w:r>
      <w:r w:rsidR="007A7694" w:rsidRPr="00E40C89">
        <w:rPr>
          <w:szCs w:val="24"/>
        </w:rPr>
        <w:t xml:space="preserve">. </w:t>
      </w:r>
    </w:p>
    <w:p w14:paraId="7A94A238" w14:textId="77777777" w:rsidR="007A7694" w:rsidRPr="00E40C89" w:rsidRDefault="007A7694" w:rsidP="00E40C89">
      <w:pPr>
        <w:rPr>
          <w:szCs w:val="24"/>
        </w:rPr>
      </w:pPr>
    </w:p>
    <w:p w14:paraId="33202646" w14:textId="1B1FC7C7" w:rsidR="007A7694" w:rsidRPr="00E40C89" w:rsidRDefault="007A7694" w:rsidP="00E40C89">
      <w:pPr>
        <w:rPr>
          <w:b/>
          <w:color w:val="C00000"/>
        </w:rPr>
      </w:pPr>
      <w:r w:rsidRPr="00E40C89">
        <w:rPr>
          <w:noProof/>
          <w:lang w:eastAsia="lt-LT"/>
        </w:rPr>
        <w:lastRenderedPageBreak/>
        <w:drawing>
          <wp:inline distT="0" distB="0" distL="0" distR="0" wp14:anchorId="65DFA5BD" wp14:editId="418013DC">
            <wp:extent cx="6121400" cy="2280920"/>
            <wp:effectExtent l="0" t="0" r="12700" b="508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69080B" w14:textId="3BFF37EA" w:rsidR="007A7694" w:rsidRDefault="007A7694" w:rsidP="00E40C89">
      <w:pPr>
        <w:jc w:val="center"/>
        <w:rPr>
          <w:sz w:val="20"/>
        </w:rPr>
      </w:pPr>
      <w:r w:rsidRPr="00E40C89">
        <w:rPr>
          <w:sz w:val="20"/>
        </w:rPr>
        <w:t xml:space="preserve">Duomenų šaltinis </w:t>
      </w:r>
      <w:r w:rsidR="00F47154">
        <w:rPr>
          <w:sz w:val="20"/>
        </w:rPr>
        <w:t xml:space="preserve">– </w:t>
      </w:r>
      <w:r w:rsidRPr="00E40C89">
        <w:rPr>
          <w:sz w:val="20"/>
        </w:rPr>
        <w:t>ŠVIS</w:t>
      </w:r>
    </w:p>
    <w:p w14:paraId="5B47CAF6" w14:textId="77777777" w:rsidR="00E40C89" w:rsidRPr="00E40C89" w:rsidRDefault="00E40C89" w:rsidP="00E40C89">
      <w:pPr>
        <w:ind w:firstLine="1296"/>
        <w:jc w:val="both"/>
        <w:rPr>
          <w:szCs w:val="24"/>
        </w:rPr>
      </w:pPr>
    </w:p>
    <w:p w14:paraId="1F668C2D" w14:textId="13FEFC21" w:rsidR="007A7694" w:rsidRPr="00E40C89" w:rsidRDefault="008A2102" w:rsidP="00E40C89">
      <w:pPr>
        <w:ind w:firstLine="720"/>
        <w:jc w:val="both"/>
      </w:pPr>
      <w:r w:rsidRPr="00E40C89">
        <w:rPr>
          <w:szCs w:val="24"/>
        </w:rPr>
        <w:t xml:space="preserve">14. </w:t>
      </w:r>
      <w:r w:rsidR="007A7694" w:rsidRPr="00E40C89">
        <w:rPr>
          <w:szCs w:val="24"/>
        </w:rPr>
        <w:t xml:space="preserve">Siekdama stiprinti miesto pedagogų bendruomenę, </w:t>
      </w:r>
      <w:r w:rsidR="007A7694" w:rsidRPr="00E40C89">
        <w:t xml:space="preserve">pritraukti ir paskatinti </w:t>
      </w:r>
      <w:r w:rsidR="007A7694" w:rsidRPr="00E40C89">
        <w:rPr>
          <w:bCs/>
        </w:rPr>
        <w:t>trūkstamų specialybių pedagogus</w:t>
      </w:r>
      <w:r w:rsidR="007A7694" w:rsidRPr="00E40C89">
        <w:t xml:space="preserve"> dirbti pedagoginį darbą</w:t>
      </w:r>
      <w:r w:rsidR="007A7694" w:rsidRPr="00E40C89">
        <w:rPr>
          <w:rFonts w:eastAsia="Lucida Sans Unicode"/>
          <w:lang w:eastAsia="ar-SA"/>
        </w:rPr>
        <w:t xml:space="preserve"> Panevėžio miesto ugdymo įstaigose</w:t>
      </w:r>
      <w:r w:rsidR="007A7694" w:rsidRPr="00E40C89">
        <w:rPr>
          <w:szCs w:val="24"/>
        </w:rPr>
        <w:t xml:space="preserve"> </w:t>
      </w:r>
      <w:r w:rsidR="00F47154" w:rsidRPr="00E40C89">
        <w:rPr>
          <w:szCs w:val="24"/>
        </w:rPr>
        <w:t xml:space="preserve">Savivaldybė </w:t>
      </w:r>
      <w:r w:rsidR="007A7694" w:rsidRPr="00E40C89">
        <w:rPr>
          <w:szCs w:val="24"/>
        </w:rPr>
        <w:t>nuo 2018 m. įgyvendina jaunų specialistų pritraukimo į miesto ugdymo įstaigas ir pedagogų perkvalifikavimo programą. P</w:t>
      </w:r>
      <w:r w:rsidR="007A7694" w:rsidRPr="00E40C89">
        <w:rPr>
          <w:bCs/>
        </w:rPr>
        <w:t xml:space="preserve">arengtas </w:t>
      </w:r>
      <w:r w:rsidR="00F47154" w:rsidRPr="00E40C89">
        <w:rPr>
          <w:bCs/>
        </w:rPr>
        <w:t xml:space="preserve">Finansinės </w:t>
      </w:r>
      <w:r w:rsidR="007A7694" w:rsidRPr="00E40C89">
        <w:rPr>
          <w:bCs/>
        </w:rPr>
        <w:t>paramos trūkstamų specialybių pedagogams skyrimo tvarkos aprašas, kuris</w:t>
      </w:r>
      <w:r w:rsidR="007A7694" w:rsidRPr="00E40C89">
        <w:t xml:space="preserve"> reglamentuoja finansinės paramos skyrimo tvarką asmenims, studijuojantiems Lietuvos aukštosiose mokyklose</w:t>
      </w:r>
      <w:r w:rsidR="007A7694" w:rsidRPr="00E40C89">
        <w:rPr>
          <w:bCs/>
        </w:rPr>
        <w:t xml:space="preserve"> ugdymo mokslų  profesinio bakalauro, bakalauro, studijų ar perkvalifikavimo programas,</w:t>
      </w:r>
      <w:r w:rsidR="007A7694" w:rsidRPr="00E40C89">
        <w:t xml:space="preserve"> ir trūkstamų specialybių pedagogams, atvykstantiems dirbti į Panevėžio miesto ugdymo įstaigas. Finansinė parama – dalinis studijų finansavimas, vienkartinė išmoka kelionės išlaidoms sesijų metu apmokėti arba vienkartinė išmoka persikėlimo išlaidoms iš dalies kompensuoti trūkstamų specialybių pedagogams skiriama iš Panevėžio miesto savivaldybės biudžeto (toliau – </w:t>
      </w:r>
      <w:r w:rsidR="007A7694" w:rsidRPr="00A949C1">
        <w:t>Savivaldybės biudžetas</w:t>
      </w:r>
      <w:r w:rsidR="007A7694" w:rsidRPr="00E40C89">
        <w:t>) Švietimo ir ugdymo programoje numatytų lėšų</w:t>
      </w:r>
      <w:r w:rsidRPr="00E40C89">
        <w:t>.</w:t>
      </w:r>
    </w:p>
    <w:p w14:paraId="3C1C6FB1" w14:textId="488A23FC" w:rsidR="007A7694" w:rsidRPr="00F47154" w:rsidRDefault="008A2102" w:rsidP="00F47154">
      <w:pPr>
        <w:ind w:firstLine="720"/>
        <w:jc w:val="both"/>
      </w:pPr>
      <w:r w:rsidRPr="00E40C89">
        <w:rPr>
          <w:szCs w:val="24"/>
        </w:rPr>
        <w:t xml:space="preserve">15. </w:t>
      </w:r>
      <w:r w:rsidR="007A7694" w:rsidRPr="00E40C89">
        <w:rPr>
          <w:szCs w:val="24"/>
        </w:rPr>
        <w:t>Jaunų</w:t>
      </w:r>
      <w:r w:rsidR="00136494" w:rsidRPr="00E40C89">
        <w:rPr>
          <w:szCs w:val="24"/>
        </w:rPr>
        <w:t>jų</w:t>
      </w:r>
      <w:r w:rsidR="007A7694" w:rsidRPr="00E40C89">
        <w:rPr>
          <w:szCs w:val="24"/>
        </w:rPr>
        <w:t xml:space="preserve"> specialistų pritraukimo į miesto ugdymo įstaigas ir pedagogų perkvalifikavimo programai nuo </w:t>
      </w:r>
      <w:r w:rsidRPr="00E40C89">
        <w:rPr>
          <w:szCs w:val="24"/>
        </w:rPr>
        <w:t>2018 m. kasmet buvo numatoma 10 000 E</w:t>
      </w:r>
      <w:r w:rsidR="007A7694" w:rsidRPr="00E40C89">
        <w:rPr>
          <w:szCs w:val="24"/>
        </w:rPr>
        <w:t>ur</w:t>
      </w:r>
      <w:r w:rsidRPr="00E40C89">
        <w:rPr>
          <w:szCs w:val="24"/>
        </w:rPr>
        <w:t xml:space="preserve">. </w:t>
      </w:r>
      <w:r w:rsidR="007A7694" w:rsidRPr="00E40C89">
        <w:t xml:space="preserve">2018 m. </w:t>
      </w:r>
      <w:r w:rsidR="00F47154" w:rsidRPr="00E40C89">
        <w:t xml:space="preserve">Savivaldybės </w:t>
      </w:r>
      <w:r w:rsidR="007A7694" w:rsidRPr="00E40C89">
        <w:t xml:space="preserve">finansinė parama – </w:t>
      </w:r>
      <w:r w:rsidRPr="00E40C89">
        <w:t>1415 E</w:t>
      </w:r>
      <w:r w:rsidR="007A7694" w:rsidRPr="00E40C89">
        <w:t xml:space="preserve">ur </w:t>
      </w:r>
      <w:r w:rsidR="00F47154">
        <w:t xml:space="preserve">– </w:t>
      </w:r>
      <w:r w:rsidR="007A7694" w:rsidRPr="00E40C89">
        <w:t>skirta 7 trūkstamų specialybių pedagog</w:t>
      </w:r>
      <w:r w:rsidR="00F47154">
        <w:t>a</w:t>
      </w:r>
      <w:r w:rsidR="007A7694" w:rsidRPr="00E40C89">
        <w:t>ms: 4 Panevėžio kolegijos student</w:t>
      </w:r>
      <w:r w:rsidR="00F47154">
        <w:t>a</w:t>
      </w:r>
      <w:r w:rsidR="007A7694" w:rsidRPr="00E40C89">
        <w:t xml:space="preserve">ms (ikimokyklinis ir priešmokyklinis ugdymas), kelionės išlaidos </w:t>
      </w:r>
      <w:r w:rsidR="00F47154">
        <w:t xml:space="preserve">iš dalies </w:t>
      </w:r>
      <w:r w:rsidR="007A7694" w:rsidRPr="00E40C89">
        <w:t>kompensuotos 3 miesto lopšeliuose-darželiuose dirban</w:t>
      </w:r>
      <w:r w:rsidR="00F47154">
        <w:t xml:space="preserve">tiems </w:t>
      </w:r>
      <w:r w:rsidR="007A7694" w:rsidRPr="00E40C89">
        <w:t>ir persikvalifikuojan</w:t>
      </w:r>
      <w:r w:rsidR="00F47154">
        <w:t>tiems</w:t>
      </w:r>
      <w:r w:rsidR="007A7694" w:rsidRPr="00E40C89">
        <w:t xml:space="preserve"> pedagog</w:t>
      </w:r>
      <w:r w:rsidR="00F47154">
        <w:t>a</w:t>
      </w:r>
      <w:r w:rsidR="007A7694" w:rsidRPr="00E40C89">
        <w:t xml:space="preserve">ms. 2019 m. </w:t>
      </w:r>
      <w:r w:rsidR="00F47154" w:rsidRPr="00E40C89">
        <w:t xml:space="preserve">Savivaldybės </w:t>
      </w:r>
      <w:r w:rsidR="007A7694" w:rsidRPr="00E40C89">
        <w:t xml:space="preserve">finansinė parama – 5006 </w:t>
      </w:r>
      <w:r w:rsidRPr="00E40C89">
        <w:t>E</w:t>
      </w:r>
      <w:r w:rsidR="007A7694" w:rsidRPr="00E40C89">
        <w:t xml:space="preserve">ur </w:t>
      </w:r>
      <w:r w:rsidR="00F47154">
        <w:t xml:space="preserve">– </w:t>
      </w:r>
      <w:r w:rsidR="007A7694" w:rsidRPr="00E40C89">
        <w:t>skirta 11 trūkstamų specialybių pedagogų: 7 Panevėžio kolegijos student</w:t>
      </w:r>
      <w:r w:rsidR="00F47154">
        <w:t>a</w:t>
      </w:r>
      <w:r w:rsidR="007A7694" w:rsidRPr="00E40C89">
        <w:t xml:space="preserve">ms (ikimokyklinis ir priešmokyklinis ugdymas), kelionės išlaidos </w:t>
      </w:r>
      <w:r w:rsidR="00F47154">
        <w:t xml:space="preserve">iš dalies </w:t>
      </w:r>
      <w:r w:rsidR="007A7694" w:rsidRPr="00E40C89">
        <w:t>kompensuotos 4 miesto lopšeliuose-darželiuose dirban</w:t>
      </w:r>
      <w:r w:rsidR="00F47154">
        <w:t xml:space="preserve">tiems </w:t>
      </w:r>
      <w:r w:rsidR="007A7694" w:rsidRPr="00E40C89">
        <w:t>persikvalifikuojan</w:t>
      </w:r>
      <w:r w:rsidR="00F47154">
        <w:t>tiems</w:t>
      </w:r>
      <w:r w:rsidR="007A7694" w:rsidRPr="00E40C89">
        <w:t xml:space="preserve"> pedagog</w:t>
      </w:r>
      <w:r w:rsidR="00F47154">
        <w:t>a</w:t>
      </w:r>
      <w:r w:rsidR="007A7694" w:rsidRPr="00E40C89">
        <w:t>ms.</w:t>
      </w:r>
      <w:r w:rsidR="007A7694" w:rsidRPr="00E40C89">
        <w:rPr>
          <w:szCs w:val="24"/>
        </w:rPr>
        <w:t xml:space="preserve"> Iš šios programos lėšų Panevėžio švietimo centras 2019 m. įgyvendino mokytojų ir mokyklų vadovų mentorystės programą. </w:t>
      </w:r>
      <w:r w:rsidR="007A7694" w:rsidRPr="00E40C89">
        <w:t>Šios programos siekis</w:t>
      </w:r>
      <w:r w:rsidR="007A7694" w:rsidRPr="00E40C89">
        <w:rPr>
          <w:szCs w:val="24"/>
        </w:rPr>
        <w:t xml:space="preserve"> – </w:t>
      </w:r>
      <w:r w:rsidR="007A7694" w:rsidRPr="00E40C89">
        <w:t>paskatinti mokyklų vadovus, mokytojus ir mokyklas veiksmingiems pokyčiams dėl geresnių mokinių ugdymo rezultatų</w:t>
      </w:r>
      <w:r w:rsidR="007A7694" w:rsidRPr="00E40C89">
        <w:rPr>
          <w:rFonts w:ascii="Calibri" w:hAnsi="Calibri" w:cs="Calibri"/>
          <w:color w:val="000000"/>
        </w:rPr>
        <w:t>.</w:t>
      </w:r>
      <w:r w:rsidR="007A7694" w:rsidRPr="00E40C89">
        <w:t xml:space="preserve"> </w:t>
      </w:r>
      <w:r w:rsidR="007A7694" w:rsidRPr="00E40C89">
        <w:rPr>
          <w:szCs w:val="24"/>
        </w:rPr>
        <w:t>2020 m.</w:t>
      </w:r>
      <w:r w:rsidR="007A7694" w:rsidRPr="00E40C89">
        <w:t xml:space="preserve"> </w:t>
      </w:r>
      <w:r w:rsidR="00F47154" w:rsidRPr="00E40C89">
        <w:t xml:space="preserve">Savivaldybės </w:t>
      </w:r>
      <w:r w:rsidR="007A7694" w:rsidRPr="00E40C89">
        <w:t xml:space="preserve">finansinė parama – </w:t>
      </w:r>
      <w:r w:rsidRPr="00E40C89">
        <w:t>6894 E</w:t>
      </w:r>
      <w:r w:rsidR="007A7694" w:rsidRPr="00E40C89">
        <w:t>ur</w:t>
      </w:r>
      <w:r w:rsidR="007A7694" w:rsidRPr="00E40C89">
        <w:rPr>
          <w:szCs w:val="24"/>
        </w:rPr>
        <w:t xml:space="preserve"> </w:t>
      </w:r>
      <w:r w:rsidR="00F47154">
        <w:rPr>
          <w:szCs w:val="24"/>
        </w:rPr>
        <w:t xml:space="preserve">– </w:t>
      </w:r>
      <w:r w:rsidR="007A7694" w:rsidRPr="00E40C89">
        <w:rPr>
          <w:szCs w:val="24"/>
        </w:rPr>
        <w:t>skirta toliau iš dalies finansuoti ir pusę metinės studijų kainos apmokėt</w:t>
      </w:r>
      <w:r w:rsidR="00F47154">
        <w:rPr>
          <w:szCs w:val="24"/>
        </w:rPr>
        <w:t>i</w:t>
      </w:r>
      <w:r w:rsidR="007A7694" w:rsidRPr="00E40C89">
        <w:rPr>
          <w:szCs w:val="24"/>
        </w:rPr>
        <w:t xml:space="preserve"> Panevėžio kolegijos 6 nuolatinėse </w:t>
      </w:r>
      <w:r w:rsidR="00F47154">
        <w:rPr>
          <w:szCs w:val="24"/>
        </w:rPr>
        <w:t>ir</w:t>
      </w:r>
      <w:r w:rsidR="007A7694" w:rsidRPr="00E40C89">
        <w:rPr>
          <w:szCs w:val="24"/>
        </w:rPr>
        <w:t xml:space="preserve"> ištęstinėse studijose studijuojan</w:t>
      </w:r>
      <w:r w:rsidR="00F47154">
        <w:rPr>
          <w:szCs w:val="24"/>
        </w:rPr>
        <w:t>tiems</w:t>
      </w:r>
      <w:r w:rsidR="007A7694" w:rsidRPr="00E40C89">
        <w:rPr>
          <w:szCs w:val="24"/>
        </w:rPr>
        <w:t xml:space="preserve"> student</w:t>
      </w:r>
      <w:r w:rsidR="00F47154">
        <w:rPr>
          <w:szCs w:val="24"/>
        </w:rPr>
        <w:t>a</w:t>
      </w:r>
      <w:r w:rsidR="007A7694" w:rsidRPr="00E40C89">
        <w:rPr>
          <w:szCs w:val="24"/>
        </w:rPr>
        <w:t>ms, naujai skirta finansinė parama 4 Panevėžio kolegijos ikimokyklinį ir priešmokyklinį ugdymą studijuojan</w:t>
      </w:r>
      <w:r w:rsidR="00F47154">
        <w:rPr>
          <w:szCs w:val="24"/>
        </w:rPr>
        <w:t>tiems</w:t>
      </w:r>
      <w:r w:rsidR="007A7694" w:rsidRPr="00E40C89">
        <w:rPr>
          <w:szCs w:val="24"/>
        </w:rPr>
        <w:t xml:space="preserve"> student</w:t>
      </w:r>
      <w:r w:rsidR="003723E8">
        <w:rPr>
          <w:szCs w:val="24"/>
        </w:rPr>
        <w:t>a</w:t>
      </w:r>
      <w:r w:rsidR="007A7694" w:rsidRPr="00E40C89">
        <w:rPr>
          <w:szCs w:val="24"/>
        </w:rPr>
        <w:t xml:space="preserve">ms, kelionės išlaidos sesijų metų </w:t>
      </w:r>
      <w:r w:rsidR="003723E8">
        <w:t>iš dalies</w:t>
      </w:r>
      <w:r w:rsidR="007A7694" w:rsidRPr="00E40C89">
        <w:t xml:space="preserve"> kompensuotos 1 persikvalifikuojančia</w:t>
      </w:r>
      <w:r w:rsidR="003723E8">
        <w:t>m</w:t>
      </w:r>
      <w:r w:rsidR="007A7694" w:rsidRPr="00E40C89">
        <w:t xml:space="preserve"> pedagog</w:t>
      </w:r>
      <w:r w:rsidR="003723E8">
        <w:t>u</w:t>
      </w:r>
      <w:r w:rsidR="007A7694" w:rsidRPr="00E40C89">
        <w:t>i</w:t>
      </w:r>
      <w:r w:rsidR="007A7694" w:rsidRPr="00E40C89">
        <w:rPr>
          <w:szCs w:val="24"/>
        </w:rPr>
        <w:t xml:space="preserve">. </w:t>
      </w:r>
    </w:p>
    <w:p w14:paraId="29F5AEDF" w14:textId="0378D4D9" w:rsidR="007A7694" w:rsidRPr="00E40C89" w:rsidRDefault="008A2102" w:rsidP="00E40C89">
      <w:pPr>
        <w:ind w:firstLine="720"/>
        <w:jc w:val="both"/>
        <w:rPr>
          <w:szCs w:val="24"/>
        </w:rPr>
      </w:pPr>
      <w:r w:rsidRPr="00E40C89">
        <w:rPr>
          <w:szCs w:val="24"/>
        </w:rPr>
        <w:t xml:space="preserve">16. </w:t>
      </w:r>
      <w:r w:rsidR="007A7694" w:rsidRPr="00E40C89">
        <w:rPr>
          <w:szCs w:val="24"/>
        </w:rPr>
        <w:t xml:space="preserve">Siekiant populiarinti ir </w:t>
      </w:r>
      <w:r w:rsidR="007A7694" w:rsidRPr="00E40C89">
        <w:t>viešinti pedagogo profesiją kasmet</w:t>
      </w:r>
      <w:r w:rsidR="007A7694" w:rsidRPr="00E40C89">
        <w:rPr>
          <w:szCs w:val="24"/>
        </w:rPr>
        <w:t xml:space="preserve"> </w:t>
      </w:r>
      <w:r w:rsidR="0016638B" w:rsidRPr="00E40C89">
        <w:t xml:space="preserve">įteikiama „Metų mokytojo“ </w:t>
      </w:r>
      <w:r w:rsidR="007A7694" w:rsidRPr="00E40C89">
        <w:t xml:space="preserve">premija – </w:t>
      </w:r>
      <w:r w:rsidRPr="00E40C89">
        <w:t>po 1000 E</w:t>
      </w:r>
      <w:r w:rsidR="007A7694" w:rsidRPr="00E40C89">
        <w:t>ur 3 geriausiems Panevėžio miesto pedagogams.</w:t>
      </w:r>
      <w:r w:rsidR="007A7694" w:rsidRPr="00E40C89">
        <w:rPr>
          <w:szCs w:val="24"/>
        </w:rPr>
        <w:t xml:space="preserve"> </w:t>
      </w:r>
    </w:p>
    <w:p w14:paraId="5142651F" w14:textId="0169F7E4" w:rsidR="007A7694" w:rsidRPr="00E40C89" w:rsidRDefault="004372D3" w:rsidP="00E40C89">
      <w:pPr>
        <w:ind w:firstLine="720"/>
        <w:jc w:val="both"/>
        <w:rPr>
          <w:szCs w:val="24"/>
          <w:lang w:eastAsia="lt-LT"/>
        </w:rPr>
      </w:pPr>
      <w:r w:rsidRPr="00E40C89">
        <w:rPr>
          <w:color w:val="000000"/>
          <w:spacing w:val="6"/>
          <w:szCs w:val="24"/>
          <w:shd w:val="clear" w:color="auto" w:fill="FFFFFF"/>
        </w:rPr>
        <w:t xml:space="preserve">17. </w:t>
      </w:r>
      <w:r w:rsidR="007A7694" w:rsidRPr="00E40C89">
        <w:rPr>
          <w:color w:val="000000"/>
          <w:spacing w:val="6"/>
          <w:szCs w:val="24"/>
          <w:shd w:val="clear" w:color="auto" w:fill="FFFFFF"/>
        </w:rPr>
        <w:t>Vyriausybės strateginės analizės centro (STRATA) prognozė</w:t>
      </w:r>
      <w:r w:rsidR="008A2102" w:rsidRPr="00E40C89">
        <w:rPr>
          <w:color w:val="000000"/>
          <w:spacing w:val="6"/>
          <w:szCs w:val="24"/>
          <w:shd w:val="clear" w:color="auto" w:fill="FFFFFF"/>
        </w:rPr>
        <w:t xml:space="preserve"> </w:t>
      </w:r>
      <w:r w:rsidR="004F3A26">
        <w:rPr>
          <w:color w:val="000000"/>
          <w:spacing w:val="6"/>
          <w:szCs w:val="24"/>
          <w:shd w:val="clear" w:color="auto" w:fill="FFFFFF"/>
        </w:rPr>
        <w:t>(</w:t>
      </w:r>
      <w:r w:rsidR="008A2102" w:rsidRPr="00E40C89">
        <w:t>https://strata.gov.lt/images/tyrimai/2021-metai/20210318-pedagogu-poreikio-prognozavimas-rezultatu-apzvalga.pdf</w:t>
      </w:r>
      <w:r w:rsidR="004F3A26">
        <w:t>)</w:t>
      </w:r>
      <w:r w:rsidR="007A7694" w:rsidRPr="00E40C89">
        <w:rPr>
          <w:color w:val="000000"/>
          <w:spacing w:val="6"/>
          <w:shd w:val="clear" w:color="auto" w:fill="FFFFFF"/>
        </w:rPr>
        <w:t xml:space="preserve"> rodo</w:t>
      </w:r>
      <w:r w:rsidR="008A2102" w:rsidRPr="00E40C89">
        <w:rPr>
          <w:color w:val="000000"/>
          <w:spacing w:val="6"/>
          <w:shd w:val="clear" w:color="auto" w:fill="FFFFFF"/>
        </w:rPr>
        <w:t xml:space="preserve">, </w:t>
      </w:r>
      <w:r w:rsidR="007A7694" w:rsidRPr="00E40C89">
        <w:rPr>
          <w:color w:val="000000"/>
          <w:spacing w:val="6"/>
          <w:shd w:val="clear" w:color="auto" w:fill="FFFFFF"/>
        </w:rPr>
        <w:t>kad</w:t>
      </w:r>
      <w:r w:rsidR="008A2102" w:rsidRPr="00E40C89">
        <w:rPr>
          <w:color w:val="000000"/>
          <w:spacing w:val="6"/>
          <w:shd w:val="clear" w:color="auto" w:fill="FFFFFF"/>
        </w:rPr>
        <w:t xml:space="preserve"> </w:t>
      </w:r>
      <w:r w:rsidR="007A7694" w:rsidRPr="00E40C89">
        <w:rPr>
          <w:color w:val="000000"/>
          <w:spacing w:val="6"/>
          <w:szCs w:val="24"/>
          <w:shd w:val="clear" w:color="auto" w:fill="FFFFFF"/>
        </w:rPr>
        <w:t xml:space="preserve">per ateinančius 4 metus </w:t>
      </w:r>
      <w:r w:rsidR="007A7694" w:rsidRPr="00E40C89">
        <w:rPr>
          <w:color w:val="000000"/>
          <w:spacing w:val="6"/>
          <w:shd w:val="clear" w:color="auto" w:fill="FFFFFF"/>
        </w:rPr>
        <w:t xml:space="preserve">Lietuvos bendrojo ugdymo mokykloms </w:t>
      </w:r>
      <w:r w:rsidR="007A7694" w:rsidRPr="00E40C89">
        <w:rPr>
          <w:color w:val="000000"/>
          <w:spacing w:val="6"/>
          <w:szCs w:val="24"/>
          <w:shd w:val="clear" w:color="auto" w:fill="FFFFFF"/>
        </w:rPr>
        <w:t>reikės 716–739 naujų matematikos</w:t>
      </w:r>
      <w:r w:rsidR="007A7694" w:rsidRPr="00E40C89">
        <w:rPr>
          <w:color w:val="000000"/>
          <w:spacing w:val="6"/>
          <w:shd w:val="clear" w:color="auto" w:fill="FFFFFF"/>
        </w:rPr>
        <w:t xml:space="preserve">, </w:t>
      </w:r>
      <w:r w:rsidR="007A7694" w:rsidRPr="00E40C89">
        <w:rPr>
          <w:color w:val="000000"/>
          <w:spacing w:val="6"/>
          <w:szCs w:val="24"/>
          <w:shd w:val="clear" w:color="auto" w:fill="FFFFFF"/>
        </w:rPr>
        <w:t>642–694</w:t>
      </w:r>
      <w:r w:rsidR="007A7694" w:rsidRPr="00E40C89">
        <w:rPr>
          <w:color w:val="000000"/>
          <w:spacing w:val="6"/>
          <w:shd w:val="clear" w:color="auto" w:fill="FFFFFF"/>
        </w:rPr>
        <w:t xml:space="preserve"> lietuvių kalbos </w:t>
      </w:r>
      <w:r w:rsidR="007A7694" w:rsidRPr="00E40C89">
        <w:rPr>
          <w:color w:val="000000"/>
          <w:spacing w:val="6"/>
          <w:szCs w:val="24"/>
          <w:shd w:val="clear" w:color="auto" w:fill="FFFFFF"/>
        </w:rPr>
        <w:t>mokytojų. STRATA prognozuoja, kad per ketverius metus kai kurių dalykų mokytojų gretas papildys nedidelis skaičius nauj</w:t>
      </w:r>
      <w:r w:rsidR="003723E8">
        <w:rPr>
          <w:color w:val="000000"/>
          <w:spacing w:val="6"/>
          <w:szCs w:val="24"/>
          <w:shd w:val="clear" w:color="auto" w:fill="FFFFFF"/>
        </w:rPr>
        <w:t>ų</w:t>
      </w:r>
      <w:r w:rsidR="007A7694" w:rsidRPr="00E40C89">
        <w:rPr>
          <w:color w:val="000000"/>
          <w:spacing w:val="6"/>
          <w:szCs w:val="24"/>
          <w:shd w:val="clear" w:color="auto" w:fill="FFFFFF"/>
        </w:rPr>
        <w:t xml:space="preserve"> baig</w:t>
      </w:r>
      <w:r w:rsidR="004F3A26">
        <w:rPr>
          <w:color w:val="000000"/>
          <w:spacing w:val="6"/>
          <w:szCs w:val="24"/>
          <w:shd w:val="clear" w:color="auto" w:fill="FFFFFF"/>
        </w:rPr>
        <w:t>usių</w:t>
      </w:r>
      <w:r w:rsidR="007A7694" w:rsidRPr="00E40C89">
        <w:rPr>
          <w:color w:val="000000"/>
          <w:spacing w:val="6"/>
          <w:szCs w:val="24"/>
          <w:shd w:val="clear" w:color="auto" w:fill="FFFFFF"/>
        </w:rPr>
        <w:t xml:space="preserve"> studijas pedagogų. Beveik neprognozuojamas matematikos, IT, anglų kalbos ir gamtos mokslų mokyto</w:t>
      </w:r>
      <w:r w:rsidR="007A7694" w:rsidRPr="00E40C89">
        <w:rPr>
          <w:color w:val="000000"/>
          <w:spacing w:val="6"/>
          <w:shd w:val="clear" w:color="auto" w:fill="FFFFFF"/>
        </w:rPr>
        <w:t xml:space="preserve">jų gretų pasipildymas. </w:t>
      </w:r>
      <w:r w:rsidR="007A7694" w:rsidRPr="00E40C89">
        <w:rPr>
          <w:color w:val="212529"/>
          <w:szCs w:val="24"/>
          <w:lang w:eastAsia="lt-LT"/>
        </w:rPr>
        <w:t xml:space="preserve">Kasmet į mokyklas patenka vis mažiau pedagogines studijas baigusių jaunų specialistų. Mažiau nei 10 proc. pedagoginį išsilavinimą ir </w:t>
      </w:r>
      <w:r w:rsidR="007A7694" w:rsidRPr="00E40C89">
        <w:rPr>
          <w:color w:val="212529"/>
          <w:szCs w:val="24"/>
          <w:lang w:eastAsia="lt-LT"/>
        </w:rPr>
        <w:lastRenderedPageBreak/>
        <w:t xml:space="preserve">pedagogo profesinę kvalifikaciją įgijusių Lietuvos aukštųjų mokyklų absolventų įsidarbina mokykloje, o kai kurios savivaldybės susiduria su mokytojų trūkumu. </w:t>
      </w:r>
      <w:r w:rsidR="007A7694" w:rsidRPr="00E40C89">
        <w:rPr>
          <w:szCs w:val="24"/>
          <w:lang w:eastAsia="lt-LT"/>
        </w:rPr>
        <w:t>Užimtumo tarnybos duomenimis</w:t>
      </w:r>
      <w:r w:rsidR="004F3A26">
        <w:rPr>
          <w:szCs w:val="24"/>
          <w:lang w:eastAsia="lt-LT"/>
        </w:rPr>
        <w:t>,</w:t>
      </w:r>
      <w:r w:rsidR="007A7694" w:rsidRPr="00E40C89">
        <w:rPr>
          <w:color w:val="5B9BD5"/>
          <w:szCs w:val="24"/>
          <w:lang w:eastAsia="lt-LT"/>
        </w:rPr>
        <w:t xml:space="preserve"> </w:t>
      </w:r>
      <w:r w:rsidR="007A7694" w:rsidRPr="00E40C89">
        <w:rPr>
          <w:color w:val="212529"/>
          <w:szCs w:val="24"/>
          <w:lang w:eastAsia="lt-LT"/>
        </w:rPr>
        <w:t xml:space="preserve">2019 m. ikimokyklinio ugdymo mokytojų trūko 36-iose, pradinio ugdymo mokytojų – 24-iose, pagrindinio ir vidurinio ugdymo mokytojų – 27-iose, profesijos mokytojų – 19-oje savivaldybių. </w:t>
      </w:r>
      <w:r w:rsidR="007A7694" w:rsidRPr="00E40C89">
        <w:rPr>
          <w:color w:val="333333"/>
          <w:szCs w:val="24"/>
          <w:lang w:eastAsia="lt-LT"/>
        </w:rPr>
        <w:t xml:space="preserve">2020 m. </w:t>
      </w:r>
      <w:r w:rsidR="007A7694" w:rsidRPr="00E40C89">
        <w:rPr>
          <w:szCs w:val="24"/>
          <w:lang w:eastAsia="lt-LT"/>
        </w:rPr>
        <w:t xml:space="preserve">Panevėžyje užsiregistravo 257 </w:t>
      </w:r>
      <w:r w:rsidR="004F3A26">
        <w:rPr>
          <w:szCs w:val="24"/>
          <w:lang w:eastAsia="lt-LT"/>
        </w:rPr>
        <w:t xml:space="preserve">pageidaujantys dirbti </w:t>
      </w:r>
      <w:r w:rsidR="007A7694" w:rsidRPr="00E40C89">
        <w:rPr>
          <w:szCs w:val="24"/>
          <w:lang w:eastAsia="lt-LT"/>
        </w:rPr>
        <w:t>švietimo srit</w:t>
      </w:r>
      <w:r w:rsidR="004F3A26">
        <w:rPr>
          <w:szCs w:val="24"/>
          <w:lang w:eastAsia="lt-LT"/>
        </w:rPr>
        <w:t>yje</w:t>
      </w:r>
      <w:r w:rsidR="007A7694" w:rsidRPr="00E40C89">
        <w:rPr>
          <w:szCs w:val="24"/>
          <w:lang w:eastAsia="lt-LT"/>
        </w:rPr>
        <w:t xml:space="preserve"> asmenys: 25 ikimokyklinio ugdymo mokytojai, 21 socialinis pedagogas, 20 pradinio ugdymo, 15 kūno kultūros, 14 muzikos mokytojų, 13 anglų kalbos mokytojų. 2021 m. gegužės 1 d. duomenimis</w:t>
      </w:r>
      <w:r w:rsidR="004F3A26">
        <w:rPr>
          <w:szCs w:val="24"/>
          <w:lang w:eastAsia="lt-LT"/>
        </w:rPr>
        <w:t>,</w:t>
      </w:r>
      <w:r w:rsidR="007A7694" w:rsidRPr="00E40C89">
        <w:rPr>
          <w:szCs w:val="24"/>
          <w:lang w:eastAsia="lt-LT"/>
        </w:rPr>
        <w:t xml:space="preserve"> </w:t>
      </w:r>
      <w:r w:rsidR="004F3A26" w:rsidRPr="00E40C89">
        <w:rPr>
          <w:szCs w:val="24"/>
          <w:lang w:eastAsia="lt-LT"/>
        </w:rPr>
        <w:t xml:space="preserve">Užimtumo tarnyboje Panevėžyje </w:t>
      </w:r>
      <w:r w:rsidR="007A7694" w:rsidRPr="00E40C89">
        <w:rPr>
          <w:szCs w:val="24"/>
          <w:lang w:eastAsia="lt-LT"/>
        </w:rPr>
        <w:t>registruot</w:t>
      </w:r>
      <w:r w:rsidR="004F3A26">
        <w:rPr>
          <w:szCs w:val="24"/>
          <w:lang w:eastAsia="lt-LT"/>
        </w:rPr>
        <w:t>a</w:t>
      </w:r>
      <w:r w:rsidR="007A7694" w:rsidRPr="00E40C89">
        <w:rPr>
          <w:szCs w:val="24"/>
          <w:lang w:eastAsia="lt-LT"/>
        </w:rPr>
        <w:t xml:space="preserve"> 18 lopšelio-darželio auklėtojų, 13 socialinių pedagogų, 13 muzikos, 11 pradinio ugdymo, 8 kūno kultūros, 8 anglų kalbos, 7 dailės, 5 lietuvių kalbos mokytojai.</w:t>
      </w:r>
    </w:p>
    <w:p w14:paraId="7B2E345E" w14:textId="11DAE631" w:rsidR="007A7694" w:rsidRPr="00E40C89" w:rsidRDefault="00917E9F" w:rsidP="00E40C89">
      <w:pPr>
        <w:ind w:firstLine="720"/>
        <w:jc w:val="both"/>
      </w:pPr>
      <w:r w:rsidRPr="00E40C89">
        <w:t xml:space="preserve">18. </w:t>
      </w:r>
      <w:r w:rsidR="007A7694" w:rsidRPr="00E40C89">
        <w:t>Pastaraisiais metais Lietuvoje mokytojų bendruomenė netolygiai pasiskirsčiusi ir neatitinka realių švietimo sistemos poreikių. Viena vertus, šalyje yra nemažai ieškančių darbo, ne pagal įgytą kvalifikaciją ar ne visu darbo krūviu dirbančių mokytojų. Kita vertus, dalyje šalies mokyklų kai kurių dalykų mokytojų trūksta. Panevėžio miesto savivaldybėje, kaip ir kitose savivaldybėse, didėja tiksliųjų, gamtos mokslų, ikimokyklinio ugdymo mokytojų ir psichologų poreikis.</w:t>
      </w:r>
      <w:r w:rsidR="007A7694" w:rsidRPr="00E40C89">
        <w:rPr>
          <w:rFonts w:ascii="Arial" w:hAnsi="Arial" w:cs="Arial"/>
          <w:sz w:val="20"/>
        </w:rPr>
        <w:t xml:space="preserve"> </w:t>
      </w:r>
    </w:p>
    <w:p w14:paraId="369BFFBF" w14:textId="56524BEA" w:rsidR="007A7694" w:rsidRPr="00E40C89" w:rsidRDefault="00917E9F" w:rsidP="00E40C89">
      <w:pPr>
        <w:suppressAutoHyphens/>
        <w:ind w:firstLine="720"/>
        <w:jc w:val="both"/>
        <w:rPr>
          <w:b/>
        </w:rPr>
      </w:pPr>
      <w:r w:rsidRPr="00E40C89">
        <w:t>19.</w:t>
      </w:r>
      <w:r w:rsidR="008F7976" w:rsidRPr="00E40C89">
        <w:t xml:space="preserve"> Remiantis </w:t>
      </w:r>
      <w:r w:rsidR="007A7694" w:rsidRPr="00E40C89">
        <w:t xml:space="preserve">Panevėžio </w:t>
      </w:r>
      <w:r w:rsidR="008F7976" w:rsidRPr="00E40C89">
        <w:t xml:space="preserve">miesto </w:t>
      </w:r>
      <w:r w:rsidR="007A7694" w:rsidRPr="00E40C89">
        <w:t>bendrojo</w:t>
      </w:r>
      <w:r w:rsidR="00DE129E" w:rsidRPr="00E40C89">
        <w:t xml:space="preserve">, ikimokyklinio ir neformaliojo ugdymo mokyklų </w:t>
      </w:r>
      <w:r w:rsidR="008F7976" w:rsidRPr="00E40C89">
        <w:t xml:space="preserve">2021 m. gegužės mėn. </w:t>
      </w:r>
      <w:r w:rsidR="007A7694" w:rsidRPr="00E40C89">
        <w:t>pateiktais duomenimis</w:t>
      </w:r>
      <w:r w:rsidR="008F7976" w:rsidRPr="00E40C89">
        <w:t>,</w:t>
      </w:r>
      <w:r w:rsidR="007A7694" w:rsidRPr="00E40C89">
        <w:t xml:space="preserve"> 2021</w:t>
      </w:r>
      <w:r w:rsidR="004F3A26">
        <w:t>–</w:t>
      </w:r>
      <w:r w:rsidR="007A7694" w:rsidRPr="00E40C89">
        <w:t xml:space="preserve">2024 </w:t>
      </w:r>
      <w:r w:rsidR="008F7976" w:rsidRPr="00E40C89">
        <w:t xml:space="preserve">m. </w:t>
      </w:r>
      <w:r w:rsidR="007A7694" w:rsidRPr="00E40C89">
        <w:t xml:space="preserve">numatomas pedagoginių specialistų, mokytojų </w:t>
      </w:r>
      <w:r w:rsidR="008F7976" w:rsidRPr="00E40C89">
        <w:t>poreikis yra didesnis</w:t>
      </w:r>
      <w:r w:rsidR="006C30AC" w:rsidRPr="00E40C89">
        <w:t>,</w:t>
      </w:r>
      <w:r w:rsidR="008F7976" w:rsidRPr="00E40C89">
        <w:t xml:space="preserve"> </w:t>
      </w:r>
      <w:r w:rsidR="004F3A26">
        <w:t>palyginti</w:t>
      </w:r>
      <w:r w:rsidR="008F7976" w:rsidRPr="00E40C89">
        <w:t xml:space="preserve"> su </w:t>
      </w:r>
      <w:r w:rsidR="00DE129E" w:rsidRPr="00E40C89">
        <w:t>2019</w:t>
      </w:r>
      <w:r w:rsidR="004F3A26">
        <w:t>–</w:t>
      </w:r>
      <w:r w:rsidR="00DE129E" w:rsidRPr="00E40C89">
        <w:t>2020</w:t>
      </w:r>
      <w:r w:rsidR="008F7976" w:rsidRPr="00E40C89">
        <w:t xml:space="preserve"> m. m. </w:t>
      </w:r>
      <w:r w:rsidR="00DE129E" w:rsidRPr="00E40C89">
        <w:t>ir 2020</w:t>
      </w:r>
      <w:r w:rsidR="004F3A26">
        <w:t>–</w:t>
      </w:r>
      <w:r w:rsidR="00DE129E" w:rsidRPr="00E40C89">
        <w:t>2021 m. m.</w:t>
      </w:r>
      <w:r w:rsidR="004F3A26">
        <w:t xml:space="preserve"> </w:t>
      </w:r>
      <w:r w:rsidR="008F7976" w:rsidRPr="00E40C89">
        <w:t>(žr. lentel</w:t>
      </w:r>
      <w:r w:rsidR="004F3A26">
        <w:t>ę</w:t>
      </w:r>
      <w:r w:rsidR="007A7694" w:rsidRPr="00E40C89">
        <w:t>).</w:t>
      </w:r>
    </w:p>
    <w:p w14:paraId="19AF1722" w14:textId="15615A9A" w:rsidR="007A7694" w:rsidRPr="00E40C89" w:rsidRDefault="00917E9F" w:rsidP="00E40C89">
      <w:pPr>
        <w:suppressAutoHyphens/>
        <w:ind w:firstLine="720"/>
        <w:jc w:val="both"/>
        <w:rPr>
          <w:bCs/>
        </w:rPr>
      </w:pPr>
      <w:r w:rsidRPr="00E40C89">
        <w:rPr>
          <w:bCs/>
        </w:rPr>
        <w:t xml:space="preserve">20. </w:t>
      </w:r>
      <w:r w:rsidR="008F7976" w:rsidRPr="00E40C89">
        <w:rPr>
          <w:bCs/>
        </w:rPr>
        <w:t>Pedagoginių darbuotojų p</w:t>
      </w:r>
      <w:r w:rsidR="007A7694" w:rsidRPr="00E40C89">
        <w:rPr>
          <w:bCs/>
        </w:rPr>
        <w:t>oreikis nurodytas įvertinus, kiek</w:t>
      </w:r>
      <w:r w:rsidR="00D65837" w:rsidRPr="00E40C89">
        <w:rPr>
          <w:bCs/>
        </w:rPr>
        <w:t xml:space="preserve"> </w:t>
      </w:r>
      <w:r w:rsidR="007A7694" w:rsidRPr="00E40C89">
        <w:rPr>
          <w:bCs/>
        </w:rPr>
        <w:t>dalyko mokytojų, pagalb</w:t>
      </w:r>
      <w:r w:rsidR="008F7976" w:rsidRPr="00E40C89">
        <w:rPr>
          <w:bCs/>
        </w:rPr>
        <w:t>os mokiniui specialistų, sulaukusių</w:t>
      </w:r>
      <w:r w:rsidR="007A7694" w:rsidRPr="00E40C89">
        <w:rPr>
          <w:bCs/>
        </w:rPr>
        <w:t xml:space="preserve"> pensinio amžiaus, gali būti atleist</w:t>
      </w:r>
      <w:r w:rsidR="004F3A26">
        <w:rPr>
          <w:bCs/>
        </w:rPr>
        <w:t>a</w:t>
      </w:r>
      <w:r w:rsidR="007A7694" w:rsidRPr="00E40C89">
        <w:rPr>
          <w:bCs/>
        </w:rPr>
        <w:t xml:space="preserve"> iš darbo.</w:t>
      </w:r>
    </w:p>
    <w:p w14:paraId="0DCC0761" w14:textId="77777777" w:rsidR="00DE129E" w:rsidRPr="00E40C89" w:rsidRDefault="00DE129E" w:rsidP="00E40C89">
      <w:pPr>
        <w:suppressAutoHyphens/>
        <w:jc w:val="both"/>
        <w:rPr>
          <w:b/>
        </w:rPr>
      </w:pPr>
    </w:p>
    <w:tbl>
      <w:tblPr>
        <w:tblStyle w:val="Lentelstinklelis"/>
        <w:tblW w:w="10207" w:type="dxa"/>
        <w:jc w:val="center"/>
        <w:tblLook w:val="04A0" w:firstRow="1" w:lastRow="0" w:firstColumn="1" w:lastColumn="0" w:noHBand="0" w:noVBand="1"/>
      </w:tblPr>
      <w:tblGrid>
        <w:gridCol w:w="1838"/>
        <w:gridCol w:w="1327"/>
        <w:gridCol w:w="1366"/>
        <w:gridCol w:w="1418"/>
        <w:gridCol w:w="1417"/>
        <w:gridCol w:w="1418"/>
        <w:gridCol w:w="1423"/>
      </w:tblGrid>
      <w:tr w:rsidR="0028049B" w:rsidRPr="00E40C89" w14:paraId="2ED360E0" w14:textId="77777777" w:rsidTr="004F3A26">
        <w:trPr>
          <w:jc w:val="center"/>
        </w:trPr>
        <w:tc>
          <w:tcPr>
            <w:tcW w:w="3165" w:type="dxa"/>
            <w:gridSpan w:val="2"/>
            <w:vMerge w:val="restart"/>
            <w:shd w:val="clear" w:color="auto" w:fill="F2F2F2" w:themeFill="background1" w:themeFillShade="F2"/>
          </w:tcPr>
          <w:p w14:paraId="4529FA01"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
                <w:bCs/>
                <w:szCs w:val="24"/>
              </w:rPr>
              <w:t>Dalykas</w:t>
            </w:r>
          </w:p>
        </w:tc>
        <w:tc>
          <w:tcPr>
            <w:tcW w:w="7042" w:type="dxa"/>
            <w:gridSpan w:val="5"/>
            <w:shd w:val="clear" w:color="auto" w:fill="F2F2F2" w:themeFill="background1" w:themeFillShade="F2"/>
          </w:tcPr>
          <w:p w14:paraId="7668D57F"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
                <w:bCs/>
                <w:szCs w:val="24"/>
              </w:rPr>
              <w:t>Trūkstamų mokytojų skaičius</w:t>
            </w:r>
          </w:p>
        </w:tc>
      </w:tr>
      <w:tr w:rsidR="0028049B" w:rsidRPr="00E40C89" w14:paraId="6AC99C48" w14:textId="77777777" w:rsidTr="004F3A26">
        <w:trPr>
          <w:jc w:val="center"/>
        </w:trPr>
        <w:tc>
          <w:tcPr>
            <w:tcW w:w="3165" w:type="dxa"/>
            <w:gridSpan w:val="2"/>
            <w:vMerge/>
            <w:shd w:val="clear" w:color="auto" w:fill="F2F2F2" w:themeFill="background1" w:themeFillShade="F2"/>
          </w:tcPr>
          <w:p w14:paraId="7E382F0A" w14:textId="77777777" w:rsidR="0028049B" w:rsidRPr="00E40C89" w:rsidRDefault="0028049B" w:rsidP="00E40C89">
            <w:pPr>
              <w:autoSpaceDE w:val="0"/>
              <w:autoSpaceDN w:val="0"/>
              <w:adjustRightInd w:val="0"/>
              <w:rPr>
                <w:rFonts w:ascii="Times New Roman" w:hAnsi="Times New Roman" w:cs="Times New Roman"/>
                <w:bCs/>
                <w:szCs w:val="24"/>
              </w:rPr>
            </w:pPr>
          </w:p>
        </w:tc>
        <w:tc>
          <w:tcPr>
            <w:tcW w:w="1366" w:type="dxa"/>
            <w:shd w:val="clear" w:color="auto" w:fill="F2F2F2" w:themeFill="background1" w:themeFillShade="F2"/>
          </w:tcPr>
          <w:p w14:paraId="4C717F47" w14:textId="69754A30" w:rsidR="0028049B" w:rsidRPr="00E40C89" w:rsidRDefault="0028049B" w:rsidP="002C39B7">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2019</w:t>
            </w:r>
            <w:r w:rsidR="004F3A26">
              <w:rPr>
                <w:rFonts w:ascii="Times New Roman" w:hAnsi="Times New Roman" w:cs="Times New Roman"/>
                <w:b/>
                <w:bCs/>
                <w:szCs w:val="24"/>
              </w:rPr>
              <w:t>–</w:t>
            </w:r>
            <w:r w:rsidRPr="00E40C89">
              <w:rPr>
                <w:rFonts w:ascii="Times New Roman" w:hAnsi="Times New Roman" w:cs="Times New Roman"/>
                <w:b/>
                <w:bCs/>
                <w:szCs w:val="24"/>
              </w:rPr>
              <w:t>2020 m. m.</w:t>
            </w:r>
          </w:p>
        </w:tc>
        <w:tc>
          <w:tcPr>
            <w:tcW w:w="1418" w:type="dxa"/>
            <w:shd w:val="clear" w:color="auto" w:fill="F2F2F2" w:themeFill="background1" w:themeFillShade="F2"/>
          </w:tcPr>
          <w:p w14:paraId="392CAF52" w14:textId="53ABF0CC" w:rsidR="0028049B" w:rsidRPr="00E40C89" w:rsidRDefault="0028049B" w:rsidP="002C39B7">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2020</w:t>
            </w:r>
            <w:r w:rsidR="004F3A26">
              <w:rPr>
                <w:rFonts w:ascii="Times New Roman" w:hAnsi="Times New Roman" w:cs="Times New Roman"/>
                <w:b/>
                <w:bCs/>
                <w:szCs w:val="24"/>
              </w:rPr>
              <w:t>–</w:t>
            </w:r>
            <w:r w:rsidRPr="00E40C89">
              <w:rPr>
                <w:rFonts w:ascii="Times New Roman" w:hAnsi="Times New Roman" w:cs="Times New Roman"/>
                <w:b/>
                <w:bCs/>
                <w:szCs w:val="24"/>
              </w:rPr>
              <w:t>2021 m. m.</w:t>
            </w:r>
          </w:p>
        </w:tc>
        <w:tc>
          <w:tcPr>
            <w:tcW w:w="1417" w:type="dxa"/>
            <w:shd w:val="clear" w:color="auto" w:fill="F2F2F2" w:themeFill="background1" w:themeFillShade="F2"/>
          </w:tcPr>
          <w:p w14:paraId="024E9F2E" w14:textId="0641A864" w:rsidR="0028049B" w:rsidRPr="00E40C89" w:rsidRDefault="0028049B" w:rsidP="002C39B7">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2021</w:t>
            </w:r>
            <w:r w:rsidR="004F3A26">
              <w:rPr>
                <w:rFonts w:ascii="Times New Roman" w:hAnsi="Times New Roman" w:cs="Times New Roman"/>
                <w:b/>
                <w:bCs/>
                <w:szCs w:val="24"/>
              </w:rPr>
              <w:t>–</w:t>
            </w:r>
            <w:r w:rsidRPr="00E40C89">
              <w:rPr>
                <w:rFonts w:ascii="Times New Roman" w:hAnsi="Times New Roman" w:cs="Times New Roman"/>
                <w:b/>
                <w:bCs/>
                <w:szCs w:val="24"/>
              </w:rPr>
              <w:t>2022 m. m.</w:t>
            </w:r>
          </w:p>
        </w:tc>
        <w:tc>
          <w:tcPr>
            <w:tcW w:w="1418" w:type="dxa"/>
            <w:shd w:val="clear" w:color="auto" w:fill="F2F2F2" w:themeFill="background1" w:themeFillShade="F2"/>
          </w:tcPr>
          <w:p w14:paraId="1D3D58A4" w14:textId="7AFC32F5" w:rsidR="0028049B" w:rsidRPr="00E40C89" w:rsidRDefault="0028049B" w:rsidP="002C39B7">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2022</w:t>
            </w:r>
            <w:r w:rsidR="004F3A26">
              <w:rPr>
                <w:rFonts w:ascii="Times New Roman" w:hAnsi="Times New Roman" w:cs="Times New Roman"/>
                <w:b/>
                <w:bCs/>
                <w:szCs w:val="24"/>
              </w:rPr>
              <w:t>–</w:t>
            </w:r>
            <w:r w:rsidRPr="00E40C89">
              <w:rPr>
                <w:rFonts w:ascii="Times New Roman" w:hAnsi="Times New Roman" w:cs="Times New Roman"/>
                <w:b/>
                <w:bCs/>
                <w:szCs w:val="24"/>
              </w:rPr>
              <w:t>2023 m. m.</w:t>
            </w:r>
          </w:p>
        </w:tc>
        <w:tc>
          <w:tcPr>
            <w:tcW w:w="1423" w:type="dxa"/>
            <w:shd w:val="clear" w:color="auto" w:fill="F2F2F2" w:themeFill="background1" w:themeFillShade="F2"/>
          </w:tcPr>
          <w:p w14:paraId="557E5682" w14:textId="6BE263EF" w:rsidR="0028049B" w:rsidRPr="00E40C89" w:rsidRDefault="0028049B" w:rsidP="002C39B7">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2023</w:t>
            </w:r>
            <w:r w:rsidR="004F3A26">
              <w:rPr>
                <w:rFonts w:ascii="Times New Roman" w:hAnsi="Times New Roman" w:cs="Times New Roman"/>
                <w:b/>
                <w:bCs/>
                <w:szCs w:val="24"/>
              </w:rPr>
              <w:t>–</w:t>
            </w:r>
            <w:r w:rsidRPr="00E40C89">
              <w:rPr>
                <w:rFonts w:ascii="Times New Roman" w:hAnsi="Times New Roman" w:cs="Times New Roman"/>
                <w:b/>
                <w:bCs/>
                <w:szCs w:val="24"/>
              </w:rPr>
              <w:t>2024 m. m.</w:t>
            </w:r>
          </w:p>
        </w:tc>
      </w:tr>
      <w:tr w:rsidR="0028049B" w:rsidRPr="00E40C89" w14:paraId="0DD313AF" w14:textId="77777777" w:rsidTr="004F3A26">
        <w:trPr>
          <w:jc w:val="center"/>
        </w:trPr>
        <w:tc>
          <w:tcPr>
            <w:tcW w:w="3165" w:type="dxa"/>
            <w:gridSpan w:val="2"/>
          </w:tcPr>
          <w:p w14:paraId="0A3072DA" w14:textId="2B978646"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Biologija</w:t>
            </w:r>
          </w:p>
        </w:tc>
        <w:tc>
          <w:tcPr>
            <w:tcW w:w="1366" w:type="dxa"/>
          </w:tcPr>
          <w:p w14:paraId="7FB2CBBD"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093F1ADC"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54F60D8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7E713F2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23" w:type="dxa"/>
          </w:tcPr>
          <w:p w14:paraId="59903F23"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r>
      <w:tr w:rsidR="0028049B" w:rsidRPr="00E40C89" w14:paraId="0D37FAAA" w14:textId="77777777" w:rsidTr="004F3A26">
        <w:trPr>
          <w:jc w:val="center"/>
        </w:trPr>
        <w:tc>
          <w:tcPr>
            <w:tcW w:w="3165" w:type="dxa"/>
            <w:gridSpan w:val="2"/>
          </w:tcPr>
          <w:p w14:paraId="75A6DE9D"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Chemija</w:t>
            </w:r>
          </w:p>
        </w:tc>
        <w:tc>
          <w:tcPr>
            <w:tcW w:w="1366" w:type="dxa"/>
          </w:tcPr>
          <w:p w14:paraId="1DB71629"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13D9F6BE"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2BDB9451"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21D5B13B"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c>
          <w:tcPr>
            <w:tcW w:w="1423" w:type="dxa"/>
          </w:tcPr>
          <w:p w14:paraId="1DFCFB0E"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3B36B46A" w14:textId="77777777" w:rsidTr="004F3A26">
        <w:trPr>
          <w:jc w:val="center"/>
        </w:trPr>
        <w:tc>
          <w:tcPr>
            <w:tcW w:w="3165" w:type="dxa"/>
            <w:gridSpan w:val="2"/>
          </w:tcPr>
          <w:p w14:paraId="60A56A3F" w14:textId="2596F73C"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Fizika</w:t>
            </w:r>
          </w:p>
        </w:tc>
        <w:tc>
          <w:tcPr>
            <w:tcW w:w="1366" w:type="dxa"/>
          </w:tcPr>
          <w:p w14:paraId="44E9E2FB"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5BB586D5"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5E027670"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1F869775"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096D2525"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4531D065" w14:textId="77777777" w:rsidTr="004F3A26">
        <w:trPr>
          <w:jc w:val="center"/>
        </w:trPr>
        <w:tc>
          <w:tcPr>
            <w:tcW w:w="3165" w:type="dxa"/>
            <w:gridSpan w:val="2"/>
          </w:tcPr>
          <w:p w14:paraId="637AFCD3" w14:textId="24B1194D" w:rsidR="0028049B" w:rsidRPr="00E40C89" w:rsidRDefault="0028049B" w:rsidP="004F3A26">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Integruoti gamtos mokslai</w:t>
            </w:r>
          </w:p>
        </w:tc>
        <w:tc>
          <w:tcPr>
            <w:tcW w:w="1366" w:type="dxa"/>
          </w:tcPr>
          <w:p w14:paraId="00420F5C"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0153F4B2"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c>
          <w:tcPr>
            <w:tcW w:w="1417" w:type="dxa"/>
          </w:tcPr>
          <w:p w14:paraId="0CDF13F4"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650D3DD5"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480A10C2"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r>
      <w:tr w:rsidR="0028049B" w:rsidRPr="00E40C89" w14:paraId="197D1EBE" w14:textId="77777777" w:rsidTr="004F3A26">
        <w:trPr>
          <w:jc w:val="center"/>
        </w:trPr>
        <w:tc>
          <w:tcPr>
            <w:tcW w:w="3165" w:type="dxa"/>
            <w:gridSpan w:val="2"/>
          </w:tcPr>
          <w:p w14:paraId="23149E71"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Geografija</w:t>
            </w:r>
          </w:p>
        </w:tc>
        <w:tc>
          <w:tcPr>
            <w:tcW w:w="1366" w:type="dxa"/>
          </w:tcPr>
          <w:p w14:paraId="690F102B"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01EC2787"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5BB51AB7"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4DCED2EC"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23" w:type="dxa"/>
          </w:tcPr>
          <w:p w14:paraId="127E7C8E"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33496040" w14:textId="77777777" w:rsidTr="004F3A26">
        <w:trPr>
          <w:jc w:val="center"/>
        </w:trPr>
        <w:tc>
          <w:tcPr>
            <w:tcW w:w="3165" w:type="dxa"/>
            <w:gridSpan w:val="2"/>
          </w:tcPr>
          <w:p w14:paraId="5B109DE2" w14:textId="35269E62"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Matematika</w:t>
            </w:r>
          </w:p>
        </w:tc>
        <w:tc>
          <w:tcPr>
            <w:tcW w:w="1366" w:type="dxa"/>
          </w:tcPr>
          <w:p w14:paraId="2785DF10"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3</w:t>
            </w:r>
          </w:p>
        </w:tc>
        <w:tc>
          <w:tcPr>
            <w:tcW w:w="1418" w:type="dxa"/>
          </w:tcPr>
          <w:p w14:paraId="55CB3B3C"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7" w:type="dxa"/>
          </w:tcPr>
          <w:p w14:paraId="70AC3F2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6</w:t>
            </w:r>
          </w:p>
        </w:tc>
        <w:tc>
          <w:tcPr>
            <w:tcW w:w="1418" w:type="dxa"/>
          </w:tcPr>
          <w:p w14:paraId="1AFF39D2"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5</w:t>
            </w:r>
          </w:p>
        </w:tc>
        <w:tc>
          <w:tcPr>
            <w:tcW w:w="1423" w:type="dxa"/>
          </w:tcPr>
          <w:p w14:paraId="4C59FCF0"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r>
      <w:tr w:rsidR="0028049B" w:rsidRPr="00E40C89" w14:paraId="70CEE38B" w14:textId="77777777" w:rsidTr="004F3A26">
        <w:trPr>
          <w:jc w:val="center"/>
        </w:trPr>
        <w:tc>
          <w:tcPr>
            <w:tcW w:w="3165" w:type="dxa"/>
            <w:gridSpan w:val="2"/>
          </w:tcPr>
          <w:p w14:paraId="20FE41A8"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Informacinės technologijos</w:t>
            </w:r>
          </w:p>
        </w:tc>
        <w:tc>
          <w:tcPr>
            <w:tcW w:w="1366" w:type="dxa"/>
          </w:tcPr>
          <w:p w14:paraId="55298BAB"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35DFFD75"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6D0B3F47"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63877576"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5EB214A5"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0EC6E79F" w14:textId="77777777" w:rsidTr="004F3A26">
        <w:trPr>
          <w:jc w:val="center"/>
        </w:trPr>
        <w:tc>
          <w:tcPr>
            <w:tcW w:w="1838" w:type="dxa"/>
            <w:vMerge w:val="restart"/>
            <w:vAlign w:val="center"/>
          </w:tcPr>
          <w:p w14:paraId="4BFC3106"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Užsienio kalba:</w:t>
            </w:r>
          </w:p>
        </w:tc>
        <w:tc>
          <w:tcPr>
            <w:tcW w:w="1327" w:type="dxa"/>
          </w:tcPr>
          <w:p w14:paraId="24F191D1"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anglų</w:t>
            </w:r>
          </w:p>
        </w:tc>
        <w:tc>
          <w:tcPr>
            <w:tcW w:w="1366" w:type="dxa"/>
          </w:tcPr>
          <w:p w14:paraId="6273C236"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0DEE6FCE"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0F43F1AE"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3C9B4A65"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4</w:t>
            </w:r>
          </w:p>
        </w:tc>
        <w:tc>
          <w:tcPr>
            <w:tcW w:w="1423" w:type="dxa"/>
          </w:tcPr>
          <w:p w14:paraId="2C81E8A6"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r>
      <w:tr w:rsidR="0028049B" w:rsidRPr="00E40C89" w14:paraId="74CFD42A" w14:textId="77777777" w:rsidTr="004F3A26">
        <w:trPr>
          <w:jc w:val="center"/>
        </w:trPr>
        <w:tc>
          <w:tcPr>
            <w:tcW w:w="1838" w:type="dxa"/>
            <w:vMerge/>
          </w:tcPr>
          <w:p w14:paraId="7FB084E4" w14:textId="77777777" w:rsidR="0028049B" w:rsidRPr="00E40C89" w:rsidRDefault="0028049B" w:rsidP="00E40C89">
            <w:pPr>
              <w:autoSpaceDE w:val="0"/>
              <w:autoSpaceDN w:val="0"/>
              <w:adjustRightInd w:val="0"/>
              <w:jc w:val="right"/>
              <w:rPr>
                <w:rFonts w:ascii="Times New Roman" w:hAnsi="Times New Roman" w:cs="Times New Roman"/>
                <w:bCs/>
                <w:szCs w:val="24"/>
              </w:rPr>
            </w:pPr>
          </w:p>
        </w:tc>
        <w:tc>
          <w:tcPr>
            <w:tcW w:w="1327" w:type="dxa"/>
          </w:tcPr>
          <w:p w14:paraId="31E71FA2"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vokiečių</w:t>
            </w:r>
          </w:p>
        </w:tc>
        <w:tc>
          <w:tcPr>
            <w:tcW w:w="1366" w:type="dxa"/>
          </w:tcPr>
          <w:p w14:paraId="0AB5469F"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67630126"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5C300245"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38D3E762"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34607E08"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6DF044DB" w14:textId="77777777" w:rsidTr="004F3A26">
        <w:trPr>
          <w:jc w:val="center"/>
        </w:trPr>
        <w:tc>
          <w:tcPr>
            <w:tcW w:w="1838" w:type="dxa"/>
            <w:vMerge/>
          </w:tcPr>
          <w:p w14:paraId="640B5899" w14:textId="77777777" w:rsidR="0028049B" w:rsidRPr="00E40C89" w:rsidRDefault="0028049B" w:rsidP="00E40C89">
            <w:pPr>
              <w:autoSpaceDE w:val="0"/>
              <w:autoSpaceDN w:val="0"/>
              <w:adjustRightInd w:val="0"/>
              <w:jc w:val="right"/>
              <w:rPr>
                <w:rFonts w:ascii="Times New Roman" w:hAnsi="Times New Roman" w:cs="Times New Roman"/>
                <w:bCs/>
                <w:szCs w:val="24"/>
              </w:rPr>
            </w:pPr>
          </w:p>
        </w:tc>
        <w:tc>
          <w:tcPr>
            <w:tcW w:w="1327" w:type="dxa"/>
          </w:tcPr>
          <w:p w14:paraId="2252E3D7"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rusų</w:t>
            </w:r>
          </w:p>
        </w:tc>
        <w:tc>
          <w:tcPr>
            <w:tcW w:w="1366" w:type="dxa"/>
          </w:tcPr>
          <w:p w14:paraId="60FB650D"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27609B89"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7" w:type="dxa"/>
          </w:tcPr>
          <w:p w14:paraId="403B9B41"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c>
          <w:tcPr>
            <w:tcW w:w="1418" w:type="dxa"/>
          </w:tcPr>
          <w:p w14:paraId="49BFE73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3</w:t>
            </w:r>
          </w:p>
        </w:tc>
        <w:tc>
          <w:tcPr>
            <w:tcW w:w="1423" w:type="dxa"/>
          </w:tcPr>
          <w:p w14:paraId="6215808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r>
      <w:tr w:rsidR="0028049B" w:rsidRPr="00E40C89" w14:paraId="067036FE" w14:textId="77777777" w:rsidTr="004F3A26">
        <w:trPr>
          <w:jc w:val="center"/>
        </w:trPr>
        <w:tc>
          <w:tcPr>
            <w:tcW w:w="1838" w:type="dxa"/>
            <w:vMerge/>
          </w:tcPr>
          <w:p w14:paraId="358E7DE5" w14:textId="77777777" w:rsidR="0028049B" w:rsidRPr="00E40C89" w:rsidRDefault="0028049B" w:rsidP="00E40C89">
            <w:pPr>
              <w:autoSpaceDE w:val="0"/>
              <w:autoSpaceDN w:val="0"/>
              <w:adjustRightInd w:val="0"/>
              <w:jc w:val="right"/>
              <w:rPr>
                <w:rFonts w:ascii="Times New Roman" w:hAnsi="Times New Roman" w:cs="Times New Roman"/>
                <w:bCs/>
                <w:szCs w:val="24"/>
              </w:rPr>
            </w:pPr>
          </w:p>
        </w:tc>
        <w:tc>
          <w:tcPr>
            <w:tcW w:w="1327" w:type="dxa"/>
          </w:tcPr>
          <w:p w14:paraId="3680893E"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prancūzų</w:t>
            </w:r>
          </w:p>
        </w:tc>
        <w:tc>
          <w:tcPr>
            <w:tcW w:w="1366" w:type="dxa"/>
          </w:tcPr>
          <w:p w14:paraId="7C1DDB3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206F1EE7"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620142A2"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65661BF6"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194BA7C7"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45C6092F" w14:textId="77777777" w:rsidTr="004F3A26">
        <w:trPr>
          <w:jc w:val="center"/>
        </w:trPr>
        <w:tc>
          <w:tcPr>
            <w:tcW w:w="3165" w:type="dxa"/>
            <w:gridSpan w:val="2"/>
          </w:tcPr>
          <w:p w14:paraId="19FA5C82"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Lietuvių kalba</w:t>
            </w:r>
          </w:p>
        </w:tc>
        <w:tc>
          <w:tcPr>
            <w:tcW w:w="1366" w:type="dxa"/>
          </w:tcPr>
          <w:p w14:paraId="34BB9D7A"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1C951848"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7" w:type="dxa"/>
          </w:tcPr>
          <w:p w14:paraId="1ED13629"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c>
          <w:tcPr>
            <w:tcW w:w="1418" w:type="dxa"/>
          </w:tcPr>
          <w:p w14:paraId="5B17789E"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3</w:t>
            </w:r>
          </w:p>
        </w:tc>
        <w:tc>
          <w:tcPr>
            <w:tcW w:w="1423" w:type="dxa"/>
          </w:tcPr>
          <w:p w14:paraId="2E7B284E"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5</w:t>
            </w:r>
          </w:p>
        </w:tc>
      </w:tr>
      <w:tr w:rsidR="0028049B" w:rsidRPr="00E40C89" w14:paraId="3D38E937" w14:textId="77777777" w:rsidTr="004F3A26">
        <w:trPr>
          <w:jc w:val="center"/>
        </w:trPr>
        <w:tc>
          <w:tcPr>
            <w:tcW w:w="3165" w:type="dxa"/>
            <w:gridSpan w:val="2"/>
          </w:tcPr>
          <w:p w14:paraId="595B298A"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Pradinis ugdymas</w:t>
            </w:r>
          </w:p>
        </w:tc>
        <w:tc>
          <w:tcPr>
            <w:tcW w:w="1366" w:type="dxa"/>
          </w:tcPr>
          <w:p w14:paraId="1955685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7C902625"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7" w:type="dxa"/>
          </w:tcPr>
          <w:p w14:paraId="41144C28"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42BA77F8"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23" w:type="dxa"/>
          </w:tcPr>
          <w:p w14:paraId="06992BFB"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r>
      <w:tr w:rsidR="0028049B" w:rsidRPr="00E40C89" w14:paraId="07E50F07" w14:textId="77777777" w:rsidTr="004F3A26">
        <w:trPr>
          <w:jc w:val="center"/>
        </w:trPr>
        <w:tc>
          <w:tcPr>
            <w:tcW w:w="3165" w:type="dxa"/>
            <w:gridSpan w:val="2"/>
          </w:tcPr>
          <w:p w14:paraId="4B57C330"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Specialusis pedagogas</w:t>
            </w:r>
          </w:p>
        </w:tc>
        <w:tc>
          <w:tcPr>
            <w:tcW w:w="1366" w:type="dxa"/>
          </w:tcPr>
          <w:p w14:paraId="00E7EAF9"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5C2E0076"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7" w:type="dxa"/>
          </w:tcPr>
          <w:p w14:paraId="6BD49CF0"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3</w:t>
            </w:r>
          </w:p>
        </w:tc>
        <w:tc>
          <w:tcPr>
            <w:tcW w:w="1418" w:type="dxa"/>
          </w:tcPr>
          <w:p w14:paraId="569581F9"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23" w:type="dxa"/>
          </w:tcPr>
          <w:p w14:paraId="40A7FEC1"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r>
      <w:tr w:rsidR="0028049B" w:rsidRPr="00E40C89" w14:paraId="527B2535" w14:textId="77777777" w:rsidTr="004F3A26">
        <w:trPr>
          <w:jc w:val="center"/>
        </w:trPr>
        <w:tc>
          <w:tcPr>
            <w:tcW w:w="3165" w:type="dxa"/>
            <w:gridSpan w:val="2"/>
          </w:tcPr>
          <w:p w14:paraId="797E3C02"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Logopedas</w:t>
            </w:r>
          </w:p>
        </w:tc>
        <w:tc>
          <w:tcPr>
            <w:tcW w:w="1366" w:type="dxa"/>
          </w:tcPr>
          <w:p w14:paraId="7AD108F7"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4051EFD4"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226A7AD9"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c>
          <w:tcPr>
            <w:tcW w:w="1418" w:type="dxa"/>
          </w:tcPr>
          <w:p w14:paraId="69F7A0B6"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c>
          <w:tcPr>
            <w:tcW w:w="1423" w:type="dxa"/>
          </w:tcPr>
          <w:p w14:paraId="5BDD43B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r>
      <w:tr w:rsidR="0028049B" w:rsidRPr="00E40C89" w14:paraId="0B789767" w14:textId="77777777" w:rsidTr="004F3A26">
        <w:trPr>
          <w:jc w:val="center"/>
        </w:trPr>
        <w:tc>
          <w:tcPr>
            <w:tcW w:w="3165" w:type="dxa"/>
            <w:gridSpan w:val="2"/>
          </w:tcPr>
          <w:p w14:paraId="594F53C5"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Ikimokyklinis ugdymas</w:t>
            </w:r>
          </w:p>
        </w:tc>
        <w:tc>
          <w:tcPr>
            <w:tcW w:w="1366" w:type="dxa"/>
          </w:tcPr>
          <w:p w14:paraId="534D8D86"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19</w:t>
            </w:r>
          </w:p>
        </w:tc>
        <w:tc>
          <w:tcPr>
            <w:tcW w:w="1418" w:type="dxa"/>
          </w:tcPr>
          <w:p w14:paraId="613B292A"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20</w:t>
            </w:r>
          </w:p>
        </w:tc>
        <w:tc>
          <w:tcPr>
            <w:tcW w:w="1417" w:type="dxa"/>
          </w:tcPr>
          <w:p w14:paraId="35A72825"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9</w:t>
            </w:r>
          </w:p>
        </w:tc>
        <w:tc>
          <w:tcPr>
            <w:tcW w:w="1418" w:type="dxa"/>
          </w:tcPr>
          <w:p w14:paraId="68BBDEE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10</w:t>
            </w:r>
          </w:p>
        </w:tc>
        <w:tc>
          <w:tcPr>
            <w:tcW w:w="1423" w:type="dxa"/>
          </w:tcPr>
          <w:p w14:paraId="0A62CDAA"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6</w:t>
            </w:r>
          </w:p>
        </w:tc>
      </w:tr>
      <w:tr w:rsidR="0028049B" w:rsidRPr="00E40C89" w14:paraId="3202958E" w14:textId="77777777" w:rsidTr="004F3A26">
        <w:trPr>
          <w:jc w:val="center"/>
        </w:trPr>
        <w:tc>
          <w:tcPr>
            <w:tcW w:w="3165" w:type="dxa"/>
            <w:gridSpan w:val="2"/>
          </w:tcPr>
          <w:p w14:paraId="2C54F714"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Priešmokyklinis ugdymas</w:t>
            </w:r>
          </w:p>
        </w:tc>
        <w:tc>
          <w:tcPr>
            <w:tcW w:w="1366" w:type="dxa"/>
          </w:tcPr>
          <w:p w14:paraId="529777A2"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17D552A1"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7" w:type="dxa"/>
          </w:tcPr>
          <w:p w14:paraId="6DCF969E"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4FD22B1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4CCB6586"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r>
      <w:tr w:rsidR="0028049B" w:rsidRPr="00E40C89" w14:paraId="53BC778B" w14:textId="77777777" w:rsidTr="004F3A26">
        <w:trPr>
          <w:jc w:val="center"/>
        </w:trPr>
        <w:tc>
          <w:tcPr>
            <w:tcW w:w="3165" w:type="dxa"/>
            <w:gridSpan w:val="2"/>
          </w:tcPr>
          <w:p w14:paraId="28303431"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Istorija</w:t>
            </w:r>
          </w:p>
        </w:tc>
        <w:tc>
          <w:tcPr>
            <w:tcW w:w="1366" w:type="dxa"/>
          </w:tcPr>
          <w:p w14:paraId="5C4EF9D7"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5CD3963A"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3C372934"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2B348C9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23" w:type="dxa"/>
          </w:tcPr>
          <w:p w14:paraId="1A01D7B2"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r>
      <w:tr w:rsidR="0028049B" w:rsidRPr="00E40C89" w14:paraId="1EB7DDBA" w14:textId="77777777" w:rsidTr="004F3A26">
        <w:trPr>
          <w:jc w:val="center"/>
        </w:trPr>
        <w:tc>
          <w:tcPr>
            <w:tcW w:w="3165" w:type="dxa"/>
            <w:gridSpan w:val="2"/>
          </w:tcPr>
          <w:p w14:paraId="0042EBF6"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Meninio ugdymo mokytojas, muzika</w:t>
            </w:r>
          </w:p>
        </w:tc>
        <w:tc>
          <w:tcPr>
            <w:tcW w:w="1366" w:type="dxa"/>
          </w:tcPr>
          <w:p w14:paraId="2262F56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3</w:t>
            </w:r>
          </w:p>
        </w:tc>
        <w:tc>
          <w:tcPr>
            <w:tcW w:w="1418" w:type="dxa"/>
          </w:tcPr>
          <w:p w14:paraId="496CB992"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7" w:type="dxa"/>
          </w:tcPr>
          <w:p w14:paraId="6B17FFC3" w14:textId="3DFA10E4" w:rsidR="0028049B" w:rsidRPr="00E40C89" w:rsidRDefault="00DE129E"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11</w:t>
            </w:r>
          </w:p>
        </w:tc>
        <w:tc>
          <w:tcPr>
            <w:tcW w:w="1418" w:type="dxa"/>
          </w:tcPr>
          <w:p w14:paraId="12BBC0FF" w14:textId="2E104940" w:rsidR="0028049B" w:rsidRPr="00E40C89" w:rsidRDefault="00DE129E"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6</w:t>
            </w:r>
          </w:p>
        </w:tc>
        <w:tc>
          <w:tcPr>
            <w:tcW w:w="1423" w:type="dxa"/>
          </w:tcPr>
          <w:p w14:paraId="47E7B281" w14:textId="6C305E9B" w:rsidR="0028049B" w:rsidRPr="00E40C89" w:rsidRDefault="00DE129E"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r>
      <w:tr w:rsidR="006C30AC" w:rsidRPr="00E40C89" w14:paraId="36D83F0E" w14:textId="77777777" w:rsidTr="004F3A26">
        <w:trPr>
          <w:jc w:val="center"/>
        </w:trPr>
        <w:tc>
          <w:tcPr>
            <w:tcW w:w="3165" w:type="dxa"/>
            <w:gridSpan w:val="2"/>
          </w:tcPr>
          <w:p w14:paraId="767FB322" w14:textId="6286EA5B" w:rsidR="006C30AC" w:rsidRPr="00E40C89" w:rsidRDefault="006C30AC"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Koncertmeisteris</w:t>
            </w:r>
          </w:p>
        </w:tc>
        <w:tc>
          <w:tcPr>
            <w:tcW w:w="1366" w:type="dxa"/>
          </w:tcPr>
          <w:p w14:paraId="1C0815E4" w14:textId="77777777" w:rsidR="006C30AC" w:rsidRPr="00E40C89" w:rsidRDefault="006C30AC" w:rsidP="00E40C89">
            <w:pPr>
              <w:autoSpaceDE w:val="0"/>
              <w:autoSpaceDN w:val="0"/>
              <w:adjustRightInd w:val="0"/>
              <w:jc w:val="center"/>
              <w:rPr>
                <w:rFonts w:ascii="Times New Roman" w:hAnsi="Times New Roman" w:cs="Times New Roman"/>
                <w:bCs/>
                <w:szCs w:val="24"/>
              </w:rPr>
            </w:pPr>
          </w:p>
        </w:tc>
        <w:tc>
          <w:tcPr>
            <w:tcW w:w="1418" w:type="dxa"/>
          </w:tcPr>
          <w:p w14:paraId="7D3C8D16" w14:textId="77777777" w:rsidR="006C30AC" w:rsidRPr="00E40C89" w:rsidRDefault="006C30AC" w:rsidP="00E40C89">
            <w:pPr>
              <w:autoSpaceDE w:val="0"/>
              <w:autoSpaceDN w:val="0"/>
              <w:adjustRightInd w:val="0"/>
              <w:jc w:val="center"/>
              <w:rPr>
                <w:rFonts w:ascii="Times New Roman" w:hAnsi="Times New Roman" w:cs="Times New Roman"/>
                <w:bCs/>
                <w:szCs w:val="24"/>
              </w:rPr>
            </w:pPr>
          </w:p>
        </w:tc>
        <w:tc>
          <w:tcPr>
            <w:tcW w:w="1417" w:type="dxa"/>
          </w:tcPr>
          <w:p w14:paraId="16FD8D37" w14:textId="2BCE0F39" w:rsidR="006C30AC" w:rsidRPr="00E40C89" w:rsidRDefault="006C30AC"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181F3327" w14:textId="1B2ACDF5" w:rsidR="006C30AC" w:rsidRPr="00E40C89" w:rsidRDefault="006C30AC"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23" w:type="dxa"/>
          </w:tcPr>
          <w:p w14:paraId="7FFA0D2C" w14:textId="77777777" w:rsidR="006C30AC" w:rsidRPr="00E40C89" w:rsidRDefault="006C30AC" w:rsidP="00E40C89">
            <w:pPr>
              <w:autoSpaceDE w:val="0"/>
              <w:autoSpaceDN w:val="0"/>
              <w:adjustRightInd w:val="0"/>
              <w:jc w:val="center"/>
              <w:rPr>
                <w:bCs/>
                <w:szCs w:val="24"/>
              </w:rPr>
            </w:pPr>
          </w:p>
        </w:tc>
      </w:tr>
      <w:tr w:rsidR="0028049B" w:rsidRPr="00E40C89" w14:paraId="4A8B95CD" w14:textId="77777777" w:rsidTr="004F3A26">
        <w:trPr>
          <w:jc w:val="center"/>
        </w:trPr>
        <w:tc>
          <w:tcPr>
            <w:tcW w:w="3165" w:type="dxa"/>
            <w:gridSpan w:val="2"/>
          </w:tcPr>
          <w:p w14:paraId="0EC1DA67"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Judesio korekcijos pedagogas</w:t>
            </w:r>
          </w:p>
        </w:tc>
        <w:tc>
          <w:tcPr>
            <w:tcW w:w="1366" w:type="dxa"/>
          </w:tcPr>
          <w:p w14:paraId="3DE44CE0"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7A6614B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39350360"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41CF4687"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47D17BEA"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640F495B" w14:textId="77777777" w:rsidTr="004F3A26">
        <w:trPr>
          <w:jc w:val="center"/>
        </w:trPr>
        <w:tc>
          <w:tcPr>
            <w:tcW w:w="3165" w:type="dxa"/>
            <w:gridSpan w:val="2"/>
          </w:tcPr>
          <w:p w14:paraId="67FEB27C"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Fizinis ugdymas</w:t>
            </w:r>
          </w:p>
        </w:tc>
        <w:tc>
          <w:tcPr>
            <w:tcW w:w="1366" w:type="dxa"/>
          </w:tcPr>
          <w:p w14:paraId="31123728"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22DAD9E4"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40E5C9EF"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4A80A1F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43D1D619"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r>
      <w:tr w:rsidR="0028049B" w:rsidRPr="00E40C89" w14:paraId="7AEFDFAE" w14:textId="77777777" w:rsidTr="004F3A26">
        <w:trPr>
          <w:jc w:val="center"/>
        </w:trPr>
        <w:tc>
          <w:tcPr>
            <w:tcW w:w="3165" w:type="dxa"/>
            <w:gridSpan w:val="2"/>
          </w:tcPr>
          <w:p w14:paraId="397E24D1"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Treneris</w:t>
            </w:r>
          </w:p>
        </w:tc>
        <w:tc>
          <w:tcPr>
            <w:tcW w:w="1366" w:type="dxa"/>
          </w:tcPr>
          <w:p w14:paraId="375729F6"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25F1998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409AF395"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3</w:t>
            </w:r>
          </w:p>
        </w:tc>
        <w:tc>
          <w:tcPr>
            <w:tcW w:w="1418" w:type="dxa"/>
          </w:tcPr>
          <w:p w14:paraId="137F6F6D"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4</w:t>
            </w:r>
          </w:p>
        </w:tc>
        <w:tc>
          <w:tcPr>
            <w:tcW w:w="1423" w:type="dxa"/>
          </w:tcPr>
          <w:p w14:paraId="1AE26957"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r>
      <w:tr w:rsidR="0028049B" w:rsidRPr="00E40C89" w14:paraId="0CB91C68" w14:textId="77777777" w:rsidTr="004F3A26">
        <w:trPr>
          <w:jc w:val="center"/>
        </w:trPr>
        <w:tc>
          <w:tcPr>
            <w:tcW w:w="3165" w:type="dxa"/>
            <w:gridSpan w:val="2"/>
          </w:tcPr>
          <w:p w14:paraId="5F651570"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Dailė</w:t>
            </w:r>
          </w:p>
        </w:tc>
        <w:tc>
          <w:tcPr>
            <w:tcW w:w="1366" w:type="dxa"/>
          </w:tcPr>
          <w:p w14:paraId="43F45403"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0F47C74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7" w:type="dxa"/>
          </w:tcPr>
          <w:p w14:paraId="4FB43CD1"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508DF1D8"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7083D617"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504E1648" w14:textId="77777777" w:rsidTr="004F3A26">
        <w:trPr>
          <w:jc w:val="center"/>
        </w:trPr>
        <w:tc>
          <w:tcPr>
            <w:tcW w:w="3165" w:type="dxa"/>
            <w:gridSpan w:val="2"/>
          </w:tcPr>
          <w:p w14:paraId="34837290"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Etika</w:t>
            </w:r>
          </w:p>
        </w:tc>
        <w:tc>
          <w:tcPr>
            <w:tcW w:w="1366" w:type="dxa"/>
          </w:tcPr>
          <w:p w14:paraId="31CEBB4E"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62F473A1"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5704CE97"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6E764E4B"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23" w:type="dxa"/>
          </w:tcPr>
          <w:p w14:paraId="4BA69279"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r>
      <w:tr w:rsidR="0028049B" w:rsidRPr="00E40C89" w14:paraId="1799364D" w14:textId="77777777" w:rsidTr="004F3A26">
        <w:trPr>
          <w:jc w:val="center"/>
        </w:trPr>
        <w:tc>
          <w:tcPr>
            <w:tcW w:w="3165" w:type="dxa"/>
            <w:gridSpan w:val="2"/>
          </w:tcPr>
          <w:p w14:paraId="5EB99854" w14:textId="77777777" w:rsidR="0028049B" w:rsidRPr="00E40C89" w:rsidRDefault="0028049B" w:rsidP="00E40C89">
            <w:pPr>
              <w:autoSpaceDE w:val="0"/>
              <w:autoSpaceDN w:val="0"/>
              <w:adjustRightInd w:val="0"/>
              <w:rPr>
                <w:rFonts w:ascii="Times New Roman" w:hAnsi="Times New Roman" w:cs="Times New Roman"/>
                <w:szCs w:val="24"/>
              </w:rPr>
            </w:pPr>
            <w:r w:rsidRPr="00E40C89">
              <w:rPr>
                <w:rFonts w:ascii="Times New Roman" w:hAnsi="Times New Roman" w:cs="Times New Roman"/>
                <w:szCs w:val="24"/>
              </w:rPr>
              <w:t>Tikyba</w:t>
            </w:r>
          </w:p>
        </w:tc>
        <w:tc>
          <w:tcPr>
            <w:tcW w:w="1366" w:type="dxa"/>
          </w:tcPr>
          <w:p w14:paraId="1115B5FF"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08F3A532"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0615336D"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7662A247"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23" w:type="dxa"/>
          </w:tcPr>
          <w:p w14:paraId="40F87B26"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5A7AE1F9" w14:textId="77777777" w:rsidTr="004F3A26">
        <w:trPr>
          <w:jc w:val="center"/>
        </w:trPr>
        <w:tc>
          <w:tcPr>
            <w:tcW w:w="3165" w:type="dxa"/>
            <w:gridSpan w:val="2"/>
          </w:tcPr>
          <w:p w14:paraId="6BC4E51D"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bCs/>
                <w:szCs w:val="24"/>
              </w:rPr>
              <w:t>Technologijos</w:t>
            </w:r>
          </w:p>
        </w:tc>
        <w:tc>
          <w:tcPr>
            <w:tcW w:w="1366" w:type="dxa"/>
          </w:tcPr>
          <w:p w14:paraId="7B966BC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54B11D2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29B7A6F3"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c>
          <w:tcPr>
            <w:tcW w:w="1418" w:type="dxa"/>
          </w:tcPr>
          <w:p w14:paraId="058C8CF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7C08037E"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3C0F6086" w14:textId="77777777" w:rsidTr="004F3A26">
        <w:trPr>
          <w:jc w:val="center"/>
        </w:trPr>
        <w:tc>
          <w:tcPr>
            <w:tcW w:w="3165" w:type="dxa"/>
            <w:gridSpan w:val="2"/>
          </w:tcPr>
          <w:p w14:paraId="373BE832"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bCs/>
                <w:szCs w:val="24"/>
              </w:rPr>
              <w:t>Šokis</w:t>
            </w:r>
          </w:p>
        </w:tc>
        <w:tc>
          <w:tcPr>
            <w:tcW w:w="1366" w:type="dxa"/>
          </w:tcPr>
          <w:p w14:paraId="10479EBC"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26A13A3C"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1243E285"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5155D02C"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6420093D"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r>
      <w:tr w:rsidR="0028049B" w:rsidRPr="00E40C89" w14:paraId="09967085" w14:textId="77777777" w:rsidTr="004F3A26">
        <w:trPr>
          <w:jc w:val="center"/>
        </w:trPr>
        <w:tc>
          <w:tcPr>
            <w:tcW w:w="3165" w:type="dxa"/>
            <w:gridSpan w:val="2"/>
          </w:tcPr>
          <w:p w14:paraId="34F6B5B8"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bCs/>
                <w:szCs w:val="24"/>
              </w:rPr>
              <w:t>Pailgintos darbo dienos grupės auklėtojas</w:t>
            </w:r>
          </w:p>
        </w:tc>
        <w:tc>
          <w:tcPr>
            <w:tcW w:w="1366" w:type="dxa"/>
          </w:tcPr>
          <w:p w14:paraId="77A620CB"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3B44FA7E"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604A793B"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c>
          <w:tcPr>
            <w:tcW w:w="1418" w:type="dxa"/>
          </w:tcPr>
          <w:p w14:paraId="2419B4E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093D23E3"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59E0943E" w14:textId="77777777" w:rsidTr="004F3A26">
        <w:trPr>
          <w:jc w:val="center"/>
        </w:trPr>
        <w:tc>
          <w:tcPr>
            <w:tcW w:w="3165" w:type="dxa"/>
            <w:gridSpan w:val="2"/>
          </w:tcPr>
          <w:p w14:paraId="6B674281" w14:textId="7B192B6F"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bCs/>
                <w:szCs w:val="24"/>
              </w:rPr>
              <w:t>Neformal</w:t>
            </w:r>
            <w:r w:rsidR="002C39B7">
              <w:rPr>
                <w:rFonts w:ascii="Times New Roman" w:hAnsi="Times New Roman" w:cs="Times New Roman"/>
                <w:bCs/>
                <w:szCs w:val="24"/>
              </w:rPr>
              <w:t>iojo</w:t>
            </w:r>
            <w:r w:rsidRPr="00E40C89">
              <w:rPr>
                <w:rFonts w:ascii="Times New Roman" w:hAnsi="Times New Roman" w:cs="Times New Roman"/>
                <w:bCs/>
                <w:szCs w:val="24"/>
              </w:rPr>
              <w:t xml:space="preserve"> švietimo mokytojas</w:t>
            </w:r>
          </w:p>
        </w:tc>
        <w:tc>
          <w:tcPr>
            <w:tcW w:w="1366" w:type="dxa"/>
          </w:tcPr>
          <w:p w14:paraId="736F44CC"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0EAF42B8"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749F4304"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6</w:t>
            </w:r>
          </w:p>
        </w:tc>
        <w:tc>
          <w:tcPr>
            <w:tcW w:w="1418" w:type="dxa"/>
          </w:tcPr>
          <w:p w14:paraId="1CDAD6CF"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2</w:t>
            </w:r>
          </w:p>
        </w:tc>
        <w:tc>
          <w:tcPr>
            <w:tcW w:w="1423" w:type="dxa"/>
          </w:tcPr>
          <w:p w14:paraId="126F7B79"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1</w:t>
            </w:r>
          </w:p>
        </w:tc>
      </w:tr>
      <w:tr w:rsidR="0028049B" w:rsidRPr="00E40C89" w14:paraId="5EA7B228" w14:textId="77777777" w:rsidTr="004F3A26">
        <w:trPr>
          <w:jc w:val="center"/>
        </w:trPr>
        <w:tc>
          <w:tcPr>
            <w:tcW w:w="3165" w:type="dxa"/>
            <w:gridSpan w:val="2"/>
          </w:tcPr>
          <w:p w14:paraId="17A3ECB6" w14:textId="77777777" w:rsidR="0028049B" w:rsidRPr="00E40C89" w:rsidRDefault="0028049B" w:rsidP="00E40C89">
            <w:pPr>
              <w:autoSpaceDE w:val="0"/>
              <w:autoSpaceDN w:val="0"/>
              <w:adjustRightInd w:val="0"/>
              <w:rPr>
                <w:rFonts w:ascii="Times New Roman" w:hAnsi="Times New Roman" w:cs="Times New Roman"/>
                <w:bCs/>
                <w:szCs w:val="24"/>
              </w:rPr>
            </w:pPr>
            <w:r w:rsidRPr="00E40C89">
              <w:rPr>
                <w:rFonts w:ascii="Times New Roman" w:hAnsi="Times New Roman" w:cs="Times New Roman"/>
                <w:szCs w:val="24"/>
              </w:rPr>
              <w:t>Psichologas</w:t>
            </w:r>
          </w:p>
        </w:tc>
        <w:tc>
          <w:tcPr>
            <w:tcW w:w="1366" w:type="dxa"/>
          </w:tcPr>
          <w:p w14:paraId="06BCC1F6"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8" w:type="dxa"/>
          </w:tcPr>
          <w:p w14:paraId="1269A48E"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17" w:type="dxa"/>
          </w:tcPr>
          <w:p w14:paraId="79DA992C" w14:textId="77777777" w:rsidR="0028049B" w:rsidRPr="00E40C89" w:rsidRDefault="0028049B" w:rsidP="00E40C89">
            <w:pPr>
              <w:autoSpaceDE w:val="0"/>
              <w:autoSpaceDN w:val="0"/>
              <w:adjustRightInd w:val="0"/>
              <w:jc w:val="center"/>
              <w:rPr>
                <w:rFonts w:ascii="Times New Roman" w:hAnsi="Times New Roman" w:cs="Times New Roman"/>
                <w:bCs/>
                <w:szCs w:val="24"/>
              </w:rPr>
            </w:pPr>
            <w:r w:rsidRPr="00E40C89">
              <w:rPr>
                <w:rFonts w:ascii="Times New Roman" w:hAnsi="Times New Roman" w:cs="Times New Roman"/>
                <w:bCs/>
                <w:szCs w:val="24"/>
              </w:rPr>
              <w:t>6</w:t>
            </w:r>
          </w:p>
        </w:tc>
        <w:tc>
          <w:tcPr>
            <w:tcW w:w="1418" w:type="dxa"/>
          </w:tcPr>
          <w:p w14:paraId="52333906"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c>
          <w:tcPr>
            <w:tcW w:w="1423" w:type="dxa"/>
          </w:tcPr>
          <w:p w14:paraId="121F87C1" w14:textId="77777777" w:rsidR="0028049B" w:rsidRPr="00E40C89" w:rsidRDefault="0028049B" w:rsidP="00E40C89">
            <w:pPr>
              <w:autoSpaceDE w:val="0"/>
              <w:autoSpaceDN w:val="0"/>
              <w:adjustRightInd w:val="0"/>
              <w:jc w:val="center"/>
              <w:rPr>
                <w:rFonts w:ascii="Times New Roman" w:hAnsi="Times New Roman" w:cs="Times New Roman"/>
                <w:bCs/>
                <w:szCs w:val="24"/>
              </w:rPr>
            </w:pPr>
          </w:p>
        </w:tc>
      </w:tr>
      <w:tr w:rsidR="0028049B" w:rsidRPr="00E40C89" w14:paraId="7304FE2C" w14:textId="77777777" w:rsidTr="004F3A26">
        <w:trPr>
          <w:jc w:val="center"/>
        </w:trPr>
        <w:tc>
          <w:tcPr>
            <w:tcW w:w="3165" w:type="dxa"/>
            <w:gridSpan w:val="2"/>
            <w:shd w:val="clear" w:color="auto" w:fill="F2F2F2" w:themeFill="background1" w:themeFillShade="F2"/>
          </w:tcPr>
          <w:p w14:paraId="626A8777" w14:textId="77777777" w:rsidR="0028049B" w:rsidRPr="00E40C89" w:rsidRDefault="0028049B" w:rsidP="00E40C89">
            <w:pPr>
              <w:autoSpaceDE w:val="0"/>
              <w:autoSpaceDN w:val="0"/>
              <w:adjustRightInd w:val="0"/>
              <w:rPr>
                <w:rFonts w:ascii="Times New Roman" w:hAnsi="Times New Roman" w:cs="Times New Roman"/>
                <w:b/>
                <w:bCs/>
                <w:szCs w:val="24"/>
              </w:rPr>
            </w:pPr>
            <w:r w:rsidRPr="00E40C89">
              <w:rPr>
                <w:rFonts w:ascii="Times New Roman" w:hAnsi="Times New Roman" w:cs="Times New Roman"/>
                <w:b/>
                <w:bCs/>
                <w:szCs w:val="24"/>
              </w:rPr>
              <w:t>Iš viso:</w:t>
            </w:r>
          </w:p>
        </w:tc>
        <w:tc>
          <w:tcPr>
            <w:tcW w:w="1366" w:type="dxa"/>
            <w:shd w:val="clear" w:color="auto" w:fill="F2F2F2" w:themeFill="background1" w:themeFillShade="F2"/>
          </w:tcPr>
          <w:p w14:paraId="2BDBBF64" w14:textId="77777777" w:rsidR="0028049B" w:rsidRPr="00E40C89" w:rsidRDefault="0028049B" w:rsidP="00E40C89">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31</w:t>
            </w:r>
          </w:p>
        </w:tc>
        <w:tc>
          <w:tcPr>
            <w:tcW w:w="1418" w:type="dxa"/>
            <w:shd w:val="clear" w:color="auto" w:fill="F2F2F2" w:themeFill="background1" w:themeFillShade="F2"/>
          </w:tcPr>
          <w:p w14:paraId="284A2D08" w14:textId="77777777" w:rsidR="0028049B" w:rsidRPr="00E40C89" w:rsidRDefault="0028049B" w:rsidP="00E40C89">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30</w:t>
            </w:r>
          </w:p>
        </w:tc>
        <w:tc>
          <w:tcPr>
            <w:tcW w:w="1417" w:type="dxa"/>
            <w:shd w:val="clear" w:color="auto" w:fill="F2F2F2" w:themeFill="background1" w:themeFillShade="F2"/>
          </w:tcPr>
          <w:p w14:paraId="40AE4D3E" w14:textId="237FC126" w:rsidR="0028049B" w:rsidRPr="00E40C89" w:rsidRDefault="0028049B" w:rsidP="00E40C89">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6</w:t>
            </w:r>
            <w:r w:rsidR="006C30AC" w:rsidRPr="00E40C89">
              <w:rPr>
                <w:rFonts w:ascii="Times New Roman" w:hAnsi="Times New Roman" w:cs="Times New Roman"/>
                <w:b/>
                <w:bCs/>
                <w:szCs w:val="24"/>
              </w:rPr>
              <w:t>5</w:t>
            </w:r>
          </w:p>
        </w:tc>
        <w:tc>
          <w:tcPr>
            <w:tcW w:w="1418" w:type="dxa"/>
            <w:shd w:val="clear" w:color="auto" w:fill="F2F2F2" w:themeFill="background1" w:themeFillShade="F2"/>
          </w:tcPr>
          <w:p w14:paraId="79D62C58" w14:textId="5F138D59" w:rsidR="0028049B" w:rsidRPr="00E40C89" w:rsidRDefault="0028049B" w:rsidP="00E40C89">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4</w:t>
            </w:r>
            <w:r w:rsidR="006C30AC" w:rsidRPr="00E40C89">
              <w:rPr>
                <w:rFonts w:ascii="Times New Roman" w:hAnsi="Times New Roman" w:cs="Times New Roman"/>
                <w:b/>
                <w:bCs/>
                <w:szCs w:val="24"/>
              </w:rPr>
              <w:t>9</w:t>
            </w:r>
          </w:p>
        </w:tc>
        <w:tc>
          <w:tcPr>
            <w:tcW w:w="1423" w:type="dxa"/>
            <w:shd w:val="clear" w:color="auto" w:fill="F2F2F2" w:themeFill="background1" w:themeFillShade="F2"/>
          </w:tcPr>
          <w:p w14:paraId="28703098" w14:textId="27DA573F" w:rsidR="0028049B" w:rsidRPr="00E40C89" w:rsidRDefault="0028049B" w:rsidP="00E40C89">
            <w:pPr>
              <w:autoSpaceDE w:val="0"/>
              <w:autoSpaceDN w:val="0"/>
              <w:adjustRightInd w:val="0"/>
              <w:jc w:val="center"/>
              <w:rPr>
                <w:rFonts w:ascii="Times New Roman" w:hAnsi="Times New Roman" w:cs="Times New Roman"/>
                <w:b/>
                <w:bCs/>
                <w:szCs w:val="24"/>
              </w:rPr>
            </w:pPr>
            <w:r w:rsidRPr="00E40C89">
              <w:rPr>
                <w:rFonts w:ascii="Times New Roman" w:hAnsi="Times New Roman" w:cs="Times New Roman"/>
                <w:b/>
                <w:bCs/>
                <w:szCs w:val="24"/>
              </w:rPr>
              <w:t>3</w:t>
            </w:r>
            <w:r w:rsidR="00DE129E" w:rsidRPr="00E40C89">
              <w:rPr>
                <w:rFonts w:ascii="Times New Roman" w:hAnsi="Times New Roman" w:cs="Times New Roman"/>
                <w:b/>
                <w:bCs/>
                <w:szCs w:val="24"/>
              </w:rPr>
              <w:t>4</w:t>
            </w:r>
          </w:p>
        </w:tc>
      </w:tr>
    </w:tbl>
    <w:p w14:paraId="30BBF474" w14:textId="77777777" w:rsidR="007A7694" w:rsidRPr="00E40C89" w:rsidRDefault="007A7694" w:rsidP="00E40C89">
      <w:pPr>
        <w:jc w:val="center"/>
      </w:pPr>
    </w:p>
    <w:p w14:paraId="359DD50B" w14:textId="77777777" w:rsidR="007A7694" w:rsidRPr="00E40C89" w:rsidRDefault="007A7694" w:rsidP="00E40C89">
      <w:pPr>
        <w:jc w:val="center"/>
        <w:rPr>
          <w:b/>
        </w:rPr>
      </w:pPr>
      <w:r w:rsidRPr="00E40C89">
        <w:rPr>
          <w:b/>
        </w:rPr>
        <w:t>III SKYRIUS</w:t>
      </w:r>
    </w:p>
    <w:p w14:paraId="0302C4BE" w14:textId="77777777" w:rsidR="007A7694" w:rsidRPr="00E40C89" w:rsidRDefault="007A7694" w:rsidP="00E40C89">
      <w:pPr>
        <w:jc w:val="center"/>
        <w:rPr>
          <w:b/>
        </w:rPr>
      </w:pPr>
      <w:r w:rsidRPr="00E40C89">
        <w:rPr>
          <w:b/>
        </w:rPr>
        <w:t>PROGRAMOS ĮGYVENDINIMAS</w:t>
      </w:r>
    </w:p>
    <w:p w14:paraId="1C4253EA" w14:textId="77777777" w:rsidR="007A7694" w:rsidRPr="00E40C89" w:rsidRDefault="007A7694" w:rsidP="00E40C89">
      <w:pPr>
        <w:jc w:val="center"/>
        <w:rPr>
          <w:b/>
        </w:rPr>
      </w:pPr>
    </w:p>
    <w:p w14:paraId="3799F5E7" w14:textId="299DC28F" w:rsidR="007A7694" w:rsidRPr="00E40C89" w:rsidRDefault="00917E9F" w:rsidP="00E40C89">
      <w:pPr>
        <w:ind w:firstLine="720"/>
        <w:jc w:val="both"/>
        <w:rPr>
          <w:color w:val="000000"/>
          <w:szCs w:val="24"/>
          <w:lang w:eastAsia="lt-LT"/>
        </w:rPr>
      </w:pPr>
      <w:r w:rsidRPr="00E40C89">
        <w:rPr>
          <w:szCs w:val="24"/>
        </w:rPr>
        <w:t xml:space="preserve">21. </w:t>
      </w:r>
      <w:r w:rsidR="007A7694" w:rsidRPr="00E40C89">
        <w:rPr>
          <w:szCs w:val="24"/>
        </w:rPr>
        <w:t>Jaunųjų specialistų pritraukimo į Panevėžio miesto ugdymo įstaigas ir pedagogų perkvalifikavimo 2021</w:t>
      </w:r>
      <w:r w:rsidR="002C39B7">
        <w:rPr>
          <w:szCs w:val="24"/>
        </w:rPr>
        <w:t>–</w:t>
      </w:r>
      <w:r w:rsidR="007A7694" w:rsidRPr="00E40C89">
        <w:rPr>
          <w:szCs w:val="24"/>
        </w:rPr>
        <w:t xml:space="preserve">2023 m. programos </w:t>
      </w:r>
      <w:r w:rsidR="007A7694" w:rsidRPr="00E40C89">
        <w:rPr>
          <w:color w:val="000000"/>
          <w:szCs w:val="24"/>
          <w:lang w:eastAsia="lt-LT"/>
        </w:rPr>
        <w:t>įgyvendinimo priemonių plane numatytos šios prioritetinės veiklos sritys:</w:t>
      </w:r>
    </w:p>
    <w:p w14:paraId="287B6ABF" w14:textId="15420E1C" w:rsidR="007A7694" w:rsidRPr="00E40C89" w:rsidRDefault="00FE671D" w:rsidP="00E40C89">
      <w:pPr>
        <w:ind w:firstLine="720"/>
        <w:rPr>
          <w:color w:val="000000"/>
          <w:szCs w:val="24"/>
          <w:lang w:eastAsia="lt-LT"/>
        </w:rPr>
      </w:pPr>
      <w:r w:rsidRPr="00E40C89">
        <w:rPr>
          <w:color w:val="000000"/>
          <w:szCs w:val="24"/>
          <w:lang w:eastAsia="lt-LT"/>
        </w:rPr>
        <w:t xml:space="preserve">21.1. </w:t>
      </w:r>
      <w:r w:rsidR="007A7694" w:rsidRPr="00E40C89">
        <w:rPr>
          <w:color w:val="000000"/>
          <w:szCs w:val="24"/>
          <w:lang w:eastAsia="lt-LT"/>
        </w:rPr>
        <w:t>pedagogų darbo sąlygų gerinimas;</w:t>
      </w:r>
    </w:p>
    <w:p w14:paraId="21BAF456" w14:textId="29D8E492" w:rsidR="007A7694" w:rsidRPr="00E40C89" w:rsidRDefault="00FE671D" w:rsidP="00E40C89">
      <w:pPr>
        <w:ind w:firstLine="720"/>
        <w:rPr>
          <w:color w:val="000000"/>
          <w:szCs w:val="24"/>
          <w:lang w:eastAsia="lt-LT"/>
        </w:rPr>
      </w:pPr>
      <w:r w:rsidRPr="00E40C89">
        <w:rPr>
          <w:color w:val="000000"/>
          <w:szCs w:val="24"/>
          <w:lang w:eastAsia="lt-LT"/>
        </w:rPr>
        <w:t xml:space="preserve">21.2. </w:t>
      </w:r>
      <w:r w:rsidR="007A7694" w:rsidRPr="00E40C89">
        <w:rPr>
          <w:color w:val="000000"/>
          <w:szCs w:val="24"/>
          <w:lang w:eastAsia="lt-LT"/>
        </w:rPr>
        <w:t>trūkstamų specialybių pedagogų pritraukimo</w:t>
      </w:r>
      <w:r w:rsidR="00917E9F" w:rsidRPr="00E40C89">
        <w:rPr>
          <w:color w:val="000000"/>
          <w:szCs w:val="24"/>
          <w:lang w:eastAsia="lt-LT"/>
        </w:rPr>
        <w:t xml:space="preserve"> priemonių plėtra</w:t>
      </w:r>
      <w:r w:rsidR="007A7694" w:rsidRPr="00E40C89">
        <w:rPr>
          <w:color w:val="000000"/>
          <w:szCs w:val="24"/>
          <w:lang w:eastAsia="lt-LT"/>
        </w:rPr>
        <w:t>;</w:t>
      </w:r>
    </w:p>
    <w:p w14:paraId="1C3C3DA5" w14:textId="544BC148" w:rsidR="007A7694" w:rsidRPr="00E40C89" w:rsidRDefault="00FE671D" w:rsidP="00E40C89">
      <w:pPr>
        <w:ind w:firstLine="720"/>
        <w:rPr>
          <w:color w:val="000000"/>
          <w:szCs w:val="24"/>
          <w:lang w:eastAsia="lt-LT"/>
        </w:rPr>
      </w:pPr>
      <w:r w:rsidRPr="00E40C89">
        <w:rPr>
          <w:color w:val="000000"/>
          <w:szCs w:val="24"/>
          <w:lang w:eastAsia="lt-LT"/>
        </w:rPr>
        <w:t xml:space="preserve">21.3. </w:t>
      </w:r>
      <w:r w:rsidR="007A7694" w:rsidRPr="00E40C89">
        <w:rPr>
          <w:color w:val="000000"/>
          <w:szCs w:val="24"/>
          <w:lang w:eastAsia="lt-LT"/>
        </w:rPr>
        <w:t>ugdymo įstaigų emocinės aplinkos gerinimas;</w:t>
      </w:r>
    </w:p>
    <w:p w14:paraId="4E159179" w14:textId="7942C946" w:rsidR="007A7694" w:rsidRPr="00E40C89" w:rsidRDefault="00FE671D" w:rsidP="00E40C89">
      <w:pPr>
        <w:ind w:firstLine="720"/>
        <w:rPr>
          <w:color w:val="000000"/>
          <w:szCs w:val="24"/>
          <w:lang w:eastAsia="lt-LT"/>
        </w:rPr>
      </w:pPr>
      <w:r w:rsidRPr="00E40C89">
        <w:rPr>
          <w:bCs/>
        </w:rPr>
        <w:t xml:space="preserve">21.4. </w:t>
      </w:r>
      <w:r w:rsidR="007A7694" w:rsidRPr="00E40C89">
        <w:rPr>
          <w:bCs/>
        </w:rPr>
        <w:t>pedagoginių darbuotojų kompetencijų tobulinimas ir sąlygų karjerai plėtra</w:t>
      </w:r>
      <w:r w:rsidR="007A7694" w:rsidRPr="00E40C89">
        <w:rPr>
          <w:color w:val="000000"/>
          <w:szCs w:val="24"/>
          <w:lang w:eastAsia="lt-LT"/>
        </w:rPr>
        <w:t>;</w:t>
      </w:r>
    </w:p>
    <w:p w14:paraId="2C7AA114" w14:textId="123069FC" w:rsidR="007A7694" w:rsidRPr="00E40C89" w:rsidRDefault="00FE671D" w:rsidP="00E40C89">
      <w:pPr>
        <w:ind w:firstLine="720"/>
        <w:rPr>
          <w:color w:val="000000"/>
          <w:szCs w:val="24"/>
          <w:lang w:eastAsia="lt-LT"/>
        </w:rPr>
      </w:pPr>
      <w:r w:rsidRPr="00E40C89">
        <w:rPr>
          <w:color w:val="000000"/>
          <w:szCs w:val="24"/>
          <w:lang w:eastAsia="lt-LT"/>
        </w:rPr>
        <w:t xml:space="preserve">21.5. </w:t>
      </w:r>
      <w:r w:rsidR="007A7694" w:rsidRPr="00E40C89">
        <w:rPr>
          <w:color w:val="000000"/>
          <w:szCs w:val="24"/>
          <w:lang w:eastAsia="lt-LT"/>
        </w:rPr>
        <w:t>mokyklų, jų vadovų ir pedagogų skatinimas;</w:t>
      </w:r>
    </w:p>
    <w:p w14:paraId="77825919" w14:textId="243DC324" w:rsidR="007A7694" w:rsidRPr="00E40C89" w:rsidRDefault="00FE671D" w:rsidP="00E40C89">
      <w:pPr>
        <w:ind w:firstLine="720"/>
        <w:rPr>
          <w:color w:val="000000"/>
          <w:szCs w:val="24"/>
          <w:lang w:eastAsia="lt-LT"/>
        </w:rPr>
      </w:pPr>
      <w:r w:rsidRPr="00E40C89">
        <w:rPr>
          <w:color w:val="000000"/>
          <w:szCs w:val="24"/>
          <w:lang w:eastAsia="lt-LT"/>
        </w:rPr>
        <w:t xml:space="preserve">21.6. </w:t>
      </w:r>
      <w:r w:rsidR="007A7694" w:rsidRPr="00E40C89">
        <w:rPr>
          <w:color w:val="000000"/>
          <w:szCs w:val="24"/>
          <w:lang w:eastAsia="lt-LT"/>
        </w:rPr>
        <w:t>bendradarbiavimo su socialiniais partneriais stiprinimas.</w:t>
      </w:r>
    </w:p>
    <w:p w14:paraId="5EA1164E" w14:textId="09CD4B65" w:rsidR="007A7694" w:rsidRPr="00E40C89" w:rsidRDefault="00FE671D" w:rsidP="00E40C89">
      <w:pPr>
        <w:ind w:firstLine="720"/>
        <w:jc w:val="both"/>
        <w:rPr>
          <w:color w:val="000000"/>
          <w:szCs w:val="24"/>
          <w:lang w:eastAsia="lt-LT"/>
        </w:rPr>
      </w:pPr>
      <w:r w:rsidRPr="00E40C89">
        <w:rPr>
          <w:color w:val="000000"/>
          <w:szCs w:val="24"/>
          <w:lang w:eastAsia="lt-LT"/>
        </w:rPr>
        <w:t>22. P</w:t>
      </w:r>
      <w:r w:rsidR="007A7694" w:rsidRPr="00E40C89">
        <w:rPr>
          <w:color w:val="000000"/>
          <w:szCs w:val="24"/>
          <w:lang w:eastAsia="lt-LT"/>
        </w:rPr>
        <w:t xml:space="preserve">rogramai įgyvendinti bus naudojamos </w:t>
      </w:r>
      <w:r w:rsidR="002C39B7" w:rsidRPr="00E40C89">
        <w:rPr>
          <w:color w:val="000000"/>
          <w:szCs w:val="24"/>
          <w:lang w:eastAsia="lt-LT"/>
        </w:rPr>
        <w:t xml:space="preserve">Savivaldybės </w:t>
      </w:r>
      <w:r w:rsidR="007A7694" w:rsidRPr="00E40C89">
        <w:rPr>
          <w:color w:val="000000"/>
          <w:szCs w:val="24"/>
          <w:lang w:eastAsia="lt-LT"/>
        </w:rPr>
        <w:t xml:space="preserve">biudžeto, valstybės tikslinės dotacijos lėšos ugdymo įstaigoms, rėmėjų lėšos. </w:t>
      </w:r>
      <w:r w:rsidR="00317B2A" w:rsidRPr="00E40C89">
        <w:rPr>
          <w:color w:val="000000"/>
          <w:szCs w:val="24"/>
          <w:lang w:eastAsia="lt-LT"/>
        </w:rPr>
        <w:t xml:space="preserve">Numatoma </w:t>
      </w:r>
      <w:r w:rsidR="002C39B7" w:rsidRPr="00E40C89">
        <w:rPr>
          <w:color w:val="000000"/>
          <w:szCs w:val="24"/>
          <w:lang w:eastAsia="lt-LT"/>
        </w:rPr>
        <w:t xml:space="preserve">kasmet </w:t>
      </w:r>
      <w:r w:rsidR="00317B2A" w:rsidRPr="00E40C89">
        <w:rPr>
          <w:color w:val="000000"/>
          <w:szCs w:val="24"/>
          <w:lang w:eastAsia="lt-LT"/>
        </w:rPr>
        <w:t>vykdyti p</w:t>
      </w:r>
      <w:r w:rsidR="007A7694" w:rsidRPr="00E40C89">
        <w:rPr>
          <w:color w:val="000000"/>
          <w:szCs w:val="24"/>
          <w:lang w:eastAsia="lt-LT"/>
        </w:rPr>
        <w:t>rogramos priemonių įgyvendinimo stebėseną. Atsižvelgiant į stebėsenos rezultatus, esant poreikiui, programa gali būti koreguojama, papildoma naujomis priemonėmis, tikslinamas lėšų poreikis.</w:t>
      </w:r>
    </w:p>
    <w:p w14:paraId="64E1A2D9" w14:textId="531BC421" w:rsidR="007A7694" w:rsidRPr="00E40C89" w:rsidRDefault="00FE671D" w:rsidP="00E40C89">
      <w:pPr>
        <w:ind w:firstLine="720"/>
        <w:jc w:val="both"/>
        <w:rPr>
          <w:color w:val="000000"/>
          <w:szCs w:val="24"/>
          <w:lang w:eastAsia="lt-LT"/>
        </w:rPr>
      </w:pPr>
      <w:r w:rsidRPr="00E40C89">
        <w:rPr>
          <w:color w:val="000000"/>
          <w:szCs w:val="24"/>
          <w:lang w:eastAsia="lt-LT"/>
        </w:rPr>
        <w:t xml:space="preserve">23. </w:t>
      </w:r>
      <w:r w:rsidR="006F046D" w:rsidRPr="00E40C89">
        <w:rPr>
          <w:color w:val="000000"/>
          <w:szCs w:val="24"/>
          <w:lang w:eastAsia="lt-LT"/>
        </w:rPr>
        <w:t>Bus parengtas</w:t>
      </w:r>
      <w:r w:rsidR="007A7694" w:rsidRPr="00E40C89">
        <w:rPr>
          <w:color w:val="000000"/>
          <w:szCs w:val="24"/>
          <w:lang w:eastAsia="lt-LT"/>
        </w:rPr>
        <w:t xml:space="preserve"> </w:t>
      </w:r>
      <w:r w:rsidR="002C39B7" w:rsidRPr="00E40C89">
        <w:rPr>
          <w:color w:val="000000"/>
          <w:szCs w:val="24"/>
          <w:lang w:eastAsia="lt-LT"/>
        </w:rPr>
        <w:t>P</w:t>
      </w:r>
      <w:r w:rsidR="002C39B7" w:rsidRPr="00E40C89">
        <w:rPr>
          <w:bCs/>
          <w:color w:val="000000"/>
          <w:szCs w:val="24"/>
          <w:lang w:eastAsia="he-IL" w:bidi="he-IL"/>
        </w:rPr>
        <w:t xml:space="preserve">edagogų </w:t>
      </w:r>
      <w:r w:rsidR="007A7694" w:rsidRPr="00E40C89">
        <w:rPr>
          <w:bCs/>
          <w:color w:val="000000"/>
          <w:szCs w:val="24"/>
          <w:lang w:eastAsia="he-IL" w:bidi="he-IL"/>
        </w:rPr>
        <w:t xml:space="preserve">kelionės į darbą </w:t>
      </w:r>
      <w:r w:rsidR="002C39B7" w:rsidRPr="00E40C89">
        <w:rPr>
          <w:bCs/>
          <w:color w:val="000000"/>
          <w:szCs w:val="24"/>
          <w:lang w:eastAsia="he-IL" w:bidi="he-IL"/>
        </w:rPr>
        <w:t>dali</w:t>
      </w:r>
      <w:r w:rsidR="002C39B7">
        <w:rPr>
          <w:bCs/>
          <w:color w:val="000000"/>
          <w:szCs w:val="24"/>
          <w:lang w:eastAsia="he-IL" w:bidi="he-IL"/>
        </w:rPr>
        <w:t>es</w:t>
      </w:r>
      <w:r w:rsidR="002C39B7" w:rsidRPr="00E40C89">
        <w:rPr>
          <w:bCs/>
          <w:color w:val="000000"/>
          <w:szCs w:val="24"/>
          <w:lang w:eastAsia="he-IL" w:bidi="he-IL"/>
        </w:rPr>
        <w:t xml:space="preserve"> </w:t>
      </w:r>
      <w:r w:rsidR="007A7694" w:rsidRPr="00E40C89">
        <w:rPr>
          <w:bCs/>
          <w:color w:val="000000"/>
          <w:szCs w:val="24"/>
          <w:lang w:eastAsia="he-IL" w:bidi="he-IL"/>
        </w:rPr>
        <w:t>išlaidų kompensavimo</w:t>
      </w:r>
      <w:r w:rsidR="006F046D" w:rsidRPr="00E40C89">
        <w:rPr>
          <w:bCs/>
          <w:color w:val="000000"/>
          <w:szCs w:val="24"/>
          <w:lang w:eastAsia="he-IL" w:bidi="he-IL"/>
        </w:rPr>
        <w:t xml:space="preserve"> tvarkos aprašas</w:t>
      </w:r>
      <w:r w:rsidR="007A7694" w:rsidRPr="00E40C89">
        <w:rPr>
          <w:bCs/>
          <w:color w:val="000000"/>
          <w:szCs w:val="24"/>
          <w:lang w:eastAsia="he-IL" w:bidi="he-IL"/>
        </w:rPr>
        <w:t xml:space="preserve">, </w:t>
      </w:r>
      <w:r w:rsidR="00DE5CCB" w:rsidRPr="00E40C89">
        <w:rPr>
          <w:szCs w:val="24"/>
        </w:rPr>
        <w:t>tęstinė</w:t>
      </w:r>
      <w:r w:rsidR="006F046D" w:rsidRPr="00E40C89">
        <w:rPr>
          <w:szCs w:val="24"/>
        </w:rPr>
        <w:t xml:space="preserve"> </w:t>
      </w:r>
      <w:r w:rsidR="002C39B7" w:rsidRPr="00E40C89">
        <w:rPr>
          <w:szCs w:val="24"/>
        </w:rPr>
        <w:t xml:space="preserve">Mokyklų </w:t>
      </w:r>
      <w:r w:rsidR="006F046D" w:rsidRPr="00E40C89">
        <w:rPr>
          <w:szCs w:val="24"/>
        </w:rPr>
        <w:t xml:space="preserve">vadovų vadybinių ir bendrųjų kompetencijų plėtojimo </w:t>
      </w:r>
      <w:r w:rsidR="006F046D" w:rsidRPr="00E40C89">
        <w:rPr>
          <w:color w:val="000000"/>
          <w:szCs w:val="24"/>
          <w:lang w:eastAsia="lt-LT"/>
        </w:rPr>
        <w:t>programa</w:t>
      </w:r>
      <w:r w:rsidR="00DE5CCB" w:rsidRPr="00E40C89">
        <w:rPr>
          <w:color w:val="000000"/>
          <w:szCs w:val="24"/>
          <w:lang w:eastAsia="lt-LT"/>
        </w:rPr>
        <w:t xml:space="preserve">. </w:t>
      </w:r>
    </w:p>
    <w:p w14:paraId="3F3149FB" w14:textId="6B0D8497" w:rsidR="007A7694" w:rsidRPr="00E40C89" w:rsidRDefault="00FE671D" w:rsidP="00E40C89">
      <w:pPr>
        <w:ind w:firstLine="720"/>
        <w:jc w:val="both"/>
      </w:pPr>
      <w:r w:rsidRPr="00E40C89">
        <w:t xml:space="preserve">24. </w:t>
      </w:r>
      <w:r w:rsidR="002C39B7">
        <w:t>S</w:t>
      </w:r>
      <w:r w:rsidR="007A7694" w:rsidRPr="00E40C89">
        <w:t xml:space="preserve">avivaldybės taryba kiekvienais metais numato </w:t>
      </w:r>
      <w:r w:rsidR="002C39B7" w:rsidRPr="00E40C89">
        <w:t xml:space="preserve">Savivaldybės biudžeto Švietimo ir ugdymo programoje </w:t>
      </w:r>
      <w:r w:rsidR="007A7694" w:rsidRPr="00E40C89">
        <w:t>lėš</w:t>
      </w:r>
      <w:r w:rsidR="002C39B7">
        <w:t>ų</w:t>
      </w:r>
      <w:r w:rsidR="007A7694" w:rsidRPr="00E40C89">
        <w:t xml:space="preserve"> program</w:t>
      </w:r>
      <w:r w:rsidR="002C39B7">
        <w:t>ai</w:t>
      </w:r>
      <w:r w:rsidR="007A7694" w:rsidRPr="00E40C89">
        <w:t xml:space="preserve"> įgyvendin</w:t>
      </w:r>
      <w:r w:rsidR="002C39B7">
        <w:t>t</w:t>
      </w:r>
      <w:r w:rsidR="007A7694" w:rsidRPr="00E40C89">
        <w:t>i. Programoje numatytos priemonės ir veiklos įgyvendinamos tik gavus finansavimą. 2021 m. skirta 1</w:t>
      </w:r>
      <w:r w:rsidR="00EC4BE1" w:rsidRPr="00E40C89">
        <w:t>0</w:t>
      </w:r>
      <w:r w:rsidR="007A7694" w:rsidRPr="00E40C89">
        <w:t xml:space="preserve"> 000 Eur., kasmet būtina numatyti ne mažesnę sumą. </w:t>
      </w:r>
    </w:p>
    <w:p w14:paraId="60EFF248" w14:textId="77777777" w:rsidR="007A7694" w:rsidRPr="00E40C89" w:rsidRDefault="007A7694" w:rsidP="007A7694">
      <w:pPr>
        <w:tabs>
          <w:tab w:val="num" w:pos="720"/>
        </w:tabs>
        <w:jc w:val="center"/>
      </w:pPr>
    </w:p>
    <w:p w14:paraId="702E94A9" w14:textId="77777777" w:rsidR="007A7694" w:rsidRPr="00E40C89" w:rsidRDefault="007A7694" w:rsidP="007A7694">
      <w:pPr>
        <w:jc w:val="center"/>
      </w:pPr>
      <w:r w:rsidRPr="00E40C89">
        <w:rPr>
          <w:b/>
        </w:rPr>
        <w:t>IV SKYRIUS</w:t>
      </w:r>
    </w:p>
    <w:p w14:paraId="460A15CC" w14:textId="77777777" w:rsidR="007A7694" w:rsidRPr="00E40C89" w:rsidRDefault="007A7694" w:rsidP="007A7694">
      <w:pPr>
        <w:jc w:val="center"/>
        <w:rPr>
          <w:b/>
        </w:rPr>
      </w:pPr>
      <w:r w:rsidRPr="00E40C89">
        <w:rPr>
          <w:b/>
        </w:rPr>
        <w:t>PROGRAMOS ĮGYVENDINIMO PRIEMONIŲ PLANAS</w:t>
      </w:r>
    </w:p>
    <w:p w14:paraId="0BF31D70" w14:textId="77777777" w:rsidR="007A7694" w:rsidRPr="00E40C89" w:rsidRDefault="007A7694" w:rsidP="007A7694">
      <w:pPr>
        <w:jc w:val="center"/>
        <w:rPr>
          <w:b/>
          <w:color w:val="00000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3811"/>
        <w:gridCol w:w="1843"/>
        <w:gridCol w:w="1559"/>
        <w:gridCol w:w="1843"/>
      </w:tblGrid>
      <w:tr w:rsidR="007A7694" w:rsidRPr="00E40C89" w14:paraId="7528DDF4" w14:textId="77777777" w:rsidTr="00C929F8">
        <w:trPr>
          <w:trHeight w:val="1300"/>
        </w:trPr>
        <w:tc>
          <w:tcPr>
            <w:tcW w:w="725" w:type="dxa"/>
            <w:shd w:val="clear" w:color="auto" w:fill="auto"/>
            <w:vAlign w:val="center"/>
          </w:tcPr>
          <w:p w14:paraId="08BCFB80" w14:textId="77777777" w:rsidR="007A7694" w:rsidRPr="00E40C89" w:rsidRDefault="007A7694" w:rsidP="00C929F8">
            <w:pPr>
              <w:tabs>
                <w:tab w:val="left" w:pos="9638"/>
                <w:tab w:val="left" w:pos="9720"/>
              </w:tabs>
              <w:jc w:val="center"/>
            </w:pPr>
            <w:r w:rsidRPr="00E40C89">
              <w:t>Eil. Nr.</w:t>
            </w:r>
          </w:p>
        </w:tc>
        <w:tc>
          <w:tcPr>
            <w:tcW w:w="3811" w:type="dxa"/>
            <w:shd w:val="clear" w:color="auto" w:fill="auto"/>
            <w:vAlign w:val="center"/>
          </w:tcPr>
          <w:p w14:paraId="55091E9D" w14:textId="77777777" w:rsidR="007A7694" w:rsidRPr="00E40C89" w:rsidRDefault="007A7694" w:rsidP="00C929F8">
            <w:pPr>
              <w:tabs>
                <w:tab w:val="left" w:pos="9638"/>
                <w:tab w:val="left" w:pos="9720"/>
              </w:tabs>
              <w:jc w:val="center"/>
            </w:pPr>
            <w:r w:rsidRPr="00E40C89">
              <w:t>Priemonė, veikla</w:t>
            </w:r>
          </w:p>
        </w:tc>
        <w:tc>
          <w:tcPr>
            <w:tcW w:w="1843" w:type="dxa"/>
            <w:shd w:val="clear" w:color="auto" w:fill="auto"/>
            <w:vAlign w:val="center"/>
          </w:tcPr>
          <w:p w14:paraId="59E840F4" w14:textId="77777777" w:rsidR="007A7694" w:rsidRPr="00E40C89" w:rsidRDefault="007A7694" w:rsidP="00C929F8">
            <w:pPr>
              <w:tabs>
                <w:tab w:val="left" w:pos="9638"/>
                <w:tab w:val="left" w:pos="9720"/>
              </w:tabs>
              <w:jc w:val="center"/>
            </w:pPr>
            <w:r w:rsidRPr="00E40C89">
              <w:t>Vykdytojas, partneriai</w:t>
            </w:r>
          </w:p>
        </w:tc>
        <w:tc>
          <w:tcPr>
            <w:tcW w:w="1559" w:type="dxa"/>
            <w:shd w:val="clear" w:color="auto" w:fill="auto"/>
            <w:vAlign w:val="center"/>
          </w:tcPr>
          <w:p w14:paraId="3E10BB44" w14:textId="00A47CDC" w:rsidR="007A7694" w:rsidRPr="00E40C89" w:rsidRDefault="007A7694" w:rsidP="00C929F8">
            <w:pPr>
              <w:tabs>
                <w:tab w:val="left" w:pos="9638"/>
                <w:tab w:val="left" w:pos="9720"/>
              </w:tabs>
              <w:jc w:val="center"/>
            </w:pPr>
            <w:r w:rsidRPr="00E40C89">
              <w:t>Įgyvendini</w:t>
            </w:r>
            <w:r w:rsidR="002C39B7">
              <w:t>-</w:t>
            </w:r>
            <w:r w:rsidRPr="00E40C89">
              <w:t>mo laikas</w:t>
            </w:r>
          </w:p>
        </w:tc>
        <w:tc>
          <w:tcPr>
            <w:tcW w:w="1843" w:type="dxa"/>
            <w:vAlign w:val="center"/>
          </w:tcPr>
          <w:p w14:paraId="22ECE563" w14:textId="77777777" w:rsidR="007A7694" w:rsidRPr="00E40C89" w:rsidRDefault="007A7694" w:rsidP="00C929F8">
            <w:pPr>
              <w:tabs>
                <w:tab w:val="left" w:pos="9638"/>
                <w:tab w:val="left" w:pos="9720"/>
              </w:tabs>
              <w:jc w:val="center"/>
            </w:pPr>
            <w:r w:rsidRPr="00E40C89">
              <w:t xml:space="preserve">Dalinis finansavimas arba vienkartinė išmoka </w:t>
            </w:r>
            <w:r w:rsidRPr="00E40C89">
              <w:rPr>
                <w:sz w:val="20"/>
              </w:rPr>
              <w:t>(preliminarus ir gali keistis, atsižvelgus į poreikį ir gautas lėšas)</w:t>
            </w:r>
          </w:p>
        </w:tc>
      </w:tr>
      <w:tr w:rsidR="007A7694" w:rsidRPr="00E40C89" w14:paraId="5456853A" w14:textId="77777777" w:rsidTr="00C929F8">
        <w:tc>
          <w:tcPr>
            <w:tcW w:w="725" w:type="dxa"/>
            <w:shd w:val="clear" w:color="auto" w:fill="auto"/>
          </w:tcPr>
          <w:p w14:paraId="3BD7D56C" w14:textId="77777777" w:rsidR="007A7694" w:rsidRPr="00E40C89" w:rsidRDefault="007A7694" w:rsidP="00C929F8">
            <w:pPr>
              <w:tabs>
                <w:tab w:val="left" w:pos="9638"/>
                <w:tab w:val="left" w:pos="9720"/>
              </w:tabs>
              <w:jc w:val="center"/>
            </w:pPr>
            <w:r w:rsidRPr="00E40C89">
              <w:t>1.</w:t>
            </w:r>
          </w:p>
        </w:tc>
        <w:tc>
          <w:tcPr>
            <w:tcW w:w="3811" w:type="dxa"/>
            <w:shd w:val="clear" w:color="auto" w:fill="auto"/>
          </w:tcPr>
          <w:p w14:paraId="62236CC5" w14:textId="53EBB6DD" w:rsidR="007A7694" w:rsidRPr="00E40C89" w:rsidRDefault="007A7694" w:rsidP="004372D3">
            <w:pPr>
              <w:tabs>
                <w:tab w:val="left" w:pos="9638"/>
                <w:tab w:val="left" w:pos="9720"/>
              </w:tabs>
              <w:ind w:right="34"/>
              <w:jc w:val="both"/>
            </w:pPr>
            <w:r w:rsidRPr="00E40C89">
              <w:t xml:space="preserve">Pasirašyti ketinimo protokolus ir </w:t>
            </w:r>
            <w:r w:rsidR="002C39B7">
              <w:t>(</w:t>
            </w:r>
            <w:r w:rsidRPr="00E40C89">
              <w:t>ar</w:t>
            </w:r>
            <w:r w:rsidR="002C39B7">
              <w:t>)</w:t>
            </w:r>
            <w:r w:rsidRPr="00E40C89">
              <w:t xml:space="preserve"> sutartis su 3</w:t>
            </w:r>
            <w:r w:rsidR="00E40C89" w:rsidRPr="00E40C89">
              <w:t>–</w:t>
            </w:r>
            <w:r w:rsidRPr="00E40C89">
              <w:t>4 trūkstamų pedagoginių specialybių studentais, įsipareigojant iš dalies finansuoti studijas, įpareigojant baigus dirbti miesto ugdymo įstaigose priklausomai nuo skirtos finansinės paramos trukmės.</w:t>
            </w:r>
          </w:p>
        </w:tc>
        <w:tc>
          <w:tcPr>
            <w:tcW w:w="1843" w:type="dxa"/>
            <w:shd w:val="clear" w:color="auto" w:fill="auto"/>
          </w:tcPr>
          <w:p w14:paraId="0410A7EC" w14:textId="77777777" w:rsidR="007A7694" w:rsidRPr="00E40C89" w:rsidRDefault="007A7694" w:rsidP="00C929F8">
            <w:pPr>
              <w:tabs>
                <w:tab w:val="left" w:pos="9638"/>
                <w:tab w:val="left" w:pos="9720"/>
              </w:tabs>
              <w:ind w:right="-82"/>
            </w:pPr>
            <w:r w:rsidRPr="00E40C89">
              <w:t xml:space="preserve">Savivaldybės administracija, </w:t>
            </w:r>
          </w:p>
          <w:p w14:paraId="0E06C0DC" w14:textId="77777777" w:rsidR="007A7694" w:rsidRPr="00E40C89" w:rsidRDefault="007A7694" w:rsidP="00C929F8">
            <w:pPr>
              <w:tabs>
                <w:tab w:val="left" w:pos="9638"/>
                <w:tab w:val="left" w:pos="9720"/>
              </w:tabs>
              <w:ind w:right="-82"/>
            </w:pPr>
            <w:r w:rsidRPr="00E40C89">
              <w:t>mokyklų vadovai</w:t>
            </w:r>
          </w:p>
        </w:tc>
        <w:tc>
          <w:tcPr>
            <w:tcW w:w="1559" w:type="dxa"/>
            <w:shd w:val="clear" w:color="auto" w:fill="auto"/>
          </w:tcPr>
          <w:p w14:paraId="34216D46" w14:textId="77777777" w:rsidR="007A7694" w:rsidRPr="00E40C89" w:rsidRDefault="007A7694" w:rsidP="00C929F8">
            <w:pPr>
              <w:tabs>
                <w:tab w:val="left" w:pos="9638"/>
                <w:tab w:val="left" w:pos="9720"/>
              </w:tabs>
              <w:ind w:right="-82"/>
            </w:pPr>
            <w:r w:rsidRPr="00E40C89">
              <w:t>Nuo 2021 m.</w:t>
            </w:r>
          </w:p>
        </w:tc>
        <w:tc>
          <w:tcPr>
            <w:tcW w:w="1843" w:type="dxa"/>
          </w:tcPr>
          <w:p w14:paraId="0169D67F" w14:textId="77777777" w:rsidR="007A7694" w:rsidRPr="00E40C89" w:rsidRDefault="007A7694" w:rsidP="00C929F8">
            <w:pPr>
              <w:tabs>
                <w:tab w:val="left" w:pos="9638"/>
                <w:tab w:val="left" w:pos="9720"/>
              </w:tabs>
              <w:ind w:right="-82"/>
            </w:pPr>
            <w:r w:rsidRPr="00E40C89">
              <w:t>3 000 Eur</w:t>
            </w:r>
          </w:p>
        </w:tc>
      </w:tr>
      <w:tr w:rsidR="007A7694" w:rsidRPr="00E40C89" w14:paraId="65D18663" w14:textId="77777777" w:rsidTr="00C929F8">
        <w:tc>
          <w:tcPr>
            <w:tcW w:w="725" w:type="dxa"/>
            <w:shd w:val="clear" w:color="auto" w:fill="auto"/>
          </w:tcPr>
          <w:p w14:paraId="1641D9AA" w14:textId="77777777" w:rsidR="007A7694" w:rsidRPr="00E40C89" w:rsidRDefault="007A7694" w:rsidP="00C929F8">
            <w:pPr>
              <w:tabs>
                <w:tab w:val="left" w:pos="9638"/>
                <w:tab w:val="left" w:pos="9720"/>
              </w:tabs>
              <w:jc w:val="center"/>
            </w:pPr>
            <w:r w:rsidRPr="00E40C89">
              <w:t>2.</w:t>
            </w:r>
          </w:p>
        </w:tc>
        <w:tc>
          <w:tcPr>
            <w:tcW w:w="3811" w:type="dxa"/>
            <w:shd w:val="clear" w:color="auto" w:fill="auto"/>
          </w:tcPr>
          <w:p w14:paraId="77481AA8" w14:textId="77777777" w:rsidR="007A7694" w:rsidRPr="00E40C89" w:rsidRDefault="007A7694" w:rsidP="004372D3">
            <w:pPr>
              <w:tabs>
                <w:tab w:val="left" w:pos="9638"/>
                <w:tab w:val="left" w:pos="9720"/>
              </w:tabs>
              <w:ind w:right="34"/>
              <w:jc w:val="both"/>
            </w:pPr>
            <w:r w:rsidRPr="00E40C89">
              <w:t>Skatinti pedagogus, pasirinkus mieste trūkstamą pedagoginę specialybę, persikvalifikuoti:</w:t>
            </w:r>
          </w:p>
          <w:p w14:paraId="24339F4F" w14:textId="614991EE" w:rsidR="007A7694" w:rsidRPr="00E40C89" w:rsidRDefault="007A7694" w:rsidP="004372D3">
            <w:pPr>
              <w:tabs>
                <w:tab w:val="left" w:pos="9638"/>
                <w:tab w:val="left" w:pos="9720"/>
              </w:tabs>
              <w:ind w:right="34"/>
              <w:jc w:val="both"/>
              <w:rPr>
                <w:szCs w:val="24"/>
              </w:rPr>
            </w:pPr>
            <w:r w:rsidRPr="00E40C89">
              <w:t xml:space="preserve">2.1. </w:t>
            </w:r>
            <w:r w:rsidR="002C39B7">
              <w:rPr>
                <w:szCs w:val="24"/>
              </w:rPr>
              <w:t>i</w:t>
            </w:r>
            <w:r w:rsidRPr="00E40C89">
              <w:rPr>
                <w:szCs w:val="24"/>
              </w:rPr>
              <w:t>š dalies finansuoti persikvalifikuojančių mokytojų studijas;</w:t>
            </w:r>
          </w:p>
          <w:p w14:paraId="1B469C84" w14:textId="13AE1B43" w:rsidR="007A7694" w:rsidRPr="00E40C89" w:rsidRDefault="007A7694" w:rsidP="004372D3">
            <w:pPr>
              <w:tabs>
                <w:tab w:val="left" w:pos="9638"/>
                <w:tab w:val="left" w:pos="9720"/>
              </w:tabs>
              <w:ind w:right="34"/>
              <w:jc w:val="both"/>
              <w:rPr>
                <w:szCs w:val="24"/>
              </w:rPr>
            </w:pPr>
            <w:r w:rsidRPr="00E40C89">
              <w:rPr>
                <w:szCs w:val="24"/>
              </w:rPr>
              <w:t xml:space="preserve">2.2. </w:t>
            </w:r>
            <w:r w:rsidR="002C39B7">
              <w:rPr>
                <w:szCs w:val="24"/>
              </w:rPr>
              <w:t>s</w:t>
            </w:r>
            <w:r w:rsidRPr="00E40C89">
              <w:rPr>
                <w:szCs w:val="24"/>
              </w:rPr>
              <w:t>umokėti studijuojantiems pedagogams kelionės išlaidas sesijų metu</w:t>
            </w:r>
            <w:r w:rsidR="002C39B7">
              <w:rPr>
                <w:szCs w:val="24"/>
              </w:rPr>
              <w:t>;</w:t>
            </w:r>
          </w:p>
          <w:p w14:paraId="6B737256" w14:textId="0B78161D" w:rsidR="00075CC1" w:rsidRPr="00E40C89" w:rsidRDefault="00075CC1" w:rsidP="004372D3">
            <w:pPr>
              <w:tabs>
                <w:tab w:val="left" w:pos="9638"/>
                <w:tab w:val="left" w:pos="9720"/>
              </w:tabs>
              <w:ind w:right="34"/>
              <w:jc w:val="both"/>
            </w:pPr>
            <w:r w:rsidRPr="00E40C89">
              <w:rPr>
                <w:szCs w:val="24"/>
              </w:rPr>
              <w:t xml:space="preserve">2.3. </w:t>
            </w:r>
            <w:r w:rsidR="002C39B7">
              <w:rPr>
                <w:szCs w:val="24"/>
              </w:rPr>
              <w:t>i</w:t>
            </w:r>
            <w:r w:rsidRPr="00E40C89">
              <w:rPr>
                <w:szCs w:val="24"/>
              </w:rPr>
              <w:t>nformuoti ir skatinti pedagogus persikvalifikuoti ir įgyti papildomą ar gretutinį pasirengimą pasinaudojant nacionalinių projektų galimybė</w:t>
            </w:r>
            <w:r w:rsidR="005504A4" w:rsidRPr="00E40C89">
              <w:rPr>
                <w:szCs w:val="24"/>
              </w:rPr>
              <w:t>mis.</w:t>
            </w:r>
            <w:r w:rsidRPr="00E40C89">
              <w:rPr>
                <w:szCs w:val="24"/>
              </w:rPr>
              <w:t xml:space="preserve"> </w:t>
            </w:r>
          </w:p>
        </w:tc>
        <w:tc>
          <w:tcPr>
            <w:tcW w:w="1843" w:type="dxa"/>
            <w:shd w:val="clear" w:color="auto" w:fill="auto"/>
          </w:tcPr>
          <w:p w14:paraId="46F648E0" w14:textId="77777777" w:rsidR="007A7694" w:rsidRPr="00E40C89" w:rsidRDefault="007A7694" w:rsidP="00C929F8">
            <w:pPr>
              <w:tabs>
                <w:tab w:val="left" w:pos="9638"/>
                <w:tab w:val="left" w:pos="9720"/>
              </w:tabs>
              <w:ind w:right="-82"/>
            </w:pPr>
            <w:r w:rsidRPr="00E40C89">
              <w:t xml:space="preserve">Savivaldybės administracija, aukštosios mokyklos </w:t>
            </w:r>
          </w:p>
        </w:tc>
        <w:tc>
          <w:tcPr>
            <w:tcW w:w="1559" w:type="dxa"/>
            <w:shd w:val="clear" w:color="auto" w:fill="auto"/>
          </w:tcPr>
          <w:p w14:paraId="7156881F" w14:textId="77777777" w:rsidR="007A7694" w:rsidRPr="00E40C89" w:rsidRDefault="007A7694" w:rsidP="00C929F8">
            <w:pPr>
              <w:tabs>
                <w:tab w:val="left" w:pos="9638"/>
                <w:tab w:val="left" w:pos="9720"/>
              </w:tabs>
              <w:ind w:right="-82"/>
            </w:pPr>
            <w:r w:rsidRPr="00E40C89">
              <w:t>Nuo 2021 m.</w:t>
            </w:r>
          </w:p>
        </w:tc>
        <w:tc>
          <w:tcPr>
            <w:tcW w:w="1843" w:type="dxa"/>
          </w:tcPr>
          <w:p w14:paraId="594FC7CD" w14:textId="77777777" w:rsidR="007A7694" w:rsidRPr="00E40C89" w:rsidRDefault="00EC4BE1" w:rsidP="00C929F8">
            <w:pPr>
              <w:tabs>
                <w:tab w:val="left" w:pos="9638"/>
                <w:tab w:val="left" w:pos="9720"/>
              </w:tabs>
              <w:ind w:right="-82"/>
            </w:pPr>
            <w:r w:rsidRPr="00E40C89">
              <w:t>4</w:t>
            </w:r>
            <w:r w:rsidR="007A7694" w:rsidRPr="00E40C89">
              <w:t> 000 Eur</w:t>
            </w:r>
          </w:p>
          <w:p w14:paraId="64B0E27B" w14:textId="77777777" w:rsidR="00075CC1" w:rsidRPr="00E40C89" w:rsidRDefault="00075CC1" w:rsidP="00C929F8">
            <w:pPr>
              <w:tabs>
                <w:tab w:val="left" w:pos="9638"/>
                <w:tab w:val="left" w:pos="9720"/>
              </w:tabs>
              <w:ind w:right="-82"/>
            </w:pPr>
          </w:p>
          <w:p w14:paraId="70ED6ECF" w14:textId="77777777" w:rsidR="00075CC1" w:rsidRPr="00E40C89" w:rsidRDefault="00075CC1" w:rsidP="00C929F8">
            <w:pPr>
              <w:tabs>
                <w:tab w:val="left" w:pos="9638"/>
                <w:tab w:val="left" w:pos="9720"/>
              </w:tabs>
              <w:ind w:right="-82"/>
            </w:pPr>
          </w:p>
          <w:p w14:paraId="5FC0EB24" w14:textId="77777777" w:rsidR="00075CC1" w:rsidRPr="00E40C89" w:rsidRDefault="00075CC1" w:rsidP="00C929F8">
            <w:pPr>
              <w:tabs>
                <w:tab w:val="left" w:pos="9638"/>
                <w:tab w:val="left" w:pos="9720"/>
              </w:tabs>
              <w:ind w:right="-82"/>
            </w:pPr>
          </w:p>
          <w:p w14:paraId="0709AC4F" w14:textId="77777777" w:rsidR="00075CC1" w:rsidRPr="00E40C89" w:rsidRDefault="00075CC1" w:rsidP="00C929F8">
            <w:pPr>
              <w:tabs>
                <w:tab w:val="left" w:pos="9638"/>
                <w:tab w:val="left" w:pos="9720"/>
              </w:tabs>
              <w:ind w:right="-82"/>
            </w:pPr>
          </w:p>
          <w:p w14:paraId="1923F937" w14:textId="77777777" w:rsidR="00075CC1" w:rsidRPr="00E40C89" w:rsidRDefault="00075CC1" w:rsidP="00C929F8">
            <w:pPr>
              <w:tabs>
                <w:tab w:val="left" w:pos="9638"/>
                <w:tab w:val="left" w:pos="9720"/>
              </w:tabs>
              <w:ind w:right="-82"/>
            </w:pPr>
          </w:p>
          <w:p w14:paraId="141C7465" w14:textId="77777777" w:rsidR="00075CC1" w:rsidRPr="00E40C89" w:rsidRDefault="00075CC1" w:rsidP="00C929F8">
            <w:pPr>
              <w:tabs>
                <w:tab w:val="left" w:pos="9638"/>
                <w:tab w:val="left" w:pos="9720"/>
              </w:tabs>
              <w:ind w:right="-82"/>
            </w:pPr>
          </w:p>
          <w:p w14:paraId="22AA1020" w14:textId="77777777" w:rsidR="00075CC1" w:rsidRPr="00E40C89" w:rsidRDefault="00075CC1" w:rsidP="00C929F8">
            <w:pPr>
              <w:tabs>
                <w:tab w:val="left" w:pos="9638"/>
                <w:tab w:val="left" w:pos="9720"/>
              </w:tabs>
              <w:ind w:right="-82"/>
            </w:pPr>
          </w:p>
          <w:p w14:paraId="71394F66" w14:textId="77777777" w:rsidR="00075CC1" w:rsidRPr="00E40C89" w:rsidRDefault="00075CC1" w:rsidP="00C929F8">
            <w:pPr>
              <w:tabs>
                <w:tab w:val="left" w:pos="9638"/>
                <w:tab w:val="left" w:pos="9720"/>
              </w:tabs>
              <w:ind w:right="-82"/>
            </w:pPr>
          </w:p>
          <w:p w14:paraId="1FB109CB" w14:textId="49BD17A9" w:rsidR="00075CC1" w:rsidRPr="00E40C89" w:rsidRDefault="00075CC1" w:rsidP="00C929F8">
            <w:pPr>
              <w:tabs>
                <w:tab w:val="left" w:pos="9638"/>
                <w:tab w:val="left" w:pos="9720"/>
              </w:tabs>
              <w:ind w:right="-82"/>
            </w:pPr>
            <w:r w:rsidRPr="00E40C89">
              <w:t>ES lėšos</w:t>
            </w:r>
          </w:p>
        </w:tc>
      </w:tr>
      <w:tr w:rsidR="007A7694" w:rsidRPr="00E40C89" w14:paraId="08739A1A" w14:textId="77777777" w:rsidTr="002C39B7">
        <w:trPr>
          <w:trHeight w:val="5752"/>
        </w:trPr>
        <w:tc>
          <w:tcPr>
            <w:tcW w:w="725" w:type="dxa"/>
            <w:shd w:val="clear" w:color="auto" w:fill="auto"/>
          </w:tcPr>
          <w:p w14:paraId="321D7568" w14:textId="77777777" w:rsidR="007A7694" w:rsidRPr="00E40C89" w:rsidRDefault="007A7694" w:rsidP="00C929F8">
            <w:pPr>
              <w:tabs>
                <w:tab w:val="left" w:pos="9638"/>
                <w:tab w:val="left" w:pos="9720"/>
              </w:tabs>
              <w:jc w:val="center"/>
            </w:pPr>
            <w:r w:rsidRPr="00E40C89">
              <w:t>3.</w:t>
            </w:r>
          </w:p>
        </w:tc>
        <w:tc>
          <w:tcPr>
            <w:tcW w:w="3811" w:type="dxa"/>
            <w:shd w:val="clear" w:color="auto" w:fill="auto"/>
          </w:tcPr>
          <w:p w14:paraId="2F2DF0C5" w14:textId="77777777" w:rsidR="007A7694" w:rsidRPr="00E40C89" w:rsidRDefault="007A7694" w:rsidP="004372D3">
            <w:pPr>
              <w:tabs>
                <w:tab w:val="left" w:pos="9638"/>
                <w:tab w:val="left" w:pos="9720"/>
              </w:tabs>
              <w:ind w:right="34"/>
              <w:jc w:val="both"/>
            </w:pPr>
            <w:r w:rsidRPr="00E40C89">
              <w:t xml:space="preserve">Gilinti ir plėtoti dirbančių pedagogų profesines kompetencijas: </w:t>
            </w:r>
          </w:p>
          <w:p w14:paraId="107A952E" w14:textId="025A1B86" w:rsidR="007A7694" w:rsidRPr="00E40C89" w:rsidRDefault="007A7694" w:rsidP="004372D3">
            <w:pPr>
              <w:tabs>
                <w:tab w:val="left" w:pos="9638"/>
                <w:tab w:val="left" w:pos="9720"/>
              </w:tabs>
              <w:ind w:right="34"/>
              <w:jc w:val="both"/>
            </w:pPr>
            <w:r w:rsidRPr="00E40C89">
              <w:t xml:space="preserve">3.1. </w:t>
            </w:r>
            <w:r w:rsidR="002C39B7" w:rsidRPr="00E40C89">
              <w:t xml:space="preserve">rengti </w:t>
            </w:r>
            <w:r w:rsidR="005504A4" w:rsidRPr="00E40C89">
              <w:t xml:space="preserve">ir įgyvendinti </w:t>
            </w:r>
            <w:r w:rsidRPr="00E40C89">
              <w:t xml:space="preserve">tęstines profesinio tobulinimo(si) programas </w:t>
            </w:r>
            <w:r w:rsidR="005504A4" w:rsidRPr="00E40C89">
              <w:t>STEAM dalykų pedagoginiams darbuotojams</w:t>
            </w:r>
            <w:r w:rsidRPr="00E40C89">
              <w:t xml:space="preserve">; </w:t>
            </w:r>
          </w:p>
          <w:p w14:paraId="49B9B07F" w14:textId="5B039ECB" w:rsidR="007A7694" w:rsidRPr="00E40C89" w:rsidRDefault="007A7694" w:rsidP="004372D3">
            <w:pPr>
              <w:tabs>
                <w:tab w:val="left" w:pos="9638"/>
                <w:tab w:val="left" w:pos="9720"/>
              </w:tabs>
              <w:ind w:right="34"/>
              <w:jc w:val="both"/>
            </w:pPr>
            <w:r w:rsidRPr="00E40C89">
              <w:t xml:space="preserve">3.2. </w:t>
            </w:r>
            <w:r w:rsidR="002C39B7" w:rsidRPr="00E40C89">
              <w:t xml:space="preserve">parengti </w:t>
            </w:r>
            <w:r w:rsidRPr="00E40C89">
              <w:t>ir įgyvendinti socialinio emocinio ugdymo programą;</w:t>
            </w:r>
          </w:p>
          <w:p w14:paraId="73B4C71C" w14:textId="51752933" w:rsidR="007A7694" w:rsidRPr="00E40C89" w:rsidRDefault="007A7694" w:rsidP="004372D3">
            <w:pPr>
              <w:tabs>
                <w:tab w:val="left" w:pos="9638"/>
                <w:tab w:val="left" w:pos="9720"/>
              </w:tabs>
              <w:ind w:right="34"/>
              <w:jc w:val="both"/>
            </w:pPr>
            <w:r w:rsidRPr="00E40C89">
              <w:t xml:space="preserve">3.3. </w:t>
            </w:r>
            <w:r w:rsidR="002C39B7" w:rsidRPr="00E40C89">
              <w:rPr>
                <w:szCs w:val="24"/>
              </w:rPr>
              <w:t xml:space="preserve">įgyvendinti </w:t>
            </w:r>
            <w:r w:rsidR="007241AF" w:rsidRPr="00E40C89">
              <w:rPr>
                <w:szCs w:val="24"/>
              </w:rPr>
              <w:t>tęstinę mokyklų vadovų vadybinių ir bendrųjų kompetencijų plėtojimo programą</w:t>
            </w:r>
            <w:r w:rsidR="002F0DC7" w:rsidRPr="00E40C89">
              <w:rPr>
                <w:szCs w:val="24"/>
              </w:rPr>
              <w:t>.</w:t>
            </w:r>
          </w:p>
          <w:p w14:paraId="7947683E" w14:textId="77777777" w:rsidR="007A7694" w:rsidRPr="00E40C89" w:rsidRDefault="007A7694" w:rsidP="004372D3">
            <w:pPr>
              <w:tabs>
                <w:tab w:val="left" w:pos="9638"/>
                <w:tab w:val="left" w:pos="9720"/>
              </w:tabs>
              <w:ind w:right="34"/>
              <w:jc w:val="both"/>
            </w:pPr>
            <w:r w:rsidRPr="00E40C89">
              <w:t>Skirti mentorius pradedantiems mokytojams, mokyklų vadovams;</w:t>
            </w:r>
          </w:p>
          <w:p w14:paraId="1500874C" w14:textId="697D1040" w:rsidR="00FE671D" w:rsidRPr="00E40C89" w:rsidRDefault="00FE671D" w:rsidP="004372D3">
            <w:pPr>
              <w:tabs>
                <w:tab w:val="left" w:pos="9638"/>
                <w:tab w:val="left" w:pos="9720"/>
              </w:tabs>
              <w:ind w:right="34"/>
              <w:jc w:val="both"/>
            </w:pPr>
            <w:r w:rsidRPr="00E40C89">
              <w:t xml:space="preserve">3.4. </w:t>
            </w:r>
            <w:r w:rsidR="002C39B7" w:rsidRPr="00E40C89">
              <w:t xml:space="preserve">stiprinti </w:t>
            </w:r>
            <w:r w:rsidRPr="00E40C89">
              <w:t>pedagogų metodinę veiklą Panevėžio mieste;</w:t>
            </w:r>
          </w:p>
          <w:p w14:paraId="600364D6" w14:textId="7494FD62" w:rsidR="00CB5D6D" w:rsidRPr="00E40C89" w:rsidRDefault="00FE671D" w:rsidP="004372D3">
            <w:pPr>
              <w:tabs>
                <w:tab w:val="left" w:pos="9638"/>
                <w:tab w:val="left" w:pos="9720"/>
              </w:tabs>
              <w:ind w:right="34"/>
              <w:jc w:val="both"/>
            </w:pPr>
            <w:r w:rsidRPr="00E40C89">
              <w:t>3.5</w:t>
            </w:r>
            <w:r w:rsidR="007A7694" w:rsidRPr="00E40C89">
              <w:t xml:space="preserve">. </w:t>
            </w:r>
            <w:r w:rsidR="002C39B7" w:rsidRPr="00E40C89">
              <w:t xml:space="preserve">sudaryti </w:t>
            </w:r>
            <w:r w:rsidR="005504A4" w:rsidRPr="00E40C89">
              <w:t>sąlygas pradedantiems pedagogams dalyvauti pedagoginėje stažuotėje</w:t>
            </w:r>
            <w:r w:rsidR="002C39B7">
              <w:t>;</w:t>
            </w:r>
          </w:p>
          <w:p w14:paraId="47981807" w14:textId="240D193E" w:rsidR="007A7694" w:rsidRPr="00E40C89" w:rsidRDefault="00FE671D" w:rsidP="004372D3">
            <w:pPr>
              <w:tabs>
                <w:tab w:val="left" w:pos="9638"/>
                <w:tab w:val="left" w:pos="9720"/>
              </w:tabs>
              <w:ind w:right="34"/>
              <w:jc w:val="both"/>
            </w:pPr>
            <w:r w:rsidRPr="00E40C89">
              <w:t>3.6</w:t>
            </w:r>
            <w:r w:rsidR="00317B2A" w:rsidRPr="00E40C89">
              <w:t>.</w:t>
            </w:r>
            <w:r w:rsidR="007A7694" w:rsidRPr="00E40C89">
              <w:t xml:space="preserve"> </w:t>
            </w:r>
            <w:r w:rsidR="002C39B7" w:rsidRPr="00E40C89">
              <w:t xml:space="preserve">skatinti </w:t>
            </w:r>
            <w:r w:rsidRPr="00E40C89">
              <w:t>mokyklų ir mokytojų d</w:t>
            </w:r>
            <w:r w:rsidR="007A7694" w:rsidRPr="00E40C89">
              <w:t>alyva</w:t>
            </w:r>
            <w:r w:rsidRPr="00E40C89">
              <w:t>vimą</w:t>
            </w:r>
            <w:r w:rsidR="007A7694" w:rsidRPr="00E40C89">
              <w:t xml:space="preserve"> </w:t>
            </w:r>
            <w:r w:rsidR="002C39B7" w:rsidRPr="00E40C89">
              <w:t xml:space="preserve">programoje </w:t>
            </w:r>
            <w:r w:rsidR="00144535">
              <w:t>„Renkuosi mokyti</w:t>
            </w:r>
            <w:r w:rsidR="007A7694" w:rsidRPr="00E40C89">
              <w:t>“.</w:t>
            </w:r>
          </w:p>
        </w:tc>
        <w:tc>
          <w:tcPr>
            <w:tcW w:w="1843" w:type="dxa"/>
            <w:shd w:val="clear" w:color="auto" w:fill="auto"/>
          </w:tcPr>
          <w:p w14:paraId="30DE9F0F" w14:textId="77777777" w:rsidR="007A7694" w:rsidRPr="00E40C89" w:rsidRDefault="007A7694" w:rsidP="00C929F8">
            <w:pPr>
              <w:tabs>
                <w:tab w:val="left" w:pos="9638"/>
                <w:tab w:val="left" w:pos="9720"/>
              </w:tabs>
              <w:ind w:right="-82"/>
              <w:jc w:val="both"/>
            </w:pPr>
            <w:r w:rsidRPr="00E40C89">
              <w:t>Švietimo centras, mokyklų vadovai</w:t>
            </w:r>
          </w:p>
          <w:p w14:paraId="6788C61B" w14:textId="77777777" w:rsidR="007A7694" w:rsidRPr="00E40C89" w:rsidRDefault="007A7694" w:rsidP="00C929F8">
            <w:pPr>
              <w:tabs>
                <w:tab w:val="left" w:pos="9638"/>
                <w:tab w:val="left" w:pos="9720"/>
              </w:tabs>
              <w:ind w:right="-82"/>
              <w:jc w:val="both"/>
            </w:pPr>
          </w:p>
          <w:p w14:paraId="0524FAD7" w14:textId="77777777" w:rsidR="007A7694" w:rsidRPr="00E40C89" w:rsidRDefault="007A7694" w:rsidP="00C929F8">
            <w:pPr>
              <w:tabs>
                <w:tab w:val="left" w:pos="9638"/>
                <w:tab w:val="left" w:pos="9720"/>
              </w:tabs>
              <w:ind w:right="-82"/>
              <w:jc w:val="both"/>
            </w:pPr>
          </w:p>
          <w:p w14:paraId="76B7B556" w14:textId="77777777" w:rsidR="007A7694" w:rsidRPr="00E40C89" w:rsidRDefault="007A7694" w:rsidP="00C929F8">
            <w:pPr>
              <w:tabs>
                <w:tab w:val="left" w:pos="9638"/>
                <w:tab w:val="left" w:pos="9720"/>
              </w:tabs>
              <w:ind w:right="-82"/>
              <w:jc w:val="both"/>
            </w:pPr>
          </w:p>
          <w:p w14:paraId="00B49D08" w14:textId="77777777" w:rsidR="007A7694" w:rsidRPr="00E40C89" w:rsidRDefault="007A7694" w:rsidP="00C929F8">
            <w:pPr>
              <w:tabs>
                <w:tab w:val="left" w:pos="9638"/>
                <w:tab w:val="left" w:pos="9720"/>
              </w:tabs>
              <w:ind w:right="-82"/>
              <w:jc w:val="both"/>
            </w:pPr>
          </w:p>
          <w:p w14:paraId="2BF8E7E4" w14:textId="77777777" w:rsidR="007A7694" w:rsidRPr="00E40C89" w:rsidRDefault="007A7694" w:rsidP="00C929F8">
            <w:pPr>
              <w:tabs>
                <w:tab w:val="left" w:pos="9638"/>
                <w:tab w:val="left" w:pos="9720"/>
              </w:tabs>
              <w:ind w:right="-82"/>
              <w:jc w:val="both"/>
            </w:pPr>
          </w:p>
          <w:p w14:paraId="06E4E136" w14:textId="77777777" w:rsidR="007A7694" w:rsidRPr="00E40C89" w:rsidRDefault="007A7694" w:rsidP="00C929F8">
            <w:pPr>
              <w:tabs>
                <w:tab w:val="left" w:pos="9638"/>
                <w:tab w:val="left" w:pos="9720"/>
              </w:tabs>
              <w:ind w:right="-82"/>
              <w:jc w:val="both"/>
            </w:pPr>
          </w:p>
          <w:p w14:paraId="15A08942" w14:textId="77777777" w:rsidR="007A7694" w:rsidRPr="00E40C89" w:rsidRDefault="007A7694" w:rsidP="00C929F8">
            <w:pPr>
              <w:tabs>
                <w:tab w:val="left" w:pos="9638"/>
                <w:tab w:val="left" w:pos="9720"/>
              </w:tabs>
              <w:ind w:right="-82"/>
              <w:jc w:val="both"/>
            </w:pPr>
          </w:p>
          <w:p w14:paraId="4ABE6063" w14:textId="77777777" w:rsidR="007A7694" w:rsidRPr="00E40C89" w:rsidRDefault="007A7694" w:rsidP="00C929F8">
            <w:pPr>
              <w:tabs>
                <w:tab w:val="left" w:pos="9638"/>
                <w:tab w:val="left" w:pos="9720"/>
              </w:tabs>
              <w:ind w:right="-82"/>
              <w:jc w:val="both"/>
            </w:pPr>
          </w:p>
          <w:p w14:paraId="04848907" w14:textId="77777777" w:rsidR="007A7694" w:rsidRPr="00E40C89" w:rsidRDefault="007A7694" w:rsidP="00C929F8">
            <w:pPr>
              <w:tabs>
                <w:tab w:val="left" w:pos="9638"/>
                <w:tab w:val="left" w:pos="9720"/>
              </w:tabs>
              <w:ind w:right="-82"/>
              <w:jc w:val="both"/>
            </w:pPr>
          </w:p>
          <w:p w14:paraId="6B897F3F" w14:textId="77777777" w:rsidR="007A7694" w:rsidRPr="00E40C89" w:rsidRDefault="007A7694" w:rsidP="00C929F8">
            <w:pPr>
              <w:tabs>
                <w:tab w:val="left" w:pos="9638"/>
                <w:tab w:val="left" w:pos="9720"/>
              </w:tabs>
              <w:ind w:right="-82"/>
              <w:jc w:val="both"/>
            </w:pPr>
          </w:p>
          <w:p w14:paraId="14E38C73" w14:textId="77777777" w:rsidR="007A7694" w:rsidRPr="00E40C89" w:rsidRDefault="007A7694" w:rsidP="00C929F8">
            <w:pPr>
              <w:tabs>
                <w:tab w:val="left" w:pos="9638"/>
                <w:tab w:val="left" w:pos="9720"/>
              </w:tabs>
              <w:ind w:right="-82"/>
              <w:jc w:val="both"/>
            </w:pPr>
          </w:p>
          <w:p w14:paraId="788FD54A" w14:textId="3549F245" w:rsidR="007A7694" w:rsidRPr="00E40C89" w:rsidRDefault="008F4AFB" w:rsidP="00C929F8">
            <w:pPr>
              <w:tabs>
                <w:tab w:val="left" w:pos="9638"/>
                <w:tab w:val="left" w:pos="9720"/>
              </w:tabs>
              <w:ind w:right="-82"/>
              <w:jc w:val="both"/>
            </w:pPr>
            <w:r w:rsidRPr="00E40C89">
              <w:t>Švietimo centras</w:t>
            </w:r>
          </w:p>
          <w:p w14:paraId="40F67CF5" w14:textId="77777777" w:rsidR="007A7694" w:rsidRPr="00E40C89" w:rsidRDefault="007A7694" w:rsidP="00C929F8">
            <w:pPr>
              <w:tabs>
                <w:tab w:val="left" w:pos="9638"/>
                <w:tab w:val="left" w:pos="9720"/>
              </w:tabs>
              <w:ind w:right="-82"/>
              <w:jc w:val="both"/>
            </w:pPr>
          </w:p>
          <w:p w14:paraId="544BF70A" w14:textId="59E5CD57" w:rsidR="007A7694" w:rsidRPr="00E40C89" w:rsidRDefault="007A7694" w:rsidP="00CB5D6D">
            <w:pPr>
              <w:tabs>
                <w:tab w:val="left" w:pos="9638"/>
                <w:tab w:val="left" w:pos="9720"/>
              </w:tabs>
              <w:ind w:right="-82"/>
              <w:jc w:val="both"/>
            </w:pPr>
            <w:r w:rsidRPr="00E40C89">
              <w:t>Savivaldybės administracija, mokyklų vadova</w:t>
            </w:r>
            <w:r w:rsidR="00FE671D" w:rsidRPr="00E40C89">
              <w:t>i, Švietimo centras</w:t>
            </w:r>
          </w:p>
        </w:tc>
        <w:tc>
          <w:tcPr>
            <w:tcW w:w="1559" w:type="dxa"/>
            <w:shd w:val="clear" w:color="auto" w:fill="auto"/>
          </w:tcPr>
          <w:p w14:paraId="01512137" w14:textId="3DB38588" w:rsidR="007A7694" w:rsidRPr="00E40C89" w:rsidRDefault="007A7694" w:rsidP="00C929F8">
            <w:pPr>
              <w:tabs>
                <w:tab w:val="left" w:pos="9638"/>
                <w:tab w:val="left" w:pos="9720"/>
              </w:tabs>
              <w:ind w:right="-82"/>
            </w:pPr>
            <w:r w:rsidRPr="00E40C89">
              <w:t>Nuo 2021</w:t>
            </w:r>
            <w:r w:rsidR="002C39B7">
              <w:t xml:space="preserve"> </w:t>
            </w:r>
            <w:r w:rsidRPr="00E40C89">
              <w:t xml:space="preserve">m. </w:t>
            </w:r>
          </w:p>
          <w:p w14:paraId="2ED183DC" w14:textId="77777777" w:rsidR="005504A4" w:rsidRPr="00E40C89" w:rsidRDefault="005504A4" w:rsidP="00C929F8">
            <w:pPr>
              <w:tabs>
                <w:tab w:val="left" w:pos="9638"/>
                <w:tab w:val="left" w:pos="9720"/>
              </w:tabs>
              <w:ind w:right="-82"/>
            </w:pPr>
          </w:p>
          <w:p w14:paraId="36BC6876" w14:textId="77777777" w:rsidR="005504A4" w:rsidRPr="00E40C89" w:rsidRDefault="005504A4" w:rsidP="00C929F8">
            <w:pPr>
              <w:tabs>
                <w:tab w:val="left" w:pos="9638"/>
                <w:tab w:val="left" w:pos="9720"/>
              </w:tabs>
              <w:ind w:right="-82"/>
            </w:pPr>
          </w:p>
          <w:p w14:paraId="75005307" w14:textId="77777777" w:rsidR="005504A4" w:rsidRPr="00E40C89" w:rsidRDefault="005504A4" w:rsidP="00C929F8">
            <w:pPr>
              <w:tabs>
                <w:tab w:val="left" w:pos="9638"/>
                <w:tab w:val="left" w:pos="9720"/>
              </w:tabs>
              <w:ind w:right="-82"/>
            </w:pPr>
          </w:p>
          <w:p w14:paraId="287E1D6B" w14:textId="77777777" w:rsidR="005504A4" w:rsidRPr="00E40C89" w:rsidRDefault="005504A4" w:rsidP="00C929F8">
            <w:pPr>
              <w:tabs>
                <w:tab w:val="left" w:pos="9638"/>
                <w:tab w:val="left" w:pos="9720"/>
              </w:tabs>
              <w:ind w:right="-82"/>
            </w:pPr>
          </w:p>
          <w:p w14:paraId="093B5EAD" w14:textId="77777777" w:rsidR="005504A4" w:rsidRPr="00E40C89" w:rsidRDefault="005504A4" w:rsidP="00C929F8">
            <w:pPr>
              <w:tabs>
                <w:tab w:val="left" w:pos="9638"/>
                <w:tab w:val="left" w:pos="9720"/>
              </w:tabs>
              <w:ind w:right="-82"/>
            </w:pPr>
          </w:p>
          <w:p w14:paraId="6AEF83CB" w14:textId="77777777" w:rsidR="005504A4" w:rsidRPr="00E40C89" w:rsidRDefault="005504A4" w:rsidP="005504A4">
            <w:pPr>
              <w:tabs>
                <w:tab w:val="left" w:pos="9638"/>
                <w:tab w:val="left" w:pos="9720"/>
              </w:tabs>
              <w:ind w:right="-82"/>
            </w:pPr>
            <w:r w:rsidRPr="00E40C89">
              <w:t xml:space="preserve">Nuo 2022 m. </w:t>
            </w:r>
          </w:p>
          <w:p w14:paraId="45ABCD4B" w14:textId="77777777" w:rsidR="005504A4" w:rsidRPr="00E40C89" w:rsidRDefault="005504A4" w:rsidP="00C929F8">
            <w:pPr>
              <w:tabs>
                <w:tab w:val="left" w:pos="9638"/>
                <w:tab w:val="left" w:pos="9720"/>
              </w:tabs>
              <w:ind w:right="-82"/>
            </w:pPr>
          </w:p>
          <w:p w14:paraId="2073E1A5" w14:textId="77777777" w:rsidR="007A7694" w:rsidRPr="00E40C89" w:rsidRDefault="007A7694" w:rsidP="00C929F8">
            <w:pPr>
              <w:tabs>
                <w:tab w:val="left" w:pos="9638"/>
                <w:tab w:val="left" w:pos="9720"/>
              </w:tabs>
              <w:ind w:right="-82"/>
            </w:pPr>
          </w:p>
          <w:p w14:paraId="18A4464B" w14:textId="2D9381F6" w:rsidR="007A7694" w:rsidRPr="00E40C89" w:rsidRDefault="00CB5D6D" w:rsidP="00C929F8">
            <w:pPr>
              <w:tabs>
                <w:tab w:val="left" w:pos="9638"/>
                <w:tab w:val="left" w:pos="9720"/>
              </w:tabs>
              <w:ind w:right="-82"/>
            </w:pPr>
            <w:r w:rsidRPr="00E40C89">
              <w:t xml:space="preserve">Nuo 2022 m. </w:t>
            </w:r>
          </w:p>
          <w:p w14:paraId="712977EF" w14:textId="77777777" w:rsidR="007A7694" w:rsidRPr="00E40C89" w:rsidRDefault="007A7694" w:rsidP="00C929F8">
            <w:pPr>
              <w:tabs>
                <w:tab w:val="left" w:pos="9638"/>
                <w:tab w:val="left" w:pos="9720"/>
              </w:tabs>
              <w:ind w:right="-82"/>
            </w:pPr>
          </w:p>
          <w:p w14:paraId="5EEAF55C" w14:textId="77777777" w:rsidR="007A7694" w:rsidRPr="00E40C89" w:rsidRDefault="007A7694" w:rsidP="00C929F8">
            <w:pPr>
              <w:tabs>
                <w:tab w:val="left" w:pos="9638"/>
                <w:tab w:val="left" w:pos="9720"/>
              </w:tabs>
              <w:ind w:right="-82"/>
            </w:pPr>
          </w:p>
          <w:p w14:paraId="76D3B172" w14:textId="77777777" w:rsidR="007A7694" w:rsidRPr="00E40C89" w:rsidRDefault="007A7694" w:rsidP="00C929F8">
            <w:pPr>
              <w:tabs>
                <w:tab w:val="left" w:pos="9638"/>
                <w:tab w:val="left" w:pos="9720"/>
              </w:tabs>
              <w:ind w:right="-82"/>
            </w:pPr>
          </w:p>
          <w:p w14:paraId="324B5940" w14:textId="77777777" w:rsidR="007A7694" w:rsidRPr="00E40C89" w:rsidRDefault="007A7694" w:rsidP="00C929F8">
            <w:pPr>
              <w:tabs>
                <w:tab w:val="left" w:pos="9638"/>
                <w:tab w:val="left" w:pos="9720"/>
              </w:tabs>
              <w:ind w:right="-82"/>
            </w:pPr>
          </w:p>
          <w:p w14:paraId="0FABC964" w14:textId="77777777" w:rsidR="007A7694" w:rsidRPr="00E40C89" w:rsidRDefault="007A7694" w:rsidP="00C929F8">
            <w:pPr>
              <w:tabs>
                <w:tab w:val="left" w:pos="9638"/>
                <w:tab w:val="left" w:pos="9720"/>
              </w:tabs>
              <w:ind w:right="-82"/>
            </w:pPr>
          </w:p>
          <w:p w14:paraId="248C7442" w14:textId="77777777" w:rsidR="007241AF" w:rsidRPr="00E40C89" w:rsidRDefault="007241AF" w:rsidP="00C929F8">
            <w:pPr>
              <w:tabs>
                <w:tab w:val="left" w:pos="9638"/>
                <w:tab w:val="left" w:pos="9720"/>
              </w:tabs>
              <w:ind w:right="-82"/>
            </w:pPr>
          </w:p>
          <w:p w14:paraId="3B54C245" w14:textId="77777777" w:rsidR="007241AF" w:rsidRPr="00E40C89" w:rsidRDefault="007241AF" w:rsidP="00C929F8">
            <w:pPr>
              <w:tabs>
                <w:tab w:val="left" w:pos="9638"/>
                <w:tab w:val="left" w:pos="9720"/>
              </w:tabs>
              <w:ind w:right="-82"/>
            </w:pPr>
          </w:p>
          <w:p w14:paraId="3DADB70B" w14:textId="77777777" w:rsidR="007241AF" w:rsidRPr="00E40C89" w:rsidRDefault="007241AF" w:rsidP="00C929F8">
            <w:pPr>
              <w:tabs>
                <w:tab w:val="left" w:pos="9638"/>
                <w:tab w:val="left" w:pos="9720"/>
              </w:tabs>
              <w:ind w:right="-82"/>
            </w:pPr>
          </w:p>
          <w:p w14:paraId="0EED8DFE" w14:textId="77777777" w:rsidR="00CB5D6D" w:rsidRPr="00E40C89" w:rsidRDefault="00CB5D6D" w:rsidP="00C929F8">
            <w:pPr>
              <w:tabs>
                <w:tab w:val="left" w:pos="9638"/>
                <w:tab w:val="left" w:pos="9720"/>
              </w:tabs>
              <w:ind w:right="-82"/>
            </w:pPr>
          </w:p>
          <w:p w14:paraId="0F2F1FDE" w14:textId="06A687C7" w:rsidR="007A7694" w:rsidRPr="00E40C89" w:rsidRDefault="00CB5D6D" w:rsidP="002C39B7">
            <w:pPr>
              <w:tabs>
                <w:tab w:val="left" w:pos="9638"/>
                <w:tab w:val="left" w:pos="9720"/>
              </w:tabs>
              <w:ind w:right="-82"/>
            </w:pPr>
            <w:r w:rsidRPr="00E40C89">
              <w:t xml:space="preserve">Nuo 2021 m. </w:t>
            </w:r>
          </w:p>
        </w:tc>
        <w:tc>
          <w:tcPr>
            <w:tcW w:w="1843" w:type="dxa"/>
          </w:tcPr>
          <w:p w14:paraId="1DE644B8" w14:textId="77777777" w:rsidR="007A7694" w:rsidRPr="00E40C89" w:rsidRDefault="007A7694" w:rsidP="00C929F8">
            <w:pPr>
              <w:tabs>
                <w:tab w:val="left" w:pos="9638"/>
                <w:tab w:val="left" w:pos="9720"/>
              </w:tabs>
              <w:ind w:right="-82"/>
            </w:pPr>
            <w:r w:rsidRPr="00E40C89">
              <w:t>Ugdymo įstaigų mokinio krepšelio lėšos</w:t>
            </w:r>
          </w:p>
          <w:p w14:paraId="25E6FBBF" w14:textId="77777777" w:rsidR="007A7694" w:rsidRPr="00E40C89" w:rsidRDefault="007A7694" w:rsidP="00C929F8">
            <w:pPr>
              <w:tabs>
                <w:tab w:val="left" w:pos="9638"/>
                <w:tab w:val="left" w:pos="9720"/>
              </w:tabs>
              <w:ind w:right="-82"/>
            </w:pPr>
          </w:p>
          <w:p w14:paraId="29548B01" w14:textId="77777777" w:rsidR="007A7694" w:rsidRPr="00E40C89" w:rsidRDefault="007A7694" w:rsidP="00C929F8">
            <w:pPr>
              <w:tabs>
                <w:tab w:val="left" w:pos="9638"/>
                <w:tab w:val="left" w:pos="9720"/>
              </w:tabs>
              <w:ind w:right="-82"/>
            </w:pPr>
          </w:p>
          <w:p w14:paraId="01A002E1" w14:textId="77777777" w:rsidR="005504A4" w:rsidRPr="00E40C89" w:rsidRDefault="005504A4" w:rsidP="00C929F8">
            <w:pPr>
              <w:tabs>
                <w:tab w:val="left" w:pos="9638"/>
                <w:tab w:val="left" w:pos="9720"/>
              </w:tabs>
              <w:ind w:right="-82"/>
            </w:pPr>
          </w:p>
          <w:p w14:paraId="2B657D2E" w14:textId="77777777" w:rsidR="007A7694" w:rsidRPr="00E40C89" w:rsidRDefault="007A7694" w:rsidP="00C929F8">
            <w:pPr>
              <w:tabs>
                <w:tab w:val="left" w:pos="9638"/>
                <w:tab w:val="left" w:pos="9720"/>
              </w:tabs>
              <w:ind w:right="-82"/>
            </w:pPr>
            <w:r w:rsidRPr="00E40C89">
              <w:t>4 000 Eur</w:t>
            </w:r>
          </w:p>
          <w:p w14:paraId="6F80230D" w14:textId="77777777" w:rsidR="007A7694" w:rsidRPr="00E40C89" w:rsidRDefault="007A7694" w:rsidP="00C929F8">
            <w:pPr>
              <w:tabs>
                <w:tab w:val="left" w:pos="9638"/>
                <w:tab w:val="left" w:pos="9720"/>
              </w:tabs>
              <w:ind w:right="-82"/>
            </w:pPr>
          </w:p>
          <w:p w14:paraId="21CDA5A8" w14:textId="77777777" w:rsidR="007A7694" w:rsidRPr="00E40C89" w:rsidRDefault="007A7694" w:rsidP="00C929F8">
            <w:pPr>
              <w:tabs>
                <w:tab w:val="left" w:pos="9638"/>
                <w:tab w:val="left" w:pos="9720"/>
              </w:tabs>
              <w:ind w:right="-82"/>
            </w:pPr>
          </w:p>
          <w:p w14:paraId="6958E24A" w14:textId="77777777" w:rsidR="007A7694" w:rsidRPr="00E40C89" w:rsidRDefault="007A7694" w:rsidP="00C929F8">
            <w:pPr>
              <w:tabs>
                <w:tab w:val="left" w:pos="9638"/>
                <w:tab w:val="left" w:pos="9720"/>
              </w:tabs>
              <w:ind w:right="-82"/>
            </w:pPr>
            <w:r w:rsidRPr="00E40C89">
              <w:t>3 000 Eur</w:t>
            </w:r>
          </w:p>
          <w:p w14:paraId="11EE1CEF" w14:textId="77777777" w:rsidR="007A7694" w:rsidRPr="00E40C89" w:rsidRDefault="007A7694" w:rsidP="00C929F8">
            <w:pPr>
              <w:tabs>
                <w:tab w:val="left" w:pos="9638"/>
                <w:tab w:val="left" w:pos="9720"/>
              </w:tabs>
              <w:ind w:right="-82"/>
            </w:pPr>
          </w:p>
          <w:p w14:paraId="76D8AD73" w14:textId="77777777" w:rsidR="007A7694" w:rsidRPr="00E40C89" w:rsidRDefault="007A7694" w:rsidP="00C929F8">
            <w:pPr>
              <w:tabs>
                <w:tab w:val="left" w:pos="9638"/>
                <w:tab w:val="left" w:pos="9720"/>
              </w:tabs>
              <w:ind w:right="-82"/>
            </w:pPr>
          </w:p>
          <w:p w14:paraId="7183108E" w14:textId="77777777" w:rsidR="007A7694" w:rsidRPr="00E40C89" w:rsidRDefault="007A7694" w:rsidP="00C929F8">
            <w:pPr>
              <w:tabs>
                <w:tab w:val="left" w:pos="9638"/>
                <w:tab w:val="left" w:pos="9720"/>
              </w:tabs>
              <w:ind w:right="-82"/>
            </w:pPr>
          </w:p>
          <w:p w14:paraId="34D78317" w14:textId="4AA547C1" w:rsidR="00FE671D" w:rsidRPr="00E40C89" w:rsidRDefault="008F4AFB" w:rsidP="00C929F8">
            <w:pPr>
              <w:tabs>
                <w:tab w:val="left" w:pos="9638"/>
                <w:tab w:val="left" w:pos="9720"/>
              </w:tabs>
              <w:ind w:right="-82"/>
            </w:pPr>
            <w:r w:rsidRPr="00E40C89">
              <w:t>3 000 Eur.</w:t>
            </w:r>
          </w:p>
          <w:p w14:paraId="4ACCCE84" w14:textId="405F273F" w:rsidR="00FE671D" w:rsidRPr="00FA67D9" w:rsidRDefault="00501175" w:rsidP="00C929F8">
            <w:pPr>
              <w:tabs>
                <w:tab w:val="left" w:pos="9638"/>
                <w:tab w:val="left" w:pos="9720"/>
              </w:tabs>
              <w:ind w:right="-82"/>
              <w:rPr>
                <w:szCs w:val="24"/>
              </w:rPr>
            </w:pPr>
            <w:r w:rsidRPr="00FA67D9">
              <w:rPr>
                <w:szCs w:val="24"/>
              </w:rPr>
              <w:t>Nacionalinės švietimo agentūros</w:t>
            </w:r>
            <w:r w:rsidR="00A949C1" w:rsidRPr="00FA67D9">
              <w:rPr>
                <w:szCs w:val="24"/>
              </w:rPr>
              <w:t xml:space="preserve"> </w:t>
            </w:r>
            <w:r w:rsidR="005504A4" w:rsidRPr="00FA67D9">
              <w:rPr>
                <w:szCs w:val="24"/>
              </w:rPr>
              <w:t>projekto „Tęsk“ lėšos</w:t>
            </w:r>
          </w:p>
          <w:p w14:paraId="15DE33BD" w14:textId="7D404499" w:rsidR="007A7694" w:rsidRPr="00E40C89" w:rsidRDefault="007A7694" w:rsidP="00CB5D6D">
            <w:pPr>
              <w:tabs>
                <w:tab w:val="left" w:pos="9638"/>
                <w:tab w:val="left" w:pos="9720"/>
              </w:tabs>
              <w:ind w:right="-82"/>
            </w:pPr>
            <w:r w:rsidRPr="00E40C89">
              <w:t>5 000 Eur</w:t>
            </w:r>
          </w:p>
        </w:tc>
      </w:tr>
      <w:tr w:rsidR="007A7694" w:rsidRPr="00E40C89" w14:paraId="0BA06B71" w14:textId="77777777" w:rsidTr="00FE671D">
        <w:trPr>
          <w:trHeight w:val="2604"/>
        </w:trPr>
        <w:tc>
          <w:tcPr>
            <w:tcW w:w="725" w:type="dxa"/>
            <w:shd w:val="clear" w:color="auto" w:fill="auto"/>
          </w:tcPr>
          <w:p w14:paraId="55EB9303" w14:textId="77777777" w:rsidR="007A7694" w:rsidRPr="00E40C89" w:rsidRDefault="007A7694" w:rsidP="00C929F8">
            <w:pPr>
              <w:tabs>
                <w:tab w:val="left" w:pos="9638"/>
                <w:tab w:val="left" w:pos="9720"/>
              </w:tabs>
              <w:jc w:val="center"/>
            </w:pPr>
            <w:r w:rsidRPr="00E40C89">
              <w:t>4.</w:t>
            </w:r>
          </w:p>
        </w:tc>
        <w:tc>
          <w:tcPr>
            <w:tcW w:w="3811" w:type="dxa"/>
            <w:shd w:val="clear" w:color="auto" w:fill="auto"/>
          </w:tcPr>
          <w:p w14:paraId="4973C370" w14:textId="2EBA8BA9" w:rsidR="007A7694" w:rsidRPr="00E40C89" w:rsidRDefault="007A7694" w:rsidP="004372D3">
            <w:pPr>
              <w:ind w:right="34"/>
              <w:jc w:val="both"/>
            </w:pPr>
            <w:r w:rsidRPr="00E40C89">
              <w:t>Gerinti jaunų ir</w:t>
            </w:r>
            <w:r w:rsidR="00A949C1">
              <w:t xml:space="preserve"> (</w:t>
            </w:r>
            <w:r w:rsidRPr="00E40C89">
              <w:t>ar</w:t>
            </w:r>
            <w:r w:rsidR="00A949C1">
              <w:t>)</w:t>
            </w:r>
            <w:r w:rsidRPr="00E40C89">
              <w:t xml:space="preserve"> trūkstamų pedagoginių specialybių pedagogų darbo sąlygas:</w:t>
            </w:r>
          </w:p>
          <w:p w14:paraId="791D885C" w14:textId="5A5961FD" w:rsidR="007A7694" w:rsidRPr="00E40C89" w:rsidRDefault="007A7694" w:rsidP="004372D3">
            <w:pPr>
              <w:ind w:right="34"/>
              <w:jc w:val="both"/>
            </w:pPr>
            <w:r w:rsidRPr="00E40C89">
              <w:t xml:space="preserve">4.1. </w:t>
            </w:r>
            <w:r w:rsidR="00A949C1" w:rsidRPr="00E40C89">
              <w:t xml:space="preserve">iš </w:t>
            </w:r>
            <w:r w:rsidRPr="00E40C89">
              <w:t>dalies kompensuoti persikėlimo išlaidas;</w:t>
            </w:r>
          </w:p>
          <w:p w14:paraId="7D05281B" w14:textId="336BB73E" w:rsidR="007A7694" w:rsidRPr="00E40C89" w:rsidRDefault="007A7694" w:rsidP="004372D3">
            <w:pPr>
              <w:ind w:right="34"/>
              <w:jc w:val="both"/>
            </w:pPr>
            <w:r w:rsidRPr="00E40C89">
              <w:t xml:space="preserve">4.2. </w:t>
            </w:r>
            <w:r w:rsidR="00A949C1" w:rsidRPr="00E40C89">
              <w:t xml:space="preserve">iš </w:t>
            </w:r>
            <w:r w:rsidRPr="00E40C89">
              <w:t>dalies kompensuoti kelionės į darbą išlaidas.</w:t>
            </w:r>
          </w:p>
          <w:p w14:paraId="49E08939" w14:textId="76C5BF68" w:rsidR="007A7694" w:rsidRPr="00E40C89" w:rsidRDefault="007A7694" w:rsidP="004372D3">
            <w:pPr>
              <w:ind w:right="34"/>
              <w:jc w:val="both"/>
            </w:pPr>
            <w:r w:rsidRPr="00E40C89">
              <w:t xml:space="preserve">4.3. </w:t>
            </w:r>
            <w:r w:rsidR="00A949C1" w:rsidRPr="00E40C89">
              <w:t>skirti</w:t>
            </w:r>
            <w:r w:rsidR="00A949C1">
              <w:t xml:space="preserve"> </w:t>
            </w:r>
            <w:r w:rsidR="008F4AFB" w:rsidRPr="00E40C89">
              <w:t>/</w:t>
            </w:r>
            <w:r w:rsidR="00A949C1">
              <w:t xml:space="preserve"> </w:t>
            </w:r>
            <w:r w:rsidRPr="00E40C89">
              <w:t>suteikti savivaldybės būstą.</w:t>
            </w:r>
          </w:p>
        </w:tc>
        <w:tc>
          <w:tcPr>
            <w:tcW w:w="1843" w:type="dxa"/>
            <w:shd w:val="clear" w:color="auto" w:fill="auto"/>
          </w:tcPr>
          <w:p w14:paraId="45FD1B76" w14:textId="5E0C78D4" w:rsidR="007A7694" w:rsidRPr="00E40C89" w:rsidRDefault="00634080" w:rsidP="00C929F8">
            <w:pPr>
              <w:tabs>
                <w:tab w:val="left" w:pos="9638"/>
                <w:tab w:val="left" w:pos="9720"/>
              </w:tabs>
              <w:ind w:right="-82"/>
            </w:pPr>
            <w:r w:rsidRPr="00E40C89">
              <w:t>S</w:t>
            </w:r>
            <w:r w:rsidR="007A7694" w:rsidRPr="00E40C89">
              <w:t>avivaldybės administracija</w:t>
            </w:r>
          </w:p>
        </w:tc>
        <w:tc>
          <w:tcPr>
            <w:tcW w:w="1559" w:type="dxa"/>
            <w:shd w:val="clear" w:color="auto" w:fill="auto"/>
          </w:tcPr>
          <w:p w14:paraId="1A1349D9" w14:textId="77777777" w:rsidR="007A7694" w:rsidRPr="00E40C89" w:rsidRDefault="007A7694" w:rsidP="00C929F8">
            <w:pPr>
              <w:tabs>
                <w:tab w:val="left" w:pos="9638"/>
                <w:tab w:val="left" w:pos="9720"/>
              </w:tabs>
              <w:ind w:right="-82"/>
            </w:pPr>
            <w:r w:rsidRPr="00E40C89">
              <w:t>Nuo 2021 m.</w:t>
            </w:r>
          </w:p>
          <w:p w14:paraId="7104C459" w14:textId="77777777" w:rsidR="007A7694" w:rsidRPr="00E40C89" w:rsidRDefault="007A7694" w:rsidP="00C929F8">
            <w:pPr>
              <w:tabs>
                <w:tab w:val="left" w:pos="9638"/>
                <w:tab w:val="left" w:pos="9720"/>
              </w:tabs>
              <w:ind w:right="-82"/>
            </w:pPr>
          </w:p>
          <w:p w14:paraId="5EED8536" w14:textId="77777777" w:rsidR="007A7694" w:rsidRPr="00E40C89" w:rsidRDefault="007A7694" w:rsidP="00C929F8">
            <w:pPr>
              <w:tabs>
                <w:tab w:val="left" w:pos="9638"/>
                <w:tab w:val="left" w:pos="9720"/>
              </w:tabs>
              <w:ind w:right="-82"/>
            </w:pPr>
          </w:p>
          <w:p w14:paraId="591C649F" w14:textId="77777777" w:rsidR="007A7694" w:rsidRPr="00E40C89" w:rsidRDefault="007A7694" w:rsidP="00C929F8">
            <w:pPr>
              <w:tabs>
                <w:tab w:val="left" w:pos="9638"/>
                <w:tab w:val="left" w:pos="9720"/>
              </w:tabs>
              <w:ind w:right="-82"/>
            </w:pPr>
          </w:p>
          <w:p w14:paraId="314D1934" w14:textId="77777777" w:rsidR="007A7694" w:rsidRPr="00E40C89" w:rsidRDefault="007A7694" w:rsidP="00C929F8">
            <w:pPr>
              <w:tabs>
                <w:tab w:val="left" w:pos="9638"/>
                <w:tab w:val="left" w:pos="9720"/>
              </w:tabs>
              <w:ind w:right="-82"/>
            </w:pPr>
          </w:p>
          <w:p w14:paraId="75CCB9E0" w14:textId="77777777" w:rsidR="007A7694" w:rsidRPr="00E40C89" w:rsidRDefault="007A7694" w:rsidP="00C929F8">
            <w:pPr>
              <w:tabs>
                <w:tab w:val="left" w:pos="9638"/>
                <w:tab w:val="left" w:pos="9720"/>
              </w:tabs>
              <w:ind w:right="-82"/>
            </w:pPr>
            <w:r w:rsidRPr="00E40C89">
              <w:t xml:space="preserve">Nuo 2022 m. </w:t>
            </w:r>
          </w:p>
          <w:p w14:paraId="4A03CC59" w14:textId="77777777" w:rsidR="007A7694" w:rsidRPr="00E40C89" w:rsidRDefault="007A7694" w:rsidP="00C929F8">
            <w:pPr>
              <w:tabs>
                <w:tab w:val="left" w:pos="9638"/>
                <w:tab w:val="left" w:pos="9720"/>
              </w:tabs>
              <w:ind w:right="-82"/>
            </w:pPr>
          </w:p>
          <w:p w14:paraId="740094A8" w14:textId="6CD2AF4E" w:rsidR="007A7694" w:rsidRPr="00E40C89" w:rsidRDefault="007A7694" w:rsidP="00FE671D">
            <w:pPr>
              <w:tabs>
                <w:tab w:val="left" w:pos="9638"/>
                <w:tab w:val="left" w:pos="9720"/>
              </w:tabs>
              <w:ind w:right="-82"/>
            </w:pPr>
            <w:r w:rsidRPr="00E40C89">
              <w:t>Nuo 2021 m.</w:t>
            </w:r>
          </w:p>
        </w:tc>
        <w:tc>
          <w:tcPr>
            <w:tcW w:w="1843" w:type="dxa"/>
          </w:tcPr>
          <w:p w14:paraId="24D7F360" w14:textId="7BA49415" w:rsidR="007A7694" w:rsidRPr="00E40C89" w:rsidRDefault="007A7694" w:rsidP="00FE671D">
            <w:pPr>
              <w:tabs>
                <w:tab w:val="left" w:pos="9638"/>
                <w:tab w:val="left" w:pos="9720"/>
              </w:tabs>
              <w:ind w:right="-82"/>
            </w:pPr>
            <w:r w:rsidRPr="00E40C89">
              <w:t>2 000 Eur</w:t>
            </w:r>
          </w:p>
        </w:tc>
      </w:tr>
      <w:tr w:rsidR="007A7694" w:rsidRPr="00E40C89" w14:paraId="0EE91B8B" w14:textId="77777777" w:rsidTr="00C929F8">
        <w:trPr>
          <w:trHeight w:val="2859"/>
        </w:trPr>
        <w:tc>
          <w:tcPr>
            <w:tcW w:w="725" w:type="dxa"/>
            <w:shd w:val="clear" w:color="auto" w:fill="auto"/>
          </w:tcPr>
          <w:p w14:paraId="24467F0E" w14:textId="77777777" w:rsidR="007A7694" w:rsidRPr="00E40C89" w:rsidRDefault="007A7694" w:rsidP="00C929F8">
            <w:pPr>
              <w:tabs>
                <w:tab w:val="left" w:pos="9638"/>
                <w:tab w:val="left" w:pos="9720"/>
              </w:tabs>
              <w:jc w:val="center"/>
            </w:pPr>
            <w:r w:rsidRPr="00E40C89">
              <w:t>5.</w:t>
            </w:r>
          </w:p>
        </w:tc>
        <w:tc>
          <w:tcPr>
            <w:tcW w:w="3811" w:type="dxa"/>
            <w:shd w:val="clear" w:color="auto" w:fill="auto"/>
          </w:tcPr>
          <w:p w14:paraId="3F850DFC" w14:textId="77777777" w:rsidR="007A7694" w:rsidRPr="00E40C89" w:rsidRDefault="007A7694" w:rsidP="004372D3">
            <w:pPr>
              <w:tabs>
                <w:tab w:val="left" w:pos="9638"/>
                <w:tab w:val="left" w:pos="9720"/>
              </w:tabs>
              <w:ind w:right="34"/>
              <w:jc w:val="both"/>
            </w:pPr>
            <w:r w:rsidRPr="00E40C89">
              <w:t>Populiarinti ir viešinti pedagogo profesiją:</w:t>
            </w:r>
          </w:p>
          <w:p w14:paraId="6E76447A" w14:textId="2D5E0E4A" w:rsidR="007A7694" w:rsidRPr="00E40C89" w:rsidRDefault="007A7694" w:rsidP="004372D3">
            <w:pPr>
              <w:tabs>
                <w:tab w:val="left" w:pos="9638"/>
                <w:tab w:val="left" w:pos="9720"/>
              </w:tabs>
              <w:ind w:right="34"/>
              <w:jc w:val="both"/>
            </w:pPr>
            <w:r w:rsidRPr="00E40C89">
              <w:t xml:space="preserve">5.1. </w:t>
            </w:r>
            <w:r w:rsidR="00A949C1" w:rsidRPr="00E40C89">
              <w:t xml:space="preserve">kasmet </w:t>
            </w:r>
            <w:r w:rsidRPr="00E40C89">
              <w:t>įteikti „Metų mokytojo“ premiją 3 geriausiems pedagogams;</w:t>
            </w:r>
          </w:p>
          <w:p w14:paraId="4A2DE48C" w14:textId="0091C9F9" w:rsidR="007A7694" w:rsidRPr="00E40C89" w:rsidRDefault="007A7694" w:rsidP="004372D3">
            <w:pPr>
              <w:tabs>
                <w:tab w:val="left" w:pos="9638"/>
                <w:tab w:val="left" w:pos="9720"/>
              </w:tabs>
              <w:ind w:right="34"/>
              <w:jc w:val="both"/>
            </w:pPr>
            <w:r w:rsidRPr="00E40C89">
              <w:t xml:space="preserve">5.2. </w:t>
            </w:r>
            <w:r w:rsidR="00A949C1" w:rsidRPr="00E40C89">
              <w:t xml:space="preserve">įsteigti </w:t>
            </w:r>
            <w:r w:rsidRPr="00E40C89">
              <w:t>nominaciją jauniems pedagogams;</w:t>
            </w:r>
          </w:p>
          <w:p w14:paraId="355742F2" w14:textId="7F1EFAF5" w:rsidR="007A7694" w:rsidRPr="00E40C89" w:rsidRDefault="00634080" w:rsidP="004372D3">
            <w:pPr>
              <w:tabs>
                <w:tab w:val="left" w:pos="9638"/>
                <w:tab w:val="left" w:pos="9720"/>
              </w:tabs>
              <w:ind w:right="34"/>
              <w:jc w:val="both"/>
            </w:pPr>
            <w:r w:rsidRPr="00E40C89">
              <w:t>5.3.</w:t>
            </w:r>
            <w:r w:rsidR="007A7694" w:rsidRPr="00E40C89">
              <w:t xml:space="preserve"> </w:t>
            </w:r>
            <w:r w:rsidR="00A949C1" w:rsidRPr="00E40C89">
              <w:t xml:space="preserve">viešinti </w:t>
            </w:r>
            <w:r w:rsidR="007A7694" w:rsidRPr="00E40C89">
              <w:t>pedagoginę patirtį visuomenės informavimo priemonėse</w:t>
            </w:r>
            <w:r w:rsidR="00A949C1">
              <w:t>;</w:t>
            </w:r>
          </w:p>
          <w:p w14:paraId="6FB00338" w14:textId="62ADD8D0" w:rsidR="007A7694" w:rsidRPr="00E40C89" w:rsidRDefault="007A7694" w:rsidP="004372D3">
            <w:pPr>
              <w:tabs>
                <w:tab w:val="left" w:pos="9638"/>
                <w:tab w:val="left" w:pos="9720"/>
              </w:tabs>
              <w:ind w:right="34"/>
              <w:jc w:val="both"/>
            </w:pPr>
            <w:r w:rsidRPr="00E40C89">
              <w:t>5.</w:t>
            </w:r>
            <w:r w:rsidR="00A949C1">
              <w:t>4</w:t>
            </w:r>
            <w:r w:rsidRPr="00E40C89">
              <w:t>.</w:t>
            </w:r>
            <w:r w:rsidRPr="00E40C89">
              <w:rPr>
                <w:color w:val="000000"/>
              </w:rPr>
              <w:t xml:space="preserve"> </w:t>
            </w:r>
            <w:r w:rsidR="00A949C1" w:rsidRPr="00E40C89">
              <w:rPr>
                <w:color w:val="000000"/>
              </w:rPr>
              <w:t xml:space="preserve">stiprinti </w:t>
            </w:r>
            <w:r w:rsidRPr="00E40C89">
              <w:rPr>
                <w:color w:val="000000"/>
              </w:rPr>
              <w:t>bendradarbiavimą tarp ugdymo įstaigų ir socialinių partnerių (organizacijų, įstaigų, įmonių): įgyvendinti inicia</w:t>
            </w:r>
            <w:r w:rsidR="000349F5" w:rsidRPr="00E40C89">
              <w:rPr>
                <w:color w:val="000000"/>
              </w:rPr>
              <w:t>tyvą „Pamokos matuojasi Panevėžio įmones“</w:t>
            </w:r>
            <w:r w:rsidRPr="00E40C89">
              <w:rPr>
                <w:color w:val="000000"/>
              </w:rPr>
              <w:t>)</w:t>
            </w:r>
            <w:r w:rsidR="000349F5" w:rsidRPr="00E40C89">
              <w:rPr>
                <w:color w:val="000000"/>
              </w:rPr>
              <w:t>.</w:t>
            </w:r>
          </w:p>
        </w:tc>
        <w:tc>
          <w:tcPr>
            <w:tcW w:w="1843" w:type="dxa"/>
            <w:shd w:val="clear" w:color="auto" w:fill="auto"/>
          </w:tcPr>
          <w:p w14:paraId="2BB3CAFE" w14:textId="7E07CC6F" w:rsidR="007D5766" w:rsidRPr="00E40C89" w:rsidRDefault="00634080" w:rsidP="00C929F8">
            <w:pPr>
              <w:tabs>
                <w:tab w:val="left" w:pos="9638"/>
                <w:tab w:val="left" w:pos="9720"/>
              </w:tabs>
              <w:ind w:right="-82"/>
            </w:pPr>
            <w:r w:rsidRPr="00E40C89">
              <w:t>S</w:t>
            </w:r>
            <w:r w:rsidR="007A7694" w:rsidRPr="00E40C89">
              <w:t>avivaldybės administracija,</w:t>
            </w:r>
          </w:p>
          <w:p w14:paraId="7F425A5D" w14:textId="460A7F0E" w:rsidR="007A7694" w:rsidRPr="00E40C89" w:rsidRDefault="007A7694" w:rsidP="00C929F8">
            <w:pPr>
              <w:tabs>
                <w:tab w:val="left" w:pos="9638"/>
                <w:tab w:val="left" w:pos="9720"/>
              </w:tabs>
              <w:ind w:right="-82"/>
            </w:pPr>
            <w:r w:rsidRPr="00E40C89">
              <w:t>mokyklų vadovai</w:t>
            </w:r>
          </w:p>
          <w:p w14:paraId="2F91A2D0" w14:textId="77777777" w:rsidR="007A7694" w:rsidRPr="00E40C89" w:rsidRDefault="007A7694" w:rsidP="00C929F8">
            <w:pPr>
              <w:tabs>
                <w:tab w:val="left" w:pos="9638"/>
                <w:tab w:val="left" w:pos="9720"/>
              </w:tabs>
              <w:ind w:right="-82"/>
            </w:pPr>
          </w:p>
          <w:p w14:paraId="011FD750" w14:textId="77777777" w:rsidR="007A7694" w:rsidRPr="00E40C89" w:rsidRDefault="007A7694" w:rsidP="00C929F8">
            <w:pPr>
              <w:tabs>
                <w:tab w:val="left" w:pos="9638"/>
                <w:tab w:val="left" w:pos="9720"/>
              </w:tabs>
              <w:ind w:right="-82"/>
            </w:pPr>
          </w:p>
          <w:p w14:paraId="3D93D20F" w14:textId="77777777" w:rsidR="007A7694" w:rsidRPr="00E40C89" w:rsidRDefault="007A7694" w:rsidP="00C929F8">
            <w:pPr>
              <w:tabs>
                <w:tab w:val="left" w:pos="9638"/>
                <w:tab w:val="left" w:pos="9720"/>
              </w:tabs>
              <w:ind w:right="-82"/>
            </w:pPr>
          </w:p>
          <w:p w14:paraId="6AEE538D" w14:textId="77777777" w:rsidR="007A7694" w:rsidRPr="00E40C89" w:rsidRDefault="007A7694" w:rsidP="00C929F8">
            <w:pPr>
              <w:tabs>
                <w:tab w:val="left" w:pos="9638"/>
                <w:tab w:val="left" w:pos="9720"/>
              </w:tabs>
              <w:ind w:right="-82"/>
            </w:pPr>
          </w:p>
          <w:p w14:paraId="5408462D" w14:textId="77777777" w:rsidR="007A7694" w:rsidRPr="00E40C89" w:rsidRDefault="007A7694" w:rsidP="00C929F8">
            <w:pPr>
              <w:tabs>
                <w:tab w:val="left" w:pos="9638"/>
                <w:tab w:val="left" w:pos="9720"/>
              </w:tabs>
              <w:ind w:right="-82"/>
            </w:pPr>
          </w:p>
          <w:p w14:paraId="7B2BA58A" w14:textId="77777777" w:rsidR="00F23336" w:rsidRPr="00E40C89" w:rsidRDefault="00F23336" w:rsidP="00C929F8">
            <w:pPr>
              <w:tabs>
                <w:tab w:val="left" w:pos="9638"/>
                <w:tab w:val="left" w:pos="9720"/>
              </w:tabs>
              <w:ind w:right="-82"/>
            </w:pPr>
          </w:p>
          <w:p w14:paraId="5C791339" w14:textId="5F2074BF" w:rsidR="007A7694" w:rsidRPr="00E40C89" w:rsidRDefault="00F23336" w:rsidP="00C929F8">
            <w:pPr>
              <w:tabs>
                <w:tab w:val="left" w:pos="9638"/>
                <w:tab w:val="left" w:pos="9720"/>
              </w:tabs>
              <w:ind w:right="-82"/>
            </w:pPr>
            <w:r w:rsidRPr="00E40C89">
              <w:t>Š</w:t>
            </w:r>
            <w:r w:rsidR="007A7694" w:rsidRPr="00E40C89">
              <w:t>vietimo centras</w:t>
            </w:r>
          </w:p>
          <w:p w14:paraId="4C17D189" w14:textId="628E72F3" w:rsidR="007A7694" w:rsidRPr="00E40C89" w:rsidRDefault="007A7694" w:rsidP="00A949C1">
            <w:pPr>
              <w:tabs>
                <w:tab w:val="left" w:pos="9638"/>
                <w:tab w:val="left" w:pos="9720"/>
              </w:tabs>
              <w:ind w:right="-82"/>
            </w:pPr>
            <w:r w:rsidRPr="00E40C89">
              <w:t>VšĮ Panevėžio plėtros agentūra</w:t>
            </w:r>
          </w:p>
        </w:tc>
        <w:tc>
          <w:tcPr>
            <w:tcW w:w="1559" w:type="dxa"/>
            <w:shd w:val="clear" w:color="auto" w:fill="auto"/>
          </w:tcPr>
          <w:p w14:paraId="48CE5DD2" w14:textId="77777777" w:rsidR="007A7694" w:rsidRPr="00E40C89" w:rsidRDefault="007A7694" w:rsidP="00C929F8">
            <w:pPr>
              <w:tabs>
                <w:tab w:val="left" w:pos="9638"/>
                <w:tab w:val="left" w:pos="9720"/>
              </w:tabs>
              <w:ind w:right="-82"/>
            </w:pPr>
          </w:p>
          <w:p w14:paraId="2FF20E18" w14:textId="77777777" w:rsidR="007A7694" w:rsidRPr="00E40C89" w:rsidRDefault="007A7694" w:rsidP="00C929F8">
            <w:pPr>
              <w:tabs>
                <w:tab w:val="left" w:pos="9638"/>
                <w:tab w:val="left" w:pos="9720"/>
              </w:tabs>
              <w:ind w:right="-82"/>
            </w:pPr>
          </w:p>
          <w:p w14:paraId="74136929" w14:textId="77777777" w:rsidR="007A7694" w:rsidRPr="00E40C89" w:rsidRDefault="007A7694" w:rsidP="00C929F8">
            <w:pPr>
              <w:tabs>
                <w:tab w:val="left" w:pos="9638"/>
                <w:tab w:val="left" w:pos="9720"/>
              </w:tabs>
              <w:ind w:right="-82"/>
            </w:pPr>
            <w:r w:rsidRPr="00E40C89">
              <w:t>Kasmet</w:t>
            </w:r>
          </w:p>
          <w:p w14:paraId="27B63DCF" w14:textId="77777777" w:rsidR="007A7694" w:rsidRPr="00E40C89" w:rsidRDefault="007A7694" w:rsidP="00C929F8">
            <w:pPr>
              <w:tabs>
                <w:tab w:val="left" w:pos="9638"/>
                <w:tab w:val="left" w:pos="9720"/>
              </w:tabs>
              <w:ind w:right="-82"/>
            </w:pPr>
          </w:p>
          <w:p w14:paraId="156E080B" w14:textId="77777777" w:rsidR="007A7694" w:rsidRPr="00E40C89" w:rsidRDefault="007A7694" w:rsidP="00C929F8">
            <w:pPr>
              <w:tabs>
                <w:tab w:val="left" w:pos="9638"/>
                <w:tab w:val="left" w:pos="9720"/>
              </w:tabs>
              <w:ind w:right="-82"/>
            </w:pPr>
            <w:r w:rsidRPr="00E40C89">
              <w:t>Nuo 2022 m.</w:t>
            </w:r>
          </w:p>
          <w:p w14:paraId="3937394E" w14:textId="77777777" w:rsidR="007A7694" w:rsidRPr="00E40C89" w:rsidRDefault="007A7694" w:rsidP="00C929F8">
            <w:pPr>
              <w:tabs>
                <w:tab w:val="left" w:pos="9638"/>
                <w:tab w:val="left" w:pos="9720"/>
              </w:tabs>
              <w:ind w:right="-82"/>
            </w:pPr>
          </w:p>
          <w:p w14:paraId="6492F3EA" w14:textId="77777777" w:rsidR="007A7694" w:rsidRPr="00E40C89" w:rsidRDefault="007A7694" w:rsidP="00C929F8">
            <w:pPr>
              <w:tabs>
                <w:tab w:val="left" w:pos="9638"/>
                <w:tab w:val="left" w:pos="9720"/>
              </w:tabs>
              <w:ind w:right="-82"/>
            </w:pPr>
            <w:r w:rsidRPr="00E40C89">
              <w:t>Nuolat</w:t>
            </w:r>
          </w:p>
          <w:p w14:paraId="74A43990" w14:textId="77777777" w:rsidR="00535447" w:rsidRPr="00E40C89" w:rsidRDefault="00535447" w:rsidP="00C929F8">
            <w:pPr>
              <w:tabs>
                <w:tab w:val="left" w:pos="9638"/>
                <w:tab w:val="left" w:pos="9720"/>
              </w:tabs>
              <w:ind w:right="-82"/>
            </w:pPr>
          </w:p>
          <w:p w14:paraId="5B41362F" w14:textId="77777777" w:rsidR="00535447" w:rsidRPr="00E40C89" w:rsidRDefault="00535447" w:rsidP="00C929F8">
            <w:pPr>
              <w:tabs>
                <w:tab w:val="left" w:pos="9638"/>
                <w:tab w:val="left" w:pos="9720"/>
              </w:tabs>
              <w:ind w:right="-82"/>
            </w:pPr>
          </w:p>
          <w:p w14:paraId="5AA4E4DC" w14:textId="79E5E197" w:rsidR="00535447" w:rsidRPr="00E40C89" w:rsidRDefault="00535447" w:rsidP="00C929F8">
            <w:pPr>
              <w:tabs>
                <w:tab w:val="left" w:pos="9638"/>
                <w:tab w:val="left" w:pos="9720"/>
              </w:tabs>
              <w:ind w:right="-82"/>
            </w:pPr>
            <w:r w:rsidRPr="00E40C89">
              <w:t xml:space="preserve">Nuo 2021 m. </w:t>
            </w:r>
          </w:p>
        </w:tc>
        <w:tc>
          <w:tcPr>
            <w:tcW w:w="1843" w:type="dxa"/>
          </w:tcPr>
          <w:p w14:paraId="02ECBE44" w14:textId="77777777" w:rsidR="007A7694" w:rsidRPr="00E40C89" w:rsidRDefault="007A7694" w:rsidP="00C929F8">
            <w:pPr>
              <w:tabs>
                <w:tab w:val="left" w:pos="9638"/>
                <w:tab w:val="left" w:pos="9720"/>
              </w:tabs>
              <w:ind w:right="-82"/>
            </w:pPr>
          </w:p>
          <w:p w14:paraId="4F4BF139" w14:textId="77777777" w:rsidR="007A7694" w:rsidRPr="00E40C89" w:rsidRDefault="007A7694" w:rsidP="00C929F8">
            <w:pPr>
              <w:tabs>
                <w:tab w:val="left" w:pos="9638"/>
                <w:tab w:val="left" w:pos="9720"/>
              </w:tabs>
              <w:ind w:right="-82"/>
            </w:pPr>
          </w:p>
          <w:p w14:paraId="2F71EC3B" w14:textId="77777777" w:rsidR="007A7694" w:rsidRPr="00E40C89" w:rsidRDefault="007A7694" w:rsidP="00C929F8">
            <w:pPr>
              <w:tabs>
                <w:tab w:val="left" w:pos="9638"/>
                <w:tab w:val="left" w:pos="9720"/>
              </w:tabs>
              <w:ind w:right="-82"/>
            </w:pPr>
            <w:r w:rsidRPr="00E40C89">
              <w:t>3 000 Eur</w:t>
            </w:r>
          </w:p>
          <w:p w14:paraId="408059B7" w14:textId="77777777" w:rsidR="007A7694" w:rsidRPr="00E40C89" w:rsidRDefault="007A7694" w:rsidP="00C929F8">
            <w:pPr>
              <w:tabs>
                <w:tab w:val="left" w:pos="9638"/>
                <w:tab w:val="left" w:pos="9720"/>
              </w:tabs>
              <w:ind w:right="-82"/>
            </w:pPr>
          </w:p>
          <w:p w14:paraId="16FEA9DC" w14:textId="77777777" w:rsidR="007A7694" w:rsidRPr="00E40C89" w:rsidRDefault="007A7694" w:rsidP="00C929F8">
            <w:pPr>
              <w:tabs>
                <w:tab w:val="left" w:pos="9638"/>
                <w:tab w:val="left" w:pos="9720"/>
              </w:tabs>
              <w:ind w:right="-82"/>
            </w:pPr>
            <w:r w:rsidRPr="00E40C89">
              <w:t>1 000 Eur</w:t>
            </w:r>
          </w:p>
          <w:p w14:paraId="42C7115F" w14:textId="77777777" w:rsidR="007A7694" w:rsidRPr="00E40C89" w:rsidRDefault="007A7694" w:rsidP="00C929F8">
            <w:pPr>
              <w:tabs>
                <w:tab w:val="left" w:pos="9638"/>
                <w:tab w:val="left" w:pos="9720"/>
              </w:tabs>
              <w:ind w:right="-82"/>
            </w:pPr>
          </w:p>
          <w:p w14:paraId="69F2490B" w14:textId="31209949" w:rsidR="007A7694" w:rsidRPr="00E40C89" w:rsidRDefault="007A7694" w:rsidP="00C929F8">
            <w:pPr>
              <w:tabs>
                <w:tab w:val="left" w:pos="9638"/>
                <w:tab w:val="left" w:pos="9720"/>
              </w:tabs>
              <w:ind w:right="-82"/>
            </w:pPr>
          </w:p>
        </w:tc>
      </w:tr>
    </w:tbl>
    <w:p w14:paraId="4F76FE1E" w14:textId="22FF972C" w:rsidR="007F0A0D" w:rsidRPr="00E40C89" w:rsidRDefault="007F0A0D" w:rsidP="00E40C89">
      <w:pPr>
        <w:jc w:val="center"/>
        <w:rPr>
          <w:szCs w:val="24"/>
        </w:rPr>
      </w:pPr>
    </w:p>
    <w:sectPr w:rsidR="007F0A0D" w:rsidRPr="00E40C89" w:rsidSect="007F79A7">
      <w:headerReference w:type="default" r:id="rId12"/>
      <w:footerReference w:type="default" r:id="rId13"/>
      <w:footerReference w:type="first" r:id="rId14"/>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0124B" w14:textId="77777777" w:rsidR="000C6A55" w:rsidRDefault="000C6A55">
      <w:r>
        <w:separator/>
      </w:r>
    </w:p>
  </w:endnote>
  <w:endnote w:type="continuationSeparator" w:id="0">
    <w:p w14:paraId="5B42A511" w14:textId="77777777" w:rsidR="000C6A55" w:rsidRDefault="000C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DCFEA" w14:textId="77777777" w:rsidR="000C6A55" w:rsidRDefault="000C6A55">
      <w:r>
        <w:separator/>
      </w:r>
    </w:p>
  </w:footnote>
  <w:footnote w:type="continuationSeparator" w:id="0">
    <w:p w14:paraId="1376A24C" w14:textId="77777777" w:rsidR="000C6A55" w:rsidRDefault="000C6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10636E">
      <w:rPr>
        <w:noProof/>
      </w:rPr>
      <w:t>4</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FB2EC6"/>
    <w:multiLevelType w:val="hybridMultilevel"/>
    <w:tmpl w:val="2BDE5864"/>
    <w:lvl w:ilvl="0" w:tplc="2B4ED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5AB450C"/>
    <w:multiLevelType w:val="hybridMultilevel"/>
    <w:tmpl w:val="63F670B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7BC"/>
    <w:rsid w:val="0002192F"/>
    <w:rsid w:val="000317FA"/>
    <w:rsid w:val="000349F5"/>
    <w:rsid w:val="0005169C"/>
    <w:rsid w:val="00075594"/>
    <w:rsid w:val="00075CC1"/>
    <w:rsid w:val="00075D5A"/>
    <w:rsid w:val="000767E0"/>
    <w:rsid w:val="000811E1"/>
    <w:rsid w:val="000946AA"/>
    <w:rsid w:val="000C6A55"/>
    <w:rsid w:val="000E5933"/>
    <w:rsid w:val="000E7131"/>
    <w:rsid w:val="000E7685"/>
    <w:rsid w:val="000F5C25"/>
    <w:rsid w:val="000F73EF"/>
    <w:rsid w:val="00101F07"/>
    <w:rsid w:val="0010636E"/>
    <w:rsid w:val="00124B60"/>
    <w:rsid w:val="001305C4"/>
    <w:rsid w:val="00132ABE"/>
    <w:rsid w:val="00136494"/>
    <w:rsid w:val="00144535"/>
    <w:rsid w:val="00153B94"/>
    <w:rsid w:val="0016638B"/>
    <w:rsid w:val="001864C4"/>
    <w:rsid w:val="001A2D94"/>
    <w:rsid w:val="001B1FE3"/>
    <w:rsid w:val="001D1AC1"/>
    <w:rsid w:val="001D3CB6"/>
    <w:rsid w:val="001D45A3"/>
    <w:rsid w:val="001E4DFD"/>
    <w:rsid w:val="001F7914"/>
    <w:rsid w:val="0020204A"/>
    <w:rsid w:val="00206AC7"/>
    <w:rsid w:val="00206FC7"/>
    <w:rsid w:val="00214716"/>
    <w:rsid w:val="00230FB9"/>
    <w:rsid w:val="0023417F"/>
    <w:rsid w:val="00234FD8"/>
    <w:rsid w:val="0024706D"/>
    <w:rsid w:val="002526D2"/>
    <w:rsid w:val="00252CA4"/>
    <w:rsid w:val="002630A9"/>
    <w:rsid w:val="002658A0"/>
    <w:rsid w:val="00276412"/>
    <w:rsid w:val="0028049B"/>
    <w:rsid w:val="00285127"/>
    <w:rsid w:val="002915B5"/>
    <w:rsid w:val="00291649"/>
    <w:rsid w:val="00291B7D"/>
    <w:rsid w:val="00293059"/>
    <w:rsid w:val="00294003"/>
    <w:rsid w:val="002A2097"/>
    <w:rsid w:val="002A51FF"/>
    <w:rsid w:val="002A70FF"/>
    <w:rsid w:val="002A741F"/>
    <w:rsid w:val="002B066D"/>
    <w:rsid w:val="002C39B7"/>
    <w:rsid w:val="002D0B3C"/>
    <w:rsid w:val="002D57F9"/>
    <w:rsid w:val="002D75F0"/>
    <w:rsid w:val="002D7E2D"/>
    <w:rsid w:val="002E2386"/>
    <w:rsid w:val="002E4357"/>
    <w:rsid w:val="002E7074"/>
    <w:rsid w:val="002F0DC7"/>
    <w:rsid w:val="002F7001"/>
    <w:rsid w:val="00303346"/>
    <w:rsid w:val="0031093A"/>
    <w:rsid w:val="00312A5C"/>
    <w:rsid w:val="00317B2A"/>
    <w:rsid w:val="00325CF1"/>
    <w:rsid w:val="00337555"/>
    <w:rsid w:val="00351DFA"/>
    <w:rsid w:val="00355495"/>
    <w:rsid w:val="00355EE8"/>
    <w:rsid w:val="0036656C"/>
    <w:rsid w:val="003723E8"/>
    <w:rsid w:val="003850C6"/>
    <w:rsid w:val="00386DDD"/>
    <w:rsid w:val="00392558"/>
    <w:rsid w:val="0039707D"/>
    <w:rsid w:val="003A33F9"/>
    <w:rsid w:val="003A3559"/>
    <w:rsid w:val="003A605D"/>
    <w:rsid w:val="003B1140"/>
    <w:rsid w:val="003B7B7B"/>
    <w:rsid w:val="003C3876"/>
    <w:rsid w:val="003D113C"/>
    <w:rsid w:val="003D11BE"/>
    <w:rsid w:val="003D3A89"/>
    <w:rsid w:val="003D6535"/>
    <w:rsid w:val="003E58F0"/>
    <w:rsid w:val="003E5F5D"/>
    <w:rsid w:val="003E6EDD"/>
    <w:rsid w:val="003F3684"/>
    <w:rsid w:val="003F39A7"/>
    <w:rsid w:val="004014AB"/>
    <w:rsid w:val="004100D4"/>
    <w:rsid w:val="00420850"/>
    <w:rsid w:val="00421D43"/>
    <w:rsid w:val="00435E66"/>
    <w:rsid w:val="004372D3"/>
    <w:rsid w:val="004376E8"/>
    <w:rsid w:val="004411AE"/>
    <w:rsid w:val="0045561F"/>
    <w:rsid w:val="004564CD"/>
    <w:rsid w:val="004628F8"/>
    <w:rsid w:val="00463EC5"/>
    <w:rsid w:val="00464BB1"/>
    <w:rsid w:val="00480B4C"/>
    <w:rsid w:val="00480D2E"/>
    <w:rsid w:val="004849ED"/>
    <w:rsid w:val="0049621B"/>
    <w:rsid w:val="004A0265"/>
    <w:rsid w:val="004A3610"/>
    <w:rsid w:val="004C07E0"/>
    <w:rsid w:val="004D35C5"/>
    <w:rsid w:val="004E4142"/>
    <w:rsid w:val="004F1EB6"/>
    <w:rsid w:val="004F3A26"/>
    <w:rsid w:val="004F7C82"/>
    <w:rsid w:val="00501175"/>
    <w:rsid w:val="00510DE4"/>
    <w:rsid w:val="005166E3"/>
    <w:rsid w:val="0052387D"/>
    <w:rsid w:val="00524D2D"/>
    <w:rsid w:val="00525709"/>
    <w:rsid w:val="00533646"/>
    <w:rsid w:val="00535447"/>
    <w:rsid w:val="005369AE"/>
    <w:rsid w:val="005504A4"/>
    <w:rsid w:val="00562BCD"/>
    <w:rsid w:val="00566FC8"/>
    <w:rsid w:val="00567599"/>
    <w:rsid w:val="00571BF3"/>
    <w:rsid w:val="00577E70"/>
    <w:rsid w:val="00582CD5"/>
    <w:rsid w:val="00584C4D"/>
    <w:rsid w:val="00595F80"/>
    <w:rsid w:val="005A174D"/>
    <w:rsid w:val="005A3174"/>
    <w:rsid w:val="005B1469"/>
    <w:rsid w:val="005B727C"/>
    <w:rsid w:val="005C41AC"/>
    <w:rsid w:val="005C605B"/>
    <w:rsid w:val="005C6D64"/>
    <w:rsid w:val="005F44E3"/>
    <w:rsid w:val="005F6353"/>
    <w:rsid w:val="00603B83"/>
    <w:rsid w:val="0060717D"/>
    <w:rsid w:val="00610910"/>
    <w:rsid w:val="00611EE0"/>
    <w:rsid w:val="006127B2"/>
    <w:rsid w:val="006128BC"/>
    <w:rsid w:val="0061401B"/>
    <w:rsid w:val="0062075B"/>
    <w:rsid w:val="006244B6"/>
    <w:rsid w:val="0062551B"/>
    <w:rsid w:val="00625C86"/>
    <w:rsid w:val="00630B08"/>
    <w:rsid w:val="00634080"/>
    <w:rsid w:val="00655408"/>
    <w:rsid w:val="00655E6A"/>
    <w:rsid w:val="006627E1"/>
    <w:rsid w:val="00662FB1"/>
    <w:rsid w:val="00666D57"/>
    <w:rsid w:val="00670FFD"/>
    <w:rsid w:val="0068030A"/>
    <w:rsid w:val="00684BAD"/>
    <w:rsid w:val="006B0BC0"/>
    <w:rsid w:val="006B3FEA"/>
    <w:rsid w:val="006C30AC"/>
    <w:rsid w:val="006D107B"/>
    <w:rsid w:val="006D6344"/>
    <w:rsid w:val="006D7269"/>
    <w:rsid w:val="006D7A59"/>
    <w:rsid w:val="006E206B"/>
    <w:rsid w:val="006E23CE"/>
    <w:rsid w:val="006E60BF"/>
    <w:rsid w:val="006E78A1"/>
    <w:rsid w:val="006F046D"/>
    <w:rsid w:val="00701945"/>
    <w:rsid w:val="007129E5"/>
    <w:rsid w:val="007241AF"/>
    <w:rsid w:val="00727CFA"/>
    <w:rsid w:val="00740946"/>
    <w:rsid w:val="00743B7D"/>
    <w:rsid w:val="007452C6"/>
    <w:rsid w:val="00780E8C"/>
    <w:rsid w:val="00785145"/>
    <w:rsid w:val="0078597C"/>
    <w:rsid w:val="00790A5D"/>
    <w:rsid w:val="00793437"/>
    <w:rsid w:val="00796E6A"/>
    <w:rsid w:val="007978F3"/>
    <w:rsid w:val="007A1E95"/>
    <w:rsid w:val="007A38DC"/>
    <w:rsid w:val="007A7694"/>
    <w:rsid w:val="007B3129"/>
    <w:rsid w:val="007B5BA4"/>
    <w:rsid w:val="007C0E4A"/>
    <w:rsid w:val="007D3F07"/>
    <w:rsid w:val="007D5766"/>
    <w:rsid w:val="007E2B12"/>
    <w:rsid w:val="007F0A0D"/>
    <w:rsid w:val="007F1F9E"/>
    <w:rsid w:val="007F2ABF"/>
    <w:rsid w:val="007F3F25"/>
    <w:rsid w:val="007F79A7"/>
    <w:rsid w:val="00801DD2"/>
    <w:rsid w:val="00811E67"/>
    <w:rsid w:val="008212D1"/>
    <w:rsid w:val="00832126"/>
    <w:rsid w:val="008608CB"/>
    <w:rsid w:val="0086111D"/>
    <w:rsid w:val="00876E15"/>
    <w:rsid w:val="0088367B"/>
    <w:rsid w:val="00883F12"/>
    <w:rsid w:val="00885F45"/>
    <w:rsid w:val="00895637"/>
    <w:rsid w:val="008A2000"/>
    <w:rsid w:val="008A2102"/>
    <w:rsid w:val="008A3B45"/>
    <w:rsid w:val="008B28AB"/>
    <w:rsid w:val="008B3D51"/>
    <w:rsid w:val="008D2CE8"/>
    <w:rsid w:val="008D7F28"/>
    <w:rsid w:val="008E36F8"/>
    <w:rsid w:val="008F1635"/>
    <w:rsid w:val="008F4AFB"/>
    <w:rsid w:val="008F62A9"/>
    <w:rsid w:val="008F7976"/>
    <w:rsid w:val="00903E3F"/>
    <w:rsid w:val="009111D4"/>
    <w:rsid w:val="00916D5D"/>
    <w:rsid w:val="0091708D"/>
    <w:rsid w:val="00917E9F"/>
    <w:rsid w:val="0092403B"/>
    <w:rsid w:val="00931ACB"/>
    <w:rsid w:val="009365BE"/>
    <w:rsid w:val="00942B11"/>
    <w:rsid w:val="0094478A"/>
    <w:rsid w:val="00956EFA"/>
    <w:rsid w:val="00971C71"/>
    <w:rsid w:val="00976276"/>
    <w:rsid w:val="00983960"/>
    <w:rsid w:val="0099046B"/>
    <w:rsid w:val="00990645"/>
    <w:rsid w:val="009A4733"/>
    <w:rsid w:val="009B542B"/>
    <w:rsid w:val="009C07CA"/>
    <w:rsid w:val="009C3C68"/>
    <w:rsid w:val="009C55DF"/>
    <w:rsid w:val="009D1163"/>
    <w:rsid w:val="009D3F1F"/>
    <w:rsid w:val="009D4140"/>
    <w:rsid w:val="009E113E"/>
    <w:rsid w:val="009E387E"/>
    <w:rsid w:val="009E5C02"/>
    <w:rsid w:val="009F5E68"/>
    <w:rsid w:val="00A0004E"/>
    <w:rsid w:val="00A016E0"/>
    <w:rsid w:val="00A10778"/>
    <w:rsid w:val="00A11511"/>
    <w:rsid w:val="00A263D3"/>
    <w:rsid w:val="00A26573"/>
    <w:rsid w:val="00A3474A"/>
    <w:rsid w:val="00A36213"/>
    <w:rsid w:val="00A37297"/>
    <w:rsid w:val="00A37460"/>
    <w:rsid w:val="00A562AA"/>
    <w:rsid w:val="00A57683"/>
    <w:rsid w:val="00A72F74"/>
    <w:rsid w:val="00A773ED"/>
    <w:rsid w:val="00A81759"/>
    <w:rsid w:val="00A83444"/>
    <w:rsid w:val="00A84DDD"/>
    <w:rsid w:val="00A90AC8"/>
    <w:rsid w:val="00A949C1"/>
    <w:rsid w:val="00A97838"/>
    <w:rsid w:val="00AB02B7"/>
    <w:rsid w:val="00AB0E39"/>
    <w:rsid w:val="00AD3E4E"/>
    <w:rsid w:val="00AD778C"/>
    <w:rsid w:val="00AE32FB"/>
    <w:rsid w:val="00AE728F"/>
    <w:rsid w:val="00B05FC9"/>
    <w:rsid w:val="00B14AEE"/>
    <w:rsid w:val="00B14BF1"/>
    <w:rsid w:val="00B15C9D"/>
    <w:rsid w:val="00B21F7D"/>
    <w:rsid w:val="00B408ED"/>
    <w:rsid w:val="00B41E4B"/>
    <w:rsid w:val="00B44F79"/>
    <w:rsid w:val="00B52FFC"/>
    <w:rsid w:val="00B61A88"/>
    <w:rsid w:val="00B6518B"/>
    <w:rsid w:val="00B664FD"/>
    <w:rsid w:val="00B83E18"/>
    <w:rsid w:val="00B92EBF"/>
    <w:rsid w:val="00BA0A07"/>
    <w:rsid w:val="00BA1090"/>
    <w:rsid w:val="00BA401F"/>
    <w:rsid w:val="00BA458B"/>
    <w:rsid w:val="00BB0318"/>
    <w:rsid w:val="00BB130F"/>
    <w:rsid w:val="00BB4923"/>
    <w:rsid w:val="00BB6886"/>
    <w:rsid w:val="00BC52A5"/>
    <w:rsid w:val="00BD5C3A"/>
    <w:rsid w:val="00BE2057"/>
    <w:rsid w:val="00BE2762"/>
    <w:rsid w:val="00BE4566"/>
    <w:rsid w:val="00BE5E10"/>
    <w:rsid w:val="00BF06D7"/>
    <w:rsid w:val="00BF0A1B"/>
    <w:rsid w:val="00C008EA"/>
    <w:rsid w:val="00C05DD1"/>
    <w:rsid w:val="00C12C9A"/>
    <w:rsid w:val="00C13EA5"/>
    <w:rsid w:val="00C14F8B"/>
    <w:rsid w:val="00C40FD3"/>
    <w:rsid w:val="00C420AA"/>
    <w:rsid w:val="00C442B7"/>
    <w:rsid w:val="00C52416"/>
    <w:rsid w:val="00C565AA"/>
    <w:rsid w:val="00C72861"/>
    <w:rsid w:val="00C72B75"/>
    <w:rsid w:val="00C72CB4"/>
    <w:rsid w:val="00C75F05"/>
    <w:rsid w:val="00C9091E"/>
    <w:rsid w:val="00CB5D6D"/>
    <w:rsid w:val="00CC23E4"/>
    <w:rsid w:val="00CC5B6A"/>
    <w:rsid w:val="00CD5CCA"/>
    <w:rsid w:val="00CE1C5C"/>
    <w:rsid w:val="00CE1FE1"/>
    <w:rsid w:val="00CF4026"/>
    <w:rsid w:val="00CF4A1C"/>
    <w:rsid w:val="00CF6A82"/>
    <w:rsid w:val="00D122C4"/>
    <w:rsid w:val="00D16849"/>
    <w:rsid w:val="00D1694D"/>
    <w:rsid w:val="00D25AF1"/>
    <w:rsid w:val="00D25F2C"/>
    <w:rsid w:val="00D314AF"/>
    <w:rsid w:val="00D33742"/>
    <w:rsid w:val="00D33EA4"/>
    <w:rsid w:val="00D465FB"/>
    <w:rsid w:val="00D625ED"/>
    <w:rsid w:val="00D65837"/>
    <w:rsid w:val="00D679FC"/>
    <w:rsid w:val="00D72B1A"/>
    <w:rsid w:val="00D91904"/>
    <w:rsid w:val="00D93C58"/>
    <w:rsid w:val="00DB3BF4"/>
    <w:rsid w:val="00DB5818"/>
    <w:rsid w:val="00DC4D40"/>
    <w:rsid w:val="00DC639E"/>
    <w:rsid w:val="00DC7179"/>
    <w:rsid w:val="00DC75E0"/>
    <w:rsid w:val="00DD20B8"/>
    <w:rsid w:val="00DE0D95"/>
    <w:rsid w:val="00DE129E"/>
    <w:rsid w:val="00DE1C3A"/>
    <w:rsid w:val="00DE5CCB"/>
    <w:rsid w:val="00DF7E6D"/>
    <w:rsid w:val="00E00B4D"/>
    <w:rsid w:val="00E16A02"/>
    <w:rsid w:val="00E21A77"/>
    <w:rsid w:val="00E2523E"/>
    <w:rsid w:val="00E34BFA"/>
    <w:rsid w:val="00E40C89"/>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A76C7"/>
    <w:rsid w:val="00EB01E1"/>
    <w:rsid w:val="00EC4BE1"/>
    <w:rsid w:val="00EC4E26"/>
    <w:rsid w:val="00ED6339"/>
    <w:rsid w:val="00EF65EB"/>
    <w:rsid w:val="00F0088A"/>
    <w:rsid w:val="00F0681D"/>
    <w:rsid w:val="00F131E2"/>
    <w:rsid w:val="00F23336"/>
    <w:rsid w:val="00F43577"/>
    <w:rsid w:val="00F44F7D"/>
    <w:rsid w:val="00F47074"/>
    <w:rsid w:val="00F47154"/>
    <w:rsid w:val="00F51B6C"/>
    <w:rsid w:val="00F643E8"/>
    <w:rsid w:val="00F83894"/>
    <w:rsid w:val="00F86282"/>
    <w:rsid w:val="00F86B18"/>
    <w:rsid w:val="00F9348D"/>
    <w:rsid w:val="00F97C2A"/>
    <w:rsid w:val="00FA5FAE"/>
    <w:rsid w:val="00FA67D9"/>
    <w:rsid w:val="00FA67EE"/>
    <w:rsid w:val="00FB37F0"/>
    <w:rsid w:val="00FB6C36"/>
    <w:rsid w:val="00FC1FBA"/>
    <w:rsid w:val="00FD6215"/>
    <w:rsid w:val="00FD65A6"/>
    <w:rsid w:val="00FD7127"/>
    <w:rsid w:val="00FD7B4A"/>
    <w:rsid w:val="00FE4E52"/>
    <w:rsid w:val="00FE671D"/>
    <w:rsid w:val="00FF1CA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character" w:styleId="Grietas">
    <w:name w:val="Strong"/>
    <w:uiPriority w:val="22"/>
    <w:qFormat/>
    <w:locked/>
    <w:rsid w:val="007A7694"/>
    <w:rPr>
      <w:b/>
      <w:bCs/>
    </w:rPr>
  </w:style>
  <w:style w:type="table" w:styleId="Lentelstinklelis">
    <w:name w:val="Table Grid"/>
    <w:basedOn w:val="prastojilentel"/>
    <w:uiPriority w:val="39"/>
    <w:locked/>
    <w:rsid w:val="0028049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usra2\AppData\Local\Microsoft\Windows\INetCache\IE\2RNVF8L5\Kopija%20Mokytoj&#371;%20pasiskirstymas%20pagal%20am&#382;i&#371;%20ir%20vidurkis%202020.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Ausra2\Desktop\KOPIJA\Nauja%20mokytoju%20pritraukimo%20programa\Dalykai%20pagal%20am&#382;i&#371;%20ir%20dalykus%202%20amz.%20grupes.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usra2\Desktop\Nauja%20mokytoju%20pritraukimo%20programa\Kopija%20ikimok%20pedagogai%202020%20pagal%20am&#382;i&#371;%20ir%20procenta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6" b="0" i="0" u="none" strike="noStrike" kern="1200" spc="0" baseline="0">
                <a:solidFill>
                  <a:schemeClr val="tx1">
                    <a:lumMod val="65000"/>
                    <a:lumOff val="35000"/>
                  </a:schemeClr>
                </a:solidFill>
                <a:latin typeface="+mn-lt"/>
                <a:ea typeface="+mn-ea"/>
                <a:cs typeface="+mn-cs"/>
              </a:defRPr>
            </a:pPr>
            <a:r>
              <a:rPr lang="lt-LT" sz="1396" b="0" i="0" u="none" strike="noStrike" baseline="0">
                <a:effectLst/>
                <a:latin typeface="Times New Roman" panose="02020603050405020304" pitchFamily="18" charset="0"/>
                <a:cs typeface="Times New Roman" panose="02020603050405020304" pitchFamily="18" charset="0"/>
              </a:rPr>
              <a:t>Mokytojų amžiaus vidurkis Panevėžio miesto mokyklose 2020 m</a:t>
            </a:r>
            <a:r>
              <a:rPr lang="lt-LT" sz="1396" b="0" i="0" u="none" strike="noStrike" baseline="0">
                <a:effectLst/>
              </a:rPr>
              <a:t>.</a:t>
            </a:r>
            <a:endParaRPr lang="lt-LT"/>
          </a:p>
        </c:rich>
      </c:tx>
      <c:layout/>
      <c:overlay val="0"/>
      <c:spPr>
        <a:noFill/>
        <a:ln w="25333">
          <a:noFill/>
        </a:ln>
      </c:spPr>
    </c:title>
    <c:autoTitleDeleted val="0"/>
    <c:plotArea>
      <c:layout/>
      <c:barChart>
        <c:barDir val="col"/>
        <c:grouping val="clustered"/>
        <c:varyColors val="0"/>
        <c:ser>
          <c:idx val="0"/>
          <c:order val="0"/>
          <c:spPr>
            <a:solidFill>
              <a:srgbClr val="5B9BD5"/>
            </a:solidFill>
            <a:ln w="25333">
              <a:noFill/>
            </a:ln>
          </c:spPr>
          <c:invertIfNegative val="0"/>
          <c:dLbls>
            <c:spPr>
              <a:noFill/>
              <a:ln w="25333">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Lapas1!$B$3:$B$7</c:f>
              <c:strCache>
                <c:ptCount val="5"/>
                <c:pt idx="0">
                  <c:v>Gimnazijos</c:v>
                </c:pt>
                <c:pt idx="1">
                  <c:v>Progimnazijos</c:v>
                </c:pt>
                <c:pt idx="2">
                  <c:v>Spec. ugdymo įstaigos </c:v>
                </c:pt>
                <c:pt idx="3">
                  <c:v>Pradinė mokykla</c:v>
                </c:pt>
                <c:pt idx="4">
                  <c:v>Panevėžio suaugusiųjų ir jaunimo mokymo centras</c:v>
                </c:pt>
              </c:strCache>
            </c:strRef>
          </c:cat>
          <c:val>
            <c:numRef>
              <c:f>Lapas1!$C$3:$C$7</c:f>
              <c:numCache>
                <c:formatCode>General</c:formatCode>
                <c:ptCount val="5"/>
                <c:pt idx="0">
                  <c:v>53.9</c:v>
                </c:pt>
                <c:pt idx="1">
                  <c:v>53.46</c:v>
                </c:pt>
                <c:pt idx="2">
                  <c:v>58.47</c:v>
                </c:pt>
                <c:pt idx="3">
                  <c:v>54</c:v>
                </c:pt>
                <c:pt idx="4">
                  <c:v>54.93</c:v>
                </c:pt>
              </c:numCache>
            </c:numRef>
          </c:val>
          <c:extLst xmlns:c16r2="http://schemas.microsoft.com/office/drawing/2015/06/chart">
            <c:ext xmlns:c16="http://schemas.microsoft.com/office/drawing/2014/chart" uri="{C3380CC4-5D6E-409C-BE32-E72D297353CC}">
              <c16:uniqueId val="{00000000-E842-417E-A39E-02ABA11608A1}"/>
            </c:ext>
          </c:extLst>
        </c:ser>
        <c:dLbls>
          <c:showLegendKey val="0"/>
          <c:showVal val="0"/>
          <c:showCatName val="0"/>
          <c:showSerName val="0"/>
          <c:showPercent val="0"/>
          <c:showBubbleSize val="0"/>
        </c:dLbls>
        <c:gapWidth val="219"/>
        <c:overlap val="-27"/>
        <c:axId val="-799300480"/>
        <c:axId val="-799299936"/>
      </c:barChart>
      <c:catAx>
        <c:axId val="-799300480"/>
        <c:scaling>
          <c:orientation val="minMax"/>
        </c:scaling>
        <c:delete val="0"/>
        <c:axPos val="b"/>
        <c:numFmt formatCode="General" sourceLinked="1"/>
        <c:majorTickMark val="none"/>
        <c:minorTickMark val="none"/>
        <c:tickLblPos val="nextTo"/>
        <c:spPr>
          <a:noFill/>
          <a:ln w="9500"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lt-LT"/>
          </a:p>
        </c:txPr>
        <c:crossAx val="-799299936"/>
        <c:crosses val="autoZero"/>
        <c:auto val="1"/>
        <c:lblAlgn val="ctr"/>
        <c:lblOffset val="100"/>
        <c:noMultiLvlLbl val="0"/>
      </c:catAx>
      <c:valAx>
        <c:axId val="-799299936"/>
        <c:scaling>
          <c:orientation val="minMax"/>
        </c:scaling>
        <c:delete val="0"/>
        <c:axPos val="l"/>
        <c:majorGridlines>
          <c:spPr>
            <a:ln w="9500" cap="flat" cmpd="sng" algn="ctr">
              <a:solidFill>
                <a:schemeClr val="tx1">
                  <a:lumMod val="15000"/>
                  <a:lumOff val="85000"/>
                </a:schemeClr>
              </a:solidFill>
              <a:round/>
            </a:ln>
            <a:effectLst/>
          </c:spPr>
        </c:majorGridlines>
        <c:numFmt formatCode="General" sourceLinked="1"/>
        <c:majorTickMark val="none"/>
        <c:minorTickMark val="none"/>
        <c:tickLblPos val="nextTo"/>
        <c:spPr>
          <a:ln w="6333">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lt-LT"/>
          </a:p>
        </c:txPr>
        <c:crossAx val="-799300480"/>
        <c:crosses val="autoZero"/>
        <c:crossBetween val="between"/>
      </c:valAx>
      <c:spPr>
        <a:noFill/>
        <a:ln w="25333">
          <a:noFill/>
        </a:ln>
      </c:spPr>
    </c:plotArea>
    <c:plotVisOnly val="1"/>
    <c:dispBlanksAs val="gap"/>
    <c:showDLblsOverMax val="0"/>
  </c:chart>
  <c:spPr>
    <a:solidFill>
      <a:schemeClr val="bg1"/>
    </a:solidFill>
    <a:ln w="9500"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solidFill>
                  <a:sysClr val="windowText" lastClr="000000"/>
                </a:solidFill>
                <a:latin typeface="Times New Roman" panose="02020603050405020304" pitchFamily="18" charset="0"/>
                <a:cs typeface="Times New Roman" panose="02020603050405020304" pitchFamily="18" charset="0"/>
              </a:rPr>
              <a:t>Mokytojų pasiskirstymas pagal amžių proc. Panevėžio miesto</a:t>
            </a:r>
            <a:r>
              <a:rPr lang="lt-LT" baseline="0">
                <a:solidFill>
                  <a:sysClr val="windowText" lastClr="000000"/>
                </a:solidFill>
                <a:latin typeface="Times New Roman" panose="02020603050405020304" pitchFamily="18" charset="0"/>
                <a:cs typeface="Times New Roman" panose="02020603050405020304" pitchFamily="18" charset="0"/>
              </a:rPr>
              <a:t> mokyklose 2020 m. </a:t>
            </a:r>
            <a:endParaRPr lang="lt-LT">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'[Kopija Mokytojų pasiskirstymas pagal amžių ir vidurkis 2020.xlsx]2020 bendras proc'!$C$3</c:f>
              <c:strCache>
                <c:ptCount val="1"/>
                <c:pt idx="0">
                  <c:v>25-29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proc'!$C$4:$C$9</c:f>
              <c:numCache>
                <c:formatCode>0.0</c:formatCode>
                <c:ptCount val="6"/>
                <c:pt idx="0">
                  <c:v>0.74906367041198507</c:v>
                </c:pt>
                <c:pt idx="1">
                  <c:v>1.6701461377870563</c:v>
                </c:pt>
                <c:pt idx="2">
                  <c:v>0</c:v>
                </c:pt>
                <c:pt idx="3">
                  <c:v>0</c:v>
                </c:pt>
                <c:pt idx="4">
                  <c:v>3.125</c:v>
                </c:pt>
                <c:pt idx="5">
                  <c:v>1.1088419616398082</c:v>
                </c:pt>
              </c:numCache>
            </c:numRef>
          </c:val>
          <c:extLst xmlns:c16r2="http://schemas.microsoft.com/office/drawing/2015/06/chart">
            <c:ext xmlns:c16="http://schemas.microsoft.com/office/drawing/2014/chart" uri="{C3380CC4-5D6E-409C-BE32-E72D297353CC}">
              <c16:uniqueId val="{00000000-441D-46B5-B6F8-5CBE2896667B}"/>
            </c:ext>
          </c:extLst>
        </c:ser>
        <c:ser>
          <c:idx val="1"/>
          <c:order val="1"/>
          <c:tx>
            <c:strRef>
              <c:f>'[Kopija Mokytojų pasiskirstymas pagal amžių ir vidurkis 2020.xlsx]2020 bendras proc'!$D$3</c:f>
              <c:strCache>
                <c:ptCount val="1"/>
                <c:pt idx="0">
                  <c:v>30-39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proc'!$D$4:$D$9</c:f>
              <c:numCache>
                <c:formatCode>0.0</c:formatCode>
                <c:ptCount val="6"/>
                <c:pt idx="0">
                  <c:v>6.7415730337078648</c:v>
                </c:pt>
                <c:pt idx="1">
                  <c:v>5.2192066805845512</c:v>
                </c:pt>
                <c:pt idx="2">
                  <c:v>10.95890410958904</c:v>
                </c:pt>
                <c:pt idx="3">
                  <c:v>4.166666666666667</c:v>
                </c:pt>
                <c:pt idx="4">
                  <c:v>9.375</c:v>
                </c:pt>
                <c:pt idx="5">
                  <c:v>7.2922700981096256</c:v>
                </c:pt>
              </c:numCache>
            </c:numRef>
          </c:val>
          <c:extLst xmlns:c16r2="http://schemas.microsoft.com/office/drawing/2015/06/chart">
            <c:ext xmlns:c16="http://schemas.microsoft.com/office/drawing/2014/chart" uri="{C3380CC4-5D6E-409C-BE32-E72D297353CC}">
              <c16:uniqueId val="{00000001-441D-46B5-B6F8-5CBE2896667B}"/>
            </c:ext>
          </c:extLst>
        </c:ser>
        <c:ser>
          <c:idx val="2"/>
          <c:order val="2"/>
          <c:tx>
            <c:strRef>
              <c:f>'[Kopija Mokytojų pasiskirstymas pagal amžių ir vidurkis 2020.xlsx]2020 bendras proc'!$E$3</c:f>
              <c:strCache>
                <c:ptCount val="1"/>
                <c:pt idx="0">
                  <c:v>40-49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proc'!$E$4:$E$9</c:f>
              <c:numCache>
                <c:formatCode>0.0</c:formatCode>
                <c:ptCount val="6"/>
                <c:pt idx="0">
                  <c:v>19.850187265917604</c:v>
                </c:pt>
                <c:pt idx="1">
                  <c:v>24.63465553235908</c:v>
                </c:pt>
                <c:pt idx="2">
                  <c:v>17.80821917808219</c:v>
                </c:pt>
                <c:pt idx="3">
                  <c:v>29.166666666666668</c:v>
                </c:pt>
                <c:pt idx="4">
                  <c:v>4</c:v>
                </c:pt>
                <c:pt idx="5">
                  <c:v>19.091945728605108</c:v>
                </c:pt>
              </c:numCache>
            </c:numRef>
          </c:val>
          <c:extLst xmlns:c16r2="http://schemas.microsoft.com/office/drawing/2015/06/chart">
            <c:ext xmlns:c16="http://schemas.microsoft.com/office/drawing/2014/chart" uri="{C3380CC4-5D6E-409C-BE32-E72D297353CC}">
              <c16:uniqueId val="{00000002-441D-46B5-B6F8-5CBE2896667B}"/>
            </c:ext>
          </c:extLst>
        </c:ser>
        <c:ser>
          <c:idx val="3"/>
          <c:order val="3"/>
          <c:tx>
            <c:strRef>
              <c:f>'[Kopija Mokytojų pasiskirstymas pagal amžių ir vidurkis 2020.xlsx]2020 bendras proc'!$F$3</c:f>
              <c:strCache>
                <c:ptCount val="1"/>
                <c:pt idx="0">
                  <c:v>50-59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proc'!$F$4:$F$9</c:f>
              <c:numCache>
                <c:formatCode>0.0</c:formatCode>
                <c:ptCount val="6"/>
                <c:pt idx="0">
                  <c:v>42.322097378277157</c:v>
                </c:pt>
                <c:pt idx="1">
                  <c:v>41.544885177453025</c:v>
                </c:pt>
                <c:pt idx="2">
                  <c:v>32.876712328767127</c:v>
                </c:pt>
                <c:pt idx="3">
                  <c:v>45.833333333333336</c:v>
                </c:pt>
                <c:pt idx="4">
                  <c:v>40.625</c:v>
                </c:pt>
                <c:pt idx="5">
                  <c:v>40.640405643566126</c:v>
                </c:pt>
              </c:numCache>
            </c:numRef>
          </c:val>
          <c:extLst xmlns:c16r2="http://schemas.microsoft.com/office/drawing/2015/06/chart">
            <c:ext xmlns:c16="http://schemas.microsoft.com/office/drawing/2014/chart" uri="{C3380CC4-5D6E-409C-BE32-E72D297353CC}">
              <c16:uniqueId val="{00000003-441D-46B5-B6F8-5CBE2896667B}"/>
            </c:ext>
          </c:extLst>
        </c:ser>
        <c:ser>
          <c:idx val="4"/>
          <c:order val="4"/>
          <c:tx>
            <c:strRef>
              <c:f>'[Kopija Mokytojų pasiskirstymas pagal amžių ir vidurkis 2020.xlsx]2020 bendras proc'!$G$3</c:f>
              <c:strCache>
                <c:ptCount val="1"/>
                <c:pt idx="0">
                  <c:v>60 ir vyr.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'[Kopija Mokytojų pasiskirstymas pagal amžių ir vidurkis 2020.xlsx]2020 bendras proc'!$B$4:$B$9</c:f>
              <c:strCache>
                <c:ptCount val="6"/>
                <c:pt idx="0">
                  <c:v>Gimnazijos</c:v>
                </c:pt>
                <c:pt idx="1">
                  <c:v>Progimnazijos</c:v>
                </c:pt>
                <c:pt idx="2">
                  <c:v>Spec. m-klos</c:v>
                </c:pt>
                <c:pt idx="3">
                  <c:v>Pradinė m-kla</c:v>
                </c:pt>
                <c:pt idx="4">
                  <c:v>Panevėžio suaugusiųjų ir jaunimo mokymo centras</c:v>
                </c:pt>
                <c:pt idx="5">
                  <c:v>Visos mokyklos</c:v>
                </c:pt>
              </c:strCache>
            </c:strRef>
          </c:cat>
          <c:val>
            <c:numRef>
              <c:f>'[Kopija Mokytojų pasiskirstymas pagal amžių ir vidurkis 2020.xlsx]2020 bendras proc'!$G$4:$G$9</c:f>
              <c:numCache>
                <c:formatCode>0.0</c:formatCode>
                <c:ptCount val="6"/>
                <c:pt idx="0">
                  <c:v>29.962546816479399</c:v>
                </c:pt>
                <c:pt idx="1">
                  <c:v>26.931106471816285</c:v>
                </c:pt>
                <c:pt idx="2">
                  <c:v>38.356164383561641</c:v>
                </c:pt>
                <c:pt idx="3">
                  <c:v>20.833333333333332</c:v>
                </c:pt>
                <c:pt idx="4">
                  <c:v>34.375</c:v>
                </c:pt>
                <c:pt idx="5">
                  <c:v>30.091630201038129</c:v>
                </c:pt>
              </c:numCache>
            </c:numRef>
          </c:val>
          <c:extLst xmlns:c16r2="http://schemas.microsoft.com/office/drawing/2015/06/chart">
            <c:ext xmlns:c16="http://schemas.microsoft.com/office/drawing/2014/chart" uri="{C3380CC4-5D6E-409C-BE32-E72D297353CC}">
              <c16:uniqueId val="{00000004-441D-46B5-B6F8-5CBE2896667B}"/>
            </c:ext>
          </c:extLst>
        </c:ser>
        <c:dLbls>
          <c:dLblPos val="outEnd"/>
          <c:showLegendKey val="0"/>
          <c:showVal val="1"/>
          <c:showCatName val="0"/>
          <c:showSerName val="0"/>
          <c:showPercent val="0"/>
          <c:showBubbleSize val="0"/>
        </c:dLbls>
        <c:gapWidth val="219"/>
        <c:overlap val="-27"/>
        <c:axId val="-937992288"/>
        <c:axId val="-937980320"/>
      </c:barChart>
      <c:catAx>
        <c:axId val="-93799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37980320"/>
        <c:crosses val="autoZero"/>
        <c:auto val="1"/>
        <c:lblAlgn val="ctr"/>
        <c:lblOffset val="100"/>
        <c:noMultiLvlLbl val="0"/>
      </c:catAx>
      <c:valAx>
        <c:axId val="-9379803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37992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solidFill>
                  <a:sysClr val="windowText" lastClr="000000"/>
                </a:solidFill>
                <a:effectLst/>
                <a:latin typeface="Times New Roman" panose="02020603050405020304" pitchFamily="18" charset="0"/>
                <a:cs typeface="Times New Roman" panose="02020603050405020304" pitchFamily="18" charset="0"/>
              </a:rPr>
              <a:t>Mokytojų pasiskirstymas (proc.) pagal amžių (55-59 m., 60 m. ir vyr.) ir dalykus </a:t>
            </a:r>
            <a:r>
              <a:rPr lang="lt-LT"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Panevėžio miesto mokyklose </a:t>
            </a:r>
            <a:r>
              <a:rPr lang="lt-LT" sz="1400" b="0" i="0" baseline="0">
                <a:solidFill>
                  <a:sysClr val="windowText" lastClr="000000"/>
                </a:solidFill>
                <a:effectLst/>
                <a:latin typeface="Times New Roman" panose="02020603050405020304" pitchFamily="18" charset="0"/>
                <a:cs typeface="Times New Roman" panose="02020603050405020304" pitchFamily="18" charset="0"/>
              </a:rPr>
              <a:t>2020-2021 m. m. </a:t>
            </a:r>
            <a:endParaRPr lang="lt-LT" sz="14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1130764371446621"/>
          <c:y val="2.268431001890359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'55 m ir vyresni'!$O$2</c:f>
              <c:strCache>
                <c:ptCount val="1"/>
                <c:pt idx="0">
                  <c:v>55-59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'55 m ir vyresni'!$N$3:$N$18</c:f>
              <c:strCache>
                <c:ptCount val="16"/>
                <c:pt idx="0">
                  <c:v>Dorinis ugdymas</c:v>
                </c:pt>
                <c:pt idx="1">
                  <c:v>Lietuvių kalba ir literatūra</c:v>
                </c:pt>
                <c:pt idx="2">
                  <c:v>Anglų  kalba</c:v>
                </c:pt>
                <c:pt idx="3">
                  <c:v>Rusų/vokiečių/prancūzų  kalba</c:v>
                </c:pt>
                <c:pt idx="4">
                  <c:v>Matematika</c:v>
                </c:pt>
                <c:pt idx="5">
                  <c:v>Informacinės technologijos</c:v>
                </c:pt>
                <c:pt idx="6">
                  <c:v>Biologija</c:v>
                </c:pt>
                <c:pt idx="7">
                  <c:v>Chemija</c:v>
                </c:pt>
                <c:pt idx="8">
                  <c:v>Fizika</c:v>
                </c:pt>
                <c:pt idx="9">
                  <c:v>Istorija</c:v>
                </c:pt>
                <c:pt idx="10">
                  <c:v>Geografija</c:v>
                </c:pt>
                <c:pt idx="11">
                  <c:v>Dailė</c:v>
                </c:pt>
                <c:pt idx="12">
                  <c:v>Muzika</c:v>
                </c:pt>
                <c:pt idx="13">
                  <c:v>Technologijos</c:v>
                </c:pt>
                <c:pt idx="14">
                  <c:v>Fizinis ugdymas</c:v>
                </c:pt>
                <c:pt idx="15">
                  <c:v>Pradinis ugdymas</c:v>
                </c:pt>
              </c:strCache>
            </c:strRef>
          </c:cat>
          <c:val>
            <c:numRef>
              <c:f>'55 m ir vyresni'!$O$3:$O$18</c:f>
              <c:numCache>
                <c:formatCode>#,##0</c:formatCode>
                <c:ptCount val="16"/>
                <c:pt idx="0">
                  <c:v>11.111111111111111</c:v>
                </c:pt>
                <c:pt idx="1">
                  <c:v>22.666666666666668</c:v>
                </c:pt>
                <c:pt idx="2">
                  <c:v>14.285714285714286</c:v>
                </c:pt>
                <c:pt idx="3">
                  <c:v>30.76923076923077</c:v>
                </c:pt>
                <c:pt idx="4">
                  <c:v>28.571428571428573</c:v>
                </c:pt>
                <c:pt idx="5">
                  <c:v>4.5454545454545459</c:v>
                </c:pt>
                <c:pt idx="6">
                  <c:v>30.434782608695652</c:v>
                </c:pt>
                <c:pt idx="7">
                  <c:v>36.363636363636367</c:v>
                </c:pt>
                <c:pt idx="8">
                  <c:v>50</c:v>
                </c:pt>
                <c:pt idx="9">
                  <c:v>30.303030303030305</c:v>
                </c:pt>
                <c:pt idx="10">
                  <c:v>23.076923076923077</c:v>
                </c:pt>
                <c:pt idx="11">
                  <c:v>33.333333333333336</c:v>
                </c:pt>
                <c:pt idx="12">
                  <c:v>36.842105263157897</c:v>
                </c:pt>
                <c:pt idx="13">
                  <c:v>25.806451612903224</c:v>
                </c:pt>
                <c:pt idx="14">
                  <c:v>24.324324324324323</c:v>
                </c:pt>
                <c:pt idx="15">
                  <c:v>26.923076923076923</c:v>
                </c:pt>
              </c:numCache>
            </c:numRef>
          </c:val>
          <c:extLst xmlns:c16r2="http://schemas.microsoft.com/office/drawing/2015/06/chart">
            <c:ext xmlns:c16="http://schemas.microsoft.com/office/drawing/2014/chart" uri="{C3380CC4-5D6E-409C-BE32-E72D297353CC}">
              <c16:uniqueId val="{00000000-33B0-426B-B4ED-5D28D0B32A98}"/>
            </c:ext>
          </c:extLst>
        </c:ser>
        <c:ser>
          <c:idx val="1"/>
          <c:order val="1"/>
          <c:tx>
            <c:strRef>
              <c:f>'55 m ir vyresni'!$P$2</c:f>
              <c:strCache>
                <c:ptCount val="1"/>
                <c:pt idx="0">
                  <c:v>60 m. ir vyresni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'55 m ir vyresni'!$N$3:$N$18</c:f>
              <c:strCache>
                <c:ptCount val="16"/>
                <c:pt idx="0">
                  <c:v>Dorinis ugdymas</c:v>
                </c:pt>
                <c:pt idx="1">
                  <c:v>Lietuvių kalba ir literatūra</c:v>
                </c:pt>
                <c:pt idx="2">
                  <c:v>Anglų  kalba</c:v>
                </c:pt>
                <c:pt idx="3">
                  <c:v>Rusų/vokiečių/prancūzų  kalba</c:v>
                </c:pt>
                <c:pt idx="4">
                  <c:v>Matematika</c:v>
                </c:pt>
                <c:pt idx="5">
                  <c:v>Informacinės technologijos</c:v>
                </c:pt>
                <c:pt idx="6">
                  <c:v>Biologija</c:v>
                </c:pt>
                <c:pt idx="7">
                  <c:v>Chemija</c:v>
                </c:pt>
                <c:pt idx="8">
                  <c:v>Fizika</c:v>
                </c:pt>
                <c:pt idx="9">
                  <c:v>Istorija</c:v>
                </c:pt>
                <c:pt idx="10">
                  <c:v>Geografija</c:v>
                </c:pt>
                <c:pt idx="11">
                  <c:v>Dailė</c:v>
                </c:pt>
                <c:pt idx="12">
                  <c:v>Muzika</c:v>
                </c:pt>
                <c:pt idx="13">
                  <c:v>Technologijos</c:v>
                </c:pt>
                <c:pt idx="14">
                  <c:v>Fizinis ugdymas</c:v>
                </c:pt>
                <c:pt idx="15">
                  <c:v>Pradinis ugdymas</c:v>
                </c:pt>
              </c:strCache>
            </c:strRef>
          </c:cat>
          <c:val>
            <c:numRef>
              <c:f>'55 m ir vyresni'!$P$3:$P$18</c:f>
              <c:numCache>
                <c:formatCode>0</c:formatCode>
                <c:ptCount val="16"/>
                <c:pt idx="0">
                  <c:v>40.74074074074074</c:v>
                </c:pt>
                <c:pt idx="1">
                  <c:v>34.666666666666664</c:v>
                </c:pt>
                <c:pt idx="2">
                  <c:v>21.978021978021978</c:v>
                </c:pt>
                <c:pt idx="3">
                  <c:v>58.974358974358971</c:v>
                </c:pt>
                <c:pt idx="4">
                  <c:v>39.285714285714285</c:v>
                </c:pt>
                <c:pt idx="5">
                  <c:v>18.181818181818183</c:v>
                </c:pt>
                <c:pt idx="6">
                  <c:v>26.086956521739129</c:v>
                </c:pt>
                <c:pt idx="7">
                  <c:v>45.454545454545453</c:v>
                </c:pt>
                <c:pt idx="8">
                  <c:v>25</c:v>
                </c:pt>
                <c:pt idx="9">
                  <c:v>30.303030303030305</c:v>
                </c:pt>
                <c:pt idx="10">
                  <c:v>23.076923076923077</c:v>
                </c:pt>
                <c:pt idx="11">
                  <c:v>26.666666666666668</c:v>
                </c:pt>
                <c:pt idx="12">
                  <c:v>26.315789473684209</c:v>
                </c:pt>
                <c:pt idx="13">
                  <c:v>35.483870967741936</c:v>
                </c:pt>
                <c:pt idx="14">
                  <c:v>24.324324324324323</c:v>
                </c:pt>
                <c:pt idx="15">
                  <c:v>19.871794871794872</c:v>
                </c:pt>
              </c:numCache>
            </c:numRef>
          </c:val>
          <c:extLst xmlns:c16r2="http://schemas.microsoft.com/office/drawing/2015/06/chart">
            <c:ext xmlns:c16="http://schemas.microsoft.com/office/drawing/2014/chart" uri="{C3380CC4-5D6E-409C-BE32-E72D297353CC}">
              <c16:uniqueId val="{00000001-33B0-426B-B4ED-5D28D0B32A98}"/>
            </c:ext>
          </c:extLst>
        </c:ser>
        <c:dLbls>
          <c:dLblPos val="outEnd"/>
          <c:showLegendKey val="0"/>
          <c:showVal val="1"/>
          <c:showCatName val="0"/>
          <c:showSerName val="0"/>
          <c:showPercent val="0"/>
          <c:showBubbleSize val="0"/>
        </c:dLbls>
        <c:gapWidth val="219"/>
        <c:overlap val="-27"/>
        <c:axId val="-937990112"/>
        <c:axId val="-937990656"/>
      </c:barChart>
      <c:catAx>
        <c:axId val="-93799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37990656"/>
        <c:crosses val="autoZero"/>
        <c:auto val="1"/>
        <c:lblAlgn val="ctr"/>
        <c:lblOffset val="100"/>
        <c:noMultiLvlLbl val="0"/>
      </c:catAx>
      <c:valAx>
        <c:axId val="-937990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37990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400" b="0" i="0" baseline="0">
                <a:solidFill>
                  <a:sysClr val="windowText" lastClr="000000"/>
                </a:solidFill>
                <a:effectLst/>
                <a:latin typeface="Times New Roman" panose="02020603050405020304" pitchFamily="18" charset="0"/>
                <a:cs typeface="Times New Roman" panose="02020603050405020304" pitchFamily="18" charset="0"/>
              </a:rPr>
              <a:t>Pedagogų pasiskirstymas pagal amžių Panevėžio miesto ikimokyklinio ugdymo mokyklose 2020–2021 m. m. (proc.)</a:t>
            </a:r>
            <a:endParaRPr lang="lt-LT" sz="14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784134348351683"/>
          <c:y val="3.346456692913385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Procentais!$A$28</c:f>
              <c:strCache>
                <c:ptCount val="1"/>
                <c:pt idx="0">
                  <c:v>Auklėtojas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Procentais!$B$27:$K$27</c:f>
              <c:strCache>
                <c:ptCount val="10"/>
                <c:pt idx="0">
                  <c:v>Jaunesni nei 25 metai</c:v>
                </c:pt>
                <c:pt idx="1">
                  <c:v>25-29 m.</c:v>
                </c:pt>
                <c:pt idx="2">
                  <c:v>30-34 m.</c:v>
                </c:pt>
                <c:pt idx="3">
                  <c:v>35-39 m.</c:v>
                </c:pt>
                <c:pt idx="4">
                  <c:v>40-44 m.</c:v>
                </c:pt>
                <c:pt idx="5">
                  <c:v>45-49 m.</c:v>
                </c:pt>
                <c:pt idx="6">
                  <c:v>50-54 m.</c:v>
                </c:pt>
                <c:pt idx="7">
                  <c:v>55-59 m.</c:v>
                </c:pt>
                <c:pt idx="8">
                  <c:v>60-64 m.</c:v>
                </c:pt>
                <c:pt idx="9">
                  <c:v>65 m. ir vyresni</c:v>
                </c:pt>
              </c:strCache>
            </c:strRef>
          </c:cat>
          <c:val>
            <c:numRef>
              <c:f>Procentais!$B$28:$K$28</c:f>
              <c:numCache>
                <c:formatCode>0.0</c:formatCode>
                <c:ptCount val="10"/>
                <c:pt idx="0">
                  <c:v>1.0256410256410255</c:v>
                </c:pt>
                <c:pt idx="1">
                  <c:v>3.5897435897435899</c:v>
                </c:pt>
                <c:pt idx="2">
                  <c:v>7.4358974358974361</c:v>
                </c:pt>
                <c:pt idx="3">
                  <c:v>8.4615384615384617</c:v>
                </c:pt>
                <c:pt idx="4">
                  <c:v>6.4102564102564106</c:v>
                </c:pt>
                <c:pt idx="5">
                  <c:v>15.384615384615385</c:v>
                </c:pt>
                <c:pt idx="6">
                  <c:v>20.256410256410255</c:v>
                </c:pt>
                <c:pt idx="7">
                  <c:v>19.487179487179485</c:v>
                </c:pt>
                <c:pt idx="8">
                  <c:v>15.641025641025641</c:v>
                </c:pt>
                <c:pt idx="9">
                  <c:v>2.3076923076923075</c:v>
                </c:pt>
              </c:numCache>
            </c:numRef>
          </c:val>
          <c:extLst xmlns:c16r2="http://schemas.microsoft.com/office/drawing/2015/06/chart">
            <c:ext xmlns:c16="http://schemas.microsoft.com/office/drawing/2014/chart" uri="{C3380CC4-5D6E-409C-BE32-E72D297353CC}">
              <c16:uniqueId val="{00000000-77B2-494A-8A6B-504F1FBD4EAD}"/>
            </c:ext>
          </c:extLst>
        </c:ser>
        <c:ser>
          <c:idx val="1"/>
          <c:order val="1"/>
          <c:tx>
            <c:strRef>
              <c:f>Procentais!$A$29</c:f>
              <c:strCache>
                <c:ptCount val="1"/>
                <c:pt idx="0">
                  <c:v>Kiti pedagogai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Procentais!$B$27:$K$27</c:f>
              <c:strCache>
                <c:ptCount val="10"/>
                <c:pt idx="0">
                  <c:v>Jaunesni nei 25 metai</c:v>
                </c:pt>
                <c:pt idx="1">
                  <c:v>25-29 m.</c:v>
                </c:pt>
                <c:pt idx="2">
                  <c:v>30-34 m.</c:v>
                </c:pt>
                <c:pt idx="3">
                  <c:v>35-39 m.</c:v>
                </c:pt>
                <c:pt idx="4">
                  <c:v>40-44 m.</c:v>
                </c:pt>
                <c:pt idx="5">
                  <c:v>45-49 m.</c:v>
                </c:pt>
                <c:pt idx="6">
                  <c:v>50-54 m.</c:v>
                </c:pt>
                <c:pt idx="7">
                  <c:v>55-59 m.</c:v>
                </c:pt>
                <c:pt idx="8">
                  <c:v>60-64 m.</c:v>
                </c:pt>
                <c:pt idx="9">
                  <c:v>65 m. ir vyresni</c:v>
                </c:pt>
              </c:strCache>
            </c:strRef>
          </c:cat>
          <c:val>
            <c:numRef>
              <c:f>Procentais!$B$29:$K$29</c:f>
              <c:numCache>
                <c:formatCode>0.0</c:formatCode>
                <c:ptCount val="10"/>
                <c:pt idx="0">
                  <c:v>2</c:v>
                </c:pt>
                <c:pt idx="1">
                  <c:v>3.3333333333333335</c:v>
                </c:pt>
                <c:pt idx="2">
                  <c:v>11.333333333333334</c:v>
                </c:pt>
                <c:pt idx="3">
                  <c:v>8</c:v>
                </c:pt>
                <c:pt idx="4">
                  <c:v>10</c:v>
                </c:pt>
                <c:pt idx="5">
                  <c:v>18.666666666666668</c:v>
                </c:pt>
                <c:pt idx="6">
                  <c:v>18</c:v>
                </c:pt>
                <c:pt idx="7">
                  <c:v>17.333333333333332</c:v>
                </c:pt>
                <c:pt idx="8">
                  <c:v>10</c:v>
                </c:pt>
                <c:pt idx="9">
                  <c:v>1.3333333333333333</c:v>
                </c:pt>
              </c:numCache>
            </c:numRef>
          </c:val>
          <c:extLst xmlns:c16r2="http://schemas.microsoft.com/office/drawing/2015/06/chart">
            <c:ext xmlns:c16="http://schemas.microsoft.com/office/drawing/2014/chart" uri="{C3380CC4-5D6E-409C-BE32-E72D297353CC}">
              <c16:uniqueId val="{00000001-77B2-494A-8A6B-504F1FBD4EAD}"/>
            </c:ext>
          </c:extLst>
        </c:ser>
        <c:dLbls>
          <c:dLblPos val="outEnd"/>
          <c:showLegendKey val="0"/>
          <c:showVal val="1"/>
          <c:showCatName val="0"/>
          <c:showSerName val="0"/>
          <c:showPercent val="0"/>
          <c:showBubbleSize val="0"/>
        </c:dLbls>
        <c:gapWidth val="219"/>
        <c:overlap val="-27"/>
        <c:axId val="-937984672"/>
        <c:axId val="-937978688"/>
      </c:barChart>
      <c:catAx>
        <c:axId val="-93798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37978688"/>
        <c:crosses val="autoZero"/>
        <c:auto val="1"/>
        <c:lblAlgn val="ctr"/>
        <c:lblOffset val="100"/>
        <c:noMultiLvlLbl val="0"/>
      </c:catAx>
      <c:valAx>
        <c:axId val="-9379786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37984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ADM_RAST</Template>
  <TotalTime>0</TotalTime>
  <Pages>9</Pages>
  <Words>2257</Words>
  <Characters>15505</Characters>
  <Application>Microsoft Office Word</Application>
  <DocSecurity>4</DocSecurity>
  <Lines>129</Lines>
  <Paragraphs>35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2021-06-05T12:06:00Z</cp:lastPrinted>
  <dcterms:created xsi:type="dcterms:W3CDTF">2021-06-15T12:53:00Z</dcterms:created>
  <dcterms:modified xsi:type="dcterms:W3CDTF">2021-06-15T12:53:00Z</dcterms:modified>
</cp:coreProperties>
</file>