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F4B85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661F4B86" w14:textId="77777777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1" w:name="Pavadinimas"/>
      <w:r>
        <w:rPr>
          <w:rFonts w:ascii="Times New Roman" w:eastAsia="Times New Roman" w:hAnsi="Times New Roman"/>
          <w:b/>
          <w:szCs w:val="20"/>
        </w:rPr>
        <w:t>DĖL ŽEMĖS, VALSTYBINĖS ŽEMĖS NUOMOS MOKESČIO LENGVATŲ JURIDINIAMS ASMENIMS, 2021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661F4B8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661F4B88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61F4B89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661F4B8A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661F4B8B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61F4B8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 w:rsidRPr="00D36C7D">
        <w:rPr>
          <w:lang w:val="sv-SE"/>
        </w:rPr>
        <w:t> </w:t>
      </w: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661F4B8D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  <w:r w:rsidRPr="00380959">
        <w:t>Parengtas savivaldybės tarybos sprendimo projektas.</w:t>
      </w:r>
      <w:r>
        <w:t xml:space="preserve"> </w:t>
      </w:r>
    </w:p>
    <w:p w14:paraId="661F4B8E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</w:p>
    <w:p w14:paraId="661F4B8F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661F4B90" w14:textId="77777777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661F4B91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661F4B92" w14:textId="77777777" w:rsidR="007651BA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661F4B93" w14:textId="77777777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</w:t>
      </w:r>
      <w:r w:rsidR="007651BA">
        <w:rPr>
          <w:lang w:val="sv-SE"/>
        </w:rPr>
        <w:t>21</w:t>
      </w:r>
      <w:r w:rsidRPr="005B6582">
        <w:rPr>
          <w:lang w:val="sv-SE"/>
        </w:rPr>
        <w:t xml:space="preserve"> m. skyrė </w:t>
      </w:r>
      <w:r w:rsidR="00256614">
        <w:rPr>
          <w:lang w:val="sv-SE"/>
        </w:rPr>
        <w:t>198 900</w:t>
      </w:r>
      <w:r w:rsidR="005B6582" w:rsidRPr="005B6582">
        <w:rPr>
          <w:lang w:val="sv-SE"/>
        </w:rPr>
        <w:t xml:space="preserve"> </w:t>
      </w:r>
      <w:r w:rsidRPr="005B6582">
        <w:rPr>
          <w:lang w:val="sv-SE"/>
        </w:rPr>
        <w:t xml:space="preserve">Eur lėšų , o </w:t>
      </w:r>
      <w:r w:rsidR="00256614" w:rsidRPr="00256614">
        <w:rPr>
          <w:lang w:val="sv-SE"/>
        </w:rPr>
        <w:t>žemės, valstybinės žemės nuomos</w:t>
      </w:r>
      <w:r w:rsidR="00534C7F" w:rsidRPr="00256614">
        <w:t xml:space="preserve"> </w:t>
      </w:r>
      <w:r w:rsidRPr="00256614">
        <w:rPr>
          <w:lang w:val="sv-SE"/>
        </w:rPr>
        <w:t>mokesči</w:t>
      </w:r>
      <w:r w:rsidR="005B6582" w:rsidRPr="00256614">
        <w:rPr>
          <w:lang w:val="sv-SE"/>
        </w:rPr>
        <w:t>ų</w:t>
      </w:r>
      <w:r w:rsidRPr="00256614">
        <w:rPr>
          <w:lang w:val="sv-SE"/>
        </w:rPr>
        <w:t xml:space="preserve"> lengvatų dydžio suma sudaro </w:t>
      </w:r>
      <w:r w:rsidR="00256614">
        <w:rPr>
          <w:lang w:val="sv-SE"/>
        </w:rPr>
        <w:t>29 614,72</w:t>
      </w:r>
      <w:r w:rsidRPr="005B6582">
        <w:rPr>
          <w:lang w:val="sv-SE"/>
        </w:rPr>
        <w:t xml:space="preserve"> Eur. </w:t>
      </w:r>
      <w:r w:rsidR="00CA4D67" w:rsidRPr="00D36C7D">
        <w:rPr>
          <w:lang w:val="sv-SE"/>
        </w:rPr>
        <w:t>Panevėžio miesto savivaldybės tarybos 20</w:t>
      </w:r>
      <w:r w:rsidR="007651BA">
        <w:rPr>
          <w:lang w:val="sv-SE"/>
        </w:rPr>
        <w:t>21</w:t>
      </w:r>
      <w:r w:rsidR="00CA4D67" w:rsidRPr="00D36C7D">
        <w:rPr>
          <w:lang w:val="sv-SE"/>
        </w:rPr>
        <w:t xml:space="preserve"> m. </w:t>
      </w:r>
      <w:r w:rsidR="007651BA">
        <w:rPr>
          <w:lang w:val="sv-SE"/>
        </w:rPr>
        <w:t>liepos</w:t>
      </w:r>
      <w:r w:rsidR="00CA4D67" w:rsidRPr="00D36C7D">
        <w:rPr>
          <w:lang w:val="sv-SE"/>
        </w:rPr>
        <w:t xml:space="preserve"> </w:t>
      </w:r>
      <w:r w:rsidR="007651BA">
        <w:rPr>
          <w:lang w:val="sv-SE"/>
        </w:rPr>
        <w:t>1</w:t>
      </w:r>
      <w:r w:rsidR="00CA4D67" w:rsidRPr="00D36C7D">
        <w:rPr>
          <w:lang w:val="sv-SE"/>
        </w:rPr>
        <w:t xml:space="preserve"> d. sprendim</w:t>
      </w:r>
      <w:r w:rsidR="00B92927">
        <w:rPr>
          <w:lang w:val="sv-SE"/>
        </w:rPr>
        <w:t>u</w:t>
      </w:r>
      <w:r w:rsidR="00CA4D67" w:rsidRPr="00D36C7D">
        <w:rPr>
          <w:lang w:val="sv-SE"/>
        </w:rPr>
        <w:t xml:space="preserve"> Nr. 1-</w:t>
      </w:r>
      <w:r w:rsidR="007651BA">
        <w:rPr>
          <w:lang w:val="sv-SE"/>
        </w:rPr>
        <w:t>208</w:t>
      </w:r>
      <w:r w:rsidR="00CA4D67"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 w:rsidR="00CA4D67">
        <w:rPr>
          <w:lang w:val="sv-SE"/>
        </w:rPr>
        <w:t>statyta, kad bendras mokesčių lengvatų dydis negali viršyti</w:t>
      </w:r>
      <w:r w:rsidRPr="008251C5">
        <w:rPr>
          <w:lang w:val="sv-SE"/>
        </w:rPr>
        <w:t xml:space="preserve"> </w:t>
      </w:r>
      <w:r w:rsidR="00CA4D67"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661F4B94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661F4B95" w14:textId="77777777" w:rsidR="00B52DED" w:rsidRDefault="00B52DED" w:rsidP="007651BA">
      <w:pPr>
        <w:pStyle w:val="Standard"/>
        <w:spacing w:line="276" w:lineRule="auto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661F4B96" w14:textId="77777777" w:rsidR="00B52DED" w:rsidRDefault="00B52DED" w:rsidP="007651BA">
      <w:pPr>
        <w:pStyle w:val="Standard"/>
        <w:spacing w:line="276" w:lineRule="auto"/>
        <w:ind w:firstLine="426"/>
        <w:jc w:val="both"/>
      </w:pPr>
      <w:r>
        <w:t xml:space="preserve">        Neigiamų pasekmių nenumatoma.</w:t>
      </w:r>
    </w:p>
    <w:p w14:paraId="661F4B97" w14:textId="77777777" w:rsidR="007651BA" w:rsidRDefault="007651BA" w:rsidP="007651BA">
      <w:pPr>
        <w:pStyle w:val="Standard"/>
        <w:spacing w:line="276" w:lineRule="auto"/>
        <w:ind w:firstLine="426"/>
        <w:jc w:val="both"/>
      </w:pPr>
    </w:p>
    <w:p w14:paraId="661F4B98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661F4B99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661F4B9A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661F4B9B" w14:textId="77777777" w:rsidR="00B52DED" w:rsidRPr="008251C5" w:rsidRDefault="00B52DED" w:rsidP="005B6582">
      <w:pPr>
        <w:pStyle w:val="TableContents"/>
        <w:jc w:val="both"/>
      </w:pPr>
    </w:p>
    <w:p w14:paraId="661F4B9C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661F4B9D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181FC7"/>
    <w:rsid w:val="001B2767"/>
    <w:rsid w:val="001C71C0"/>
    <w:rsid w:val="00242067"/>
    <w:rsid w:val="00256614"/>
    <w:rsid w:val="002E08CD"/>
    <w:rsid w:val="00300074"/>
    <w:rsid w:val="0036574E"/>
    <w:rsid w:val="003F559D"/>
    <w:rsid w:val="00454745"/>
    <w:rsid w:val="004E6B70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7651BA"/>
    <w:rsid w:val="007C3759"/>
    <w:rsid w:val="007D499E"/>
    <w:rsid w:val="007F22F1"/>
    <w:rsid w:val="008251C5"/>
    <w:rsid w:val="009F5861"/>
    <w:rsid w:val="00A04705"/>
    <w:rsid w:val="00A148E2"/>
    <w:rsid w:val="00B452EC"/>
    <w:rsid w:val="00B52DED"/>
    <w:rsid w:val="00B92927"/>
    <w:rsid w:val="00C10D25"/>
    <w:rsid w:val="00C2463F"/>
    <w:rsid w:val="00CA4D67"/>
    <w:rsid w:val="00CD2E9A"/>
    <w:rsid w:val="00CD3272"/>
    <w:rsid w:val="00D44C46"/>
    <w:rsid w:val="00E10BAB"/>
    <w:rsid w:val="00E32FD9"/>
    <w:rsid w:val="00E63D3E"/>
    <w:rsid w:val="00ED74F7"/>
    <w:rsid w:val="00F42552"/>
    <w:rsid w:val="00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4B85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1575</Words>
  <Characters>899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Daiva Breivienė</cp:lastModifiedBy>
  <cp:revision>2</cp:revision>
  <cp:lastPrinted>2021-11-08T09:15:00Z</cp:lastPrinted>
  <dcterms:created xsi:type="dcterms:W3CDTF">2021-11-09T14:52:00Z</dcterms:created>
  <dcterms:modified xsi:type="dcterms:W3CDTF">2021-11-09T14:52:00Z</dcterms:modified>
</cp:coreProperties>
</file>