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731FB" w14:textId="65D25C66" w:rsidR="002E6383" w:rsidRDefault="00F950D4" w:rsidP="00F00CF8">
      <w:pPr>
        <w:pStyle w:val="Sraopastraipa"/>
        <w:jc w:val="right"/>
        <w:rPr>
          <w:rFonts w:eastAsia="Calibri"/>
        </w:rPr>
      </w:pPr>
      <w:r>
        <w:rPr>
          <w:b/>
          <w:bCs/>
          <w:caps/>
        </w:rPr>
        <w:t xml:space="preserve"> </w:t>
      </w:r>
      <w:r w:rsidR="00F33B7A">
        <w:rPr>
          <w:rFonts w:eastAsia="Calibri"/>
        </w:rPr>
        <w:t xml:space="preserve">PRIEDAS NR. </w:t>
      </w:r>
      <w:r w:rsidR="002276DF">
        <w:rPr>
          <w:rFonts w:eastAsia="Calibri"/>
        </w:rPr>
        <w:t>1</w:t>
      </w:r>
    </w:p>
    <w:p w14:paraId="7FEC05E1" w14:textId="4BA062FE" w:rsidR="0046625C" w:rsidRDefault="00F33B7A" w:rsidP="00F33B7A">
      <w:pPr>
        <w:jc w:val="center"/>
        <w:rPr>
          <w:b/>
          <w:bCs/>
        </w:rPr>
      </w:pPr>
      <w:r w:rsidRPr="002E6383">
        <w:rPr>
          <w:b/>
          <w:bCs/>
        </w:rPr>
        <w:t xml:space="preserve">Panevėžio miesto savivaldybės kontroliuojamų įmonių ir </w:t>
      </w:r>
      <w:r w:rsidR="00F00CF8">
        <w:rPr>
          <w:b/>
          <w:bCs/>
        </w:rPr>
        <w:t>A</w:t>
      </w:r>
      <w:r w:rsidRPr="002E6383">
        <w:rPr>
          <w:b/>
          <w:bCs/>
        </w:rPr>
        <w:t xml:space="preserve">udito ir kontrolės tarnybos korupcijos pasireiškimo tikimybės nustatymo išvadų </w:t>
      </w:r>
    </w:p>
    <w:p w14:paraId="0ADAC2CF" w14:textId="52B1BA56" w:rsidR="00F33B7A" w:rsidRDefault="0046625C" w:rsidP="00F33B7A">
      <w:pPr>
        <w:jc w:val="center"/>
        <w:rPr>
          <w:b/>
          <w:bCs/>
        </w:rPr>
      </w:pPr>
      <w:r>
        <w:rPr>
          <w:b/>
          <w:bCs/>
        </w:rPr>
        <w:t>s</w:t>
      </w:r>
      <w:r w:rsidR="00F33B7A" w:rsidRPr="002E6383">
        <w:rPr>
          <w:b/>
          <w:bCs/>
        </w:rPr>
        <w:t>uvestinė</w:t>
      </w:r>
    </w:p>
    <w:tbl>
      <w:tblPr>
        <w:tblStyle w:val="Lentelstinklelis"/>
        <w:tblW w:w="0" w:type="auto"/>
        <w:tblLook w:val="04A0" w:firstRow="1" w:lastRow="0" w:firstColumn="1" w:lastColumn="0" w:noHBand="0" w:noVBand="1"/>
      </w:tblPr>
      <w:tblGrid>
        <w:gridCol w:w="570"/>
        <w:gridCol w:w="2119"/>
        <w:gridCol w:w="1984"/>
        <w:gridCol w:w="5812"/>
        <w:gridCol w:w="4075"/>
      </w:tblGrid>
      <w:tr w:rsidR="00850273" w14:paraId="7F6377B2" w14:textId="77777777" w:rsidTr="00850273">
        <w:tc>
          <w:tcPr>
            <w:tcW w:w="570" w:type="dxa"/>
          </w:tcPr>
          <w:p w14:paraId="1B326668" w14:textId="002F6EDC" w:rsidR="00850273" w:rsidRDefault="00850273" w:rsidP="00850273">
            <w:pPr>
              <w:jc w:val="center"/>
              <w:rPr>
                <w:b/>
                <w:bCs/>
              </w:rPr>
            </w:pPr>
            <w:r w:rsidRPr="00C42CFD">
              <w:rPr>
                <w:b/>
                <w:bCs/>
              </w:rPr>
              <w:t>Eil. Nr.</w:t>
            </w:r>
          </w:p>
        </w:tc>
        <w:tc>
          <w:tcPr>
            <w:tcW w:w="2119" w:type="dxa"/>
            <w:vAlign w:val="center"/>
          </w:tcPr>
          <w:p w14:paraId="778F60FF" w14:textId="36BCA0F3" w:rsidR="00850273" w:rsidRDefault="00850273" w:rsidP="00850273">
            <w:pPr>
              <w:jc w:val="center"/>
              <w:rPr>
                <w:b/>
                <w:bCs/>
              </w:rPr>
            </w:pPr>
            <w:r w:rsidRPr="00C42CFD">
              <w:rPr>
                <w:b/>
                <w:bCs/>
              </w:rPr>
              <w:t>Įmonės/ Įstaigos pavadinimas</w:t>
            </w:r>
          </w:p>
        </w:tc>
        <w:tc>
          <w:tcPr>
            <w:tcW w:w="1984" w:type="dxa"/>
            <w:vAlign w:val="center"/>
          </w:tcPr>
          <w:p w14:paraId="5288FFD6" w14:textId="7D775880" w:rsidR="00850273" w:rsidRDefault="00850273" w:rsidP="00850273">
            <w:pPr>
              <w:jc w:val="center"/>
              <w:rPr>
                <w:b/>
                <w:bCs/>
              </w:rPr>
            </w:pPr>
            <w:r w:rsidRPr="00C42CFD">
              <w:rPr>
                <w:b/>
                <w:bCs/>
              </w:rPr>
              <w:t>Vertinama sritis</w:t>
            </w:r>
          </w:p>
        </w:tc>
        <w:tc>
          <w:tcPr>
            <w:tcW w:w="5812" w:type="dxa"/>
            <w:vAlign w:val="center"/>
          </w:tcPr>
          <w:p w14:paraId="6CCB8F7A" w14:textId="668B2700" w:rsidR="00850273" w:rsidRDefault="00850273" w:rsidP="00850273">
            <w:pPr>
              <w:jc w:val="center"/>
              <w:rPr>
                <w:b/>
                <w:bCs/>
              </w:rPr>
            </w:pPr>
            <w:r w:rsidRPr="00C42CFD">
              <w:rPr>
                <w:b/>
                <w:bCs/>
              </w:rPr>
              <w:t>Nustatyti korupcijos rizikos veiksniai</w:t>
            </w:r>
          </w:p>
        </w:tc>
        <w:tc>
          <w:tcPr>
            <w:tcW w:w="4075" w:type="dxa"/>
            <w:vAlign w:val="center"/>
          </w:tcPr>
          <w:p w14:paraId="584C3A3F" w14:textId="036418A0" w:rsidR="00850273" w:rsidRDefault="00850273" w:rsidP="00850273">
            <w:pPr>
              <w:jc w:val="center"/>
              <w:rPr>
                <w:b/>
                <w:bCs/>
              </w:rPr>
            </w:pPr>
            <w:r w:rsidRPr="00C42CFD">
              <w:rPr>
                <w:b/>
                <w:bCs/>
              </w:rPr>
              <w:t>Korupcijos rizikos mažinimo priemonės</w:t>
            </w:r>
          </w:p>
        </w:tc>
      </w:tr>
      <w:tr w:rsidR="00850273" w14:paraId="5EF01CC0" w14:textId="77777777" w:rsidTr="002E241F">
        <w:tc>
          <w:tcPr>
            <w:tcW w:w="570" w:type="dxa"/>
            <w:vAlign w:val="center"/>
          </w:tcPr>
          <w:p w14:paraId="25F3EEB0" w14:textId="4E608EA4" w:rsidR="00850273" w:rsidRPr="002E241F" w:rsidRDefault="002E241F" w:rsidP="00850273">
            <w:pPr>
              <w:jc w:val="center"/>
            </w:pPr>
            <w:r w:rsidRPr="002E241F">
              <w:t>1.</w:t>
            </w:r>
          </w:p>
        </w:tc>
        <w:tc>
          <w:tcPr>
            <w:tcW w:w="2119" w:type="dxa"/>
            <w:vAlign w:val="center"/>
          </w:tcPr>
          <w:p w14:paraId="1A1895B4" w14:textId="6D0E03B3" w:rsidR="00850273" w:rsidRDefault="00850273" w:rsidP="00850273">
            <w:pPr>
              <w:jc w:val="center"/>
              <w:rPr>
                <w:b/>
                <w:bCs/>
              </w:rPr>
            </w:pPr>
            <w:r w:rsidRPr="00C42CFD">
              <w:t>UAB „Panevėžio gatvės“</w:t>
            </w:r>
          </w:p>
        </w:tc>
        <w:tc>
          <w:tcPr>
            <w:tcW w:w="1984" w:type="dxa"/>
            <w:vAlign w:val="center"/>
          </w:tcPr>
          <w:p w14:paraId="3C33E3F9" w14:textId="4DB0E343" w:rsidR="00850273" w:rsidRDefault="00850273" w:rsidP="00850273">
            <w:pPr>
              <w:jc w:val="center"/>
              <w:rPr>
                <w:b/>
                <w:bCs/>
              </w:rPr>
            </w:pPr>
            <w:r w:rsidRPr="00C42CFD">
              <w:t>Įmonės administracijos darbuotojų tolerancija korupcijai</w:t>
            </w:r>
          </w:p>
        </w:tc>
        <w:tc>
          <w:tcPr>
            <w:tcW w:w="5812" w:type="dxa"/>
          </w:tcPr>
          <w:p w14:paraId="2DBD892C" w14:textId="160B5749" w:rsidR="00850273" w:rsidRDefault="00850273" w:rsidP="00850273">
            <w:pPr>
              <w:jc w:val="both"/>
              <w:rPr>
                <w:b/>
                <w:bCs/>
              </w:rPr>
            </w:pPr>
            <w:r w:rsidRPr="00C42CFD">
              <w:t xml:space="preserve">Išnagrinėjus gautus rezultatus galima daryti prielaidą, kad dauguma įstaigos administracijos darbuotojų supranta ir yra informuoti apie korupcijos neigiamą poveikį visuomenei ir šalies ekonomikai, remiantis tyrimo rezultatais įstaigos korupcijos pasireiškimo tikimybės lygis yra žemas. UAB „Panevėžio gatvės“ nėra paveikta korupcijos, darbuotojai yra infomuoti, bet nepakankamai, dėl galimybių pranešti apie korupcijos atvejį, įstaigoje yra vykdomos korupcijos prevencijos priemonės, tačiau dalis darbuotojų manančių jog nepakankamai, todėl galima prieiti išvados, jog įstaigoje galima teikti daugiau informacijos apie korupcijos prevenciją. Apklausos dalyviai supranta visų 5 teiginių svarbą nustatant efektyviausią kovos su korupcijos prevencija priemonę, darbuotojai jaučiasi skatinami pranešti apie galimas korupcijos apraiškas įstaigoje. Taip pat didelis procentas darbuotojų linkę pranešti apie galimas korupcijos apraiškas įstaigoje, jie netoleruotų ir asmeniškai gavę korupcinio pobūdžio pasiūlymų. </w:t>
            </w:r>
          </w:p>
        </w:tc>
        <w:tc>
          <w:tcPr>
            <w:tcW w:w="4075" w:type="dxa"/>
          </w:tcPr>
          <w:p w14:paraId="4C204C1B" w14:textId="77777777" w:rsidR="00850273" w:rsidRPr="00C42CFD" w:rsidRDefault="00850273" w:rsidP="00850273">
            <w:pPr>
              <w:pStyle w:val="Sraopastraipa"/>
              <w:numPr>
                <w:ilvl w:val="0"/>
                <w:numId w:val="28"/>
              </w:numPr>
              <w:ind w:left="29" w:firstLine="0"/>
              <w:jc w:val="both"/>
            </w:pPr>
            <w:r w:rsidRPr="00C42CFD">
              <w:t>Rengti prevencinius renginius susijusiomis su korupcijos prevencija temomis.</w:t>
            </w:r>
          </w:p>
          <w:p w14:paraId="180840D0" w14:textId="77777777" w:rsidR="00850273" w:rsidRDefault="00850273" w:rsidP="00850273">
            <w:pPr>
              <w:pStyle w:val="Sraopastraipa"/>
              <w:numPr>
                <w:ilvl w:val="0"/>
                <w:numId w:val="28"/>
              </w:numPr>
              <w:ind w:left="29" w:firstLine="0"/>
              <w:jc w:val="both"/>
            </w:pPr>
            <w:r w:rsidRPr="00C42CFD">
              <w:t>Informacijos viešinimui naudoti žodines informavimo priemones.</w:t>
            </w:r>
          </w:p>
          <w:p w14:paraId="5B441BEC" w14:textId="0FAB2E54" w:rsidR="00850273" w:rsidRPr="00850273" w:rsidRDefault="00850273" w:rsidP="00850273">
            <w:pPr>
              <w:pStyle w:val="Sraopastraipa"/>
              <w:numPr>
                <w:ilvl w:val="0"/>
                <w:numId w:val="28"/>
              </w:numPr>
              <w:ind w:left="29" w:firstLine="0"/>
              <w:jc w:val="both"/>
            </w:pPr>
            <w:r>
              <w:t xml:space="preserve"> </w:t>
            </w:r>
            <w:r w:rsidRPr="00C42CFD">
              <w:t xml:space="preserve">Stebėti ir naujinti turimos informacijos apie korupcijos prevenciją turinį. </w:t>
            </w:r>
          </w:p>
        </w:tc>
      </w:tr>
      <w:tr w:rsidR="00850273" w14:paraId="54F84A52" w14:textId="77777777" w:rsidTr="002E241F">
        <w:tc>
          <w:tcPr>
            <w:tcW w:w="570" w:type="dxa"/>
            <w:vAlign w:val="center"/>
          </w:tcPr>
          <w:p w14:paraId="3C8BE0CB" w14:textId="4BF04160" w:rsidR="00850273" w:rsidRPr="002E241F" w:rsidRDefault="002E241F" w:rsidP="00850273">
            <w:pPr>
              <w:jc w:val="center"/>
            </w:pPr>
            <w:r w:rsidRPr="002E241F">
              <w:t>2.</w:t>
            </w:r>
          </w:p>
        </w:tc>
        <w:tc>
          <w:tcPr>
            <w:tcW w:w="2119" w:type="dxa"/>
            <w:vAlign w:val="center"/>
          </w:tcPr>
          <w:p w14:paraId="5D3BACED" w14:textId="5A5E4EEA" w:rsidR="00850273" w:rsidRDefault="00850273" w:rsidP="00850273">
            <w:pPr>
              <w:jc w:val="center"/>
              <w:rPr>
                <w:b/>
                <w:bCs/>
              </w:rPr>
            </w:pPr>
            <w:r w:rsidRPr="00C42CFD">
              <w:t>AB „Panevėžio energija“</w:t>
            </w:r>
          </w:p>
        </w:tc>
        <w:tc>
          <w:tcPr>
            <w:tcW w:w="1984" w:type="dxa"/>
            <w:vAlign w:val="center"/>
          </w:tcPr>
          <w:p w14:paraId="5565F07D" w14:textId="6F06579F" w:rsidR="00850273" w:rsidRDefault="00850273" w:rsidP="00850273">
            <w:pPr>
              <w:jc w:val="center"/>
              <w:rPr>
                <w:b/>
                <w:bCs/>
              </w:rPr>
            </w:pPr>
            <w:r w:rsidRPr="00C42CFD">
              <w:t>Viešieji pirkimai mažos vertės pirkimų srityje.</w:t>
            </w:r>
          </w:p>
        </w:tc>
        <w:tc>
          <w:tcPr>
            <w:tcW w:w="5812" w:type="dxa"/>
          </w:tcPr>
          <w:p w14:paraId="42C7D6EF" w14:textId="615C6F30" w:rsidR="00850273" w:rsidRDefault="00850273" w:rsidP="00816468">
            <w:pPr>
              <w:jc w:val="both"/>
              <w:rPr>
                <w:b/>
                <w:bCs/>
              </w:rPr>
            </w:pPr>
            <w:r w:rsidRPr="00C42CFD">
              <w:t>Atlikus Bendrovėje rengiamų pirkimo dokumentų atitikties vidaus ir nacionalinės teisės aktams analizę bei išanalizavus mažos vertės pirkimų procedūrą etapais, korupcijos pasireiškimo Bendrovėje nenustatyta.</w:t>
            </w:r>
          </w:p>
        </w:tc>
        <w:tc>
          <w:tcPr>
            <w:tcW w:w="4075" w:type="dxa"/>
          </w:tcPr>
          <w:p w14:paraId="078D5B68" w14:textId="32226B2A" w:rsidR="00850273" w:rsidRDefault="00850273" w:rsidP="00850273">
            <w:pPr>
              <w:jc w:val="center"/>
              <w:rPr>
                <w:b/>
                <w:bCs/>
              </w:rPr>
            </w:pPr>
            <w:r w:rsidRPr="00C42CFD">
              <w:t xml:space="preserve"> Pasirinktinai patikrinti pirkimo sutarčių vykdymą, nustatant vykdymo pažeidimus. </w:t>
            </w:r>
          </w:p>
        </w:tc>
      </w:tr>
    </w:tbl>
    <w:p w14:paraId="07465E72" w14:textId="77777777" w:rsidR="00850273" w:rsidRDefault="00850273" w:rsidP="00F33B7A">
      <w:pPr>
        <w:jc w:val="center"/>
        <w:rPr>
          <w:b/>
          <w:bCs/>
        </w:rPr>
      </w:pPr>
    </w:p>
    <w:p w14:paraId="416EB3CB" w14:textId="77777777" w:rsidR="00F33B7A" w:rsidRDefault="00F33B7A" w:rsidP="00F33B7A">
      <w:pPr>
        <w:spacing w:line="360" w:lineRule="auto"/>
        <w:jc w:val="right"/>
        <w:rPr>
          <w:rFonts w:eastAsia="Calibri"/>
        </w:rPr>
      </w:pPr>
    </w:p>
    <w:p w14:paraId="4EC9F68E" w14:textId="77777777" w:rsidR="00850273" w:rsidRDefault="002E6383">
      <w:pPr>
        <w:rPr>
          <w:rFonts w:eastAsia="Calibri"/>
        </w:rPr>
      </w:pPr>
      <w:r>
        <w:rPr>
          <w:rFonts w:eastAsia="Calibri"/>
        </w:rPr>
        <w:br w:type="page"/>
      </w:r>
    </w:p>
    <w:tbl>
      <w:tblPr>
        <w:tblStyle w:val="Lentelstinklelis"/>
        <w:tblW w:w="0" w:type="auto"/>
        <w:tblLook w:val="04A0" w:firstRow="1" w:lastRow="0" w:firstColumn="1" w:lastColumn="0" w:noHBand="0" w:noVBand="1"/>
      </w:tblPr>
      <w:tblGrid>
        <w:gridCol w:w="846"/>
        <w:gridCol w:w="2126"/>
        <w:gridCol w:w="1701"/>
        <w:gridCol w:w="5812"/>
        <w:gridCol w:w="4075"/>
      </w:tblGrid>
      <w:tr w:rsidR="00850273" w14:paraId="40FE45F0" w14:textId="77777777" w:rsidTr="00850273">
        <w:tc>
          <w:tcPr>
            <w:tcW w:w="846" w:type="dxa"/>
          </w:tcPr>
          <w:p w14:paraId="22C0B2EE" w14:textId="03C331BE" w:rsidR="00850273" w:rsidRDefault="00850273" w:rsidP="002E241F">
            <w:pPr>
              <w:jc w:val="center"/>
              <w:rPr>
                <w:rFonts w:eastAsia="Calibri"/>
              </w:rPr>
            </w:pPr>
            <w:r w:rsidRPr="00C42CFD">
              <w:rPr>
                <w:b/>
                <w:bCs/>
              </w:rPr>
              <w:lastRenderedPageBreak/>
              <w:t>Eil. Nr.</w:t>
            </w:r>
          </w:p>
        </w:tc>
        <w:tc>
          <w:tcPr>
            <w:tcW w:w="2126" w:type="dxa"/>
            <w:vAlign w:val="center"/>
          </w:tcPr>
          <w:p w14:paraId="559D13C6" w14:textId="72580556" w:rsidR="00850273" w:rsidRDefault="00850273" w:rsidP="00850273">
            <w:pPr>
              <w:jc w:val="center"/>
              <w:rPr>
                <w:rFonts w:eastAsia="Calibri"/>
              </w:rPr>
            </w:pPr>
            <w:r w:rsidRPr="00C42CFD">
              <w:rPr>
                <w:b/>
                <w:bCs/>
              </w:rPr>
              <w:t>Įmonės/ Įstaigos pavadinimas</w:t>
            </w:r>
          </w:p>
        </w:tc>
        <w:tc>
          <w:tcPr>
            <w:tcW w:w="1701" w:type="dxa"/>
            <w:vAlign w:val="center"/>
          </w:tcPr>
          <w:p w14:paraId="060C7F6E" w14:textId="35D1A0BD" w:rsidR="00850273" w:rsidRDefault="00850273" w:rsidP="00850273">
            <w:pPr>
              <w:jc w:val="center"/>
              <w:rPr>
                <w:rFonts w:eastAsia="Calibri"/>
              </w:rPr>
            </w:pPr>
            <w:r w:rsidRPr="00C42CFD">
              <w:rPr>
                <w:b/>
                <w:bCs/>
              </w:rPr>
              <w:t>Vertinama sritis</w:t>
            </w:r>
          </w:p>
        </w:tc>
        <w:tc>
          <w:tcPr>
            <w:tcW w:w="5812" w:type="dxa"/>
            <w:vAlign w:val="center"/>
          </w:tcPr>
          <w:p w14:paraId="2881530A" w14:textId="46104D19" w:rsidR="00850273" w:rsidRDefault="00850273" w:rsidP="00850273">
            <w:pPr>
              <w:jc w:val="center"/>
              <w:rPr>
                <w:rFonts w:eastAsia="Calibri"/>
              </w:rPr>
            </w:pPr>
            <w:r w:rsidRPr="00C42CFD">
              <w:rPr>
                <w:b/>
                <w:bCs/>
              </w:rPr>
              <w:t>Nustatyti korupcijos rizikos veiksniai</w:t>
            </w:r>
          </w:p>
        </w:tc>
        <w:tc>
          <w:tcPr>
            <w:tcW w:w="4075" w:type="dxa"/>
            <w:vAlign w:val="center"/>
          </w:tcPr>
          <w:p w14:paraId="045B6354" w14:textId="7A6A9B22" w:rsidR="00850273" w:rsidRDefault="00850273" w:rsidP="00850273">
            <w:pPr>
              <w:jc w:val="center"/>
              <w:rPr>
                <w:rFonts w:eastAsia="Calibri"/>
              </w:rPr>
            </w:pPr>
            <w:r w:rsidRPr="00C42CFD">
              <w:rPr>
                <w:b/>
                <w:bCs/>
              </w:rPr>
              <w:t>Korupcijos rizikos mažinimo priemonės</w:t>
            </w:r>
          </w:p>
        </w:tc>
      </w:tr>
      <w:tr w:rsidR="00850273" w14:paraId="224AA08E" w14:textId="77777777" w:rsidTr="002E241F">
        <w:tc>
          <w:tcPr>
            <w:tcW w:w="846" w:type="dxa"/>
            <w:vAlign w:val="center"/>
          </w:tcPr>
          <w:p w14:paraId="7EFE0655" w14:textId="00CE0E0A" w:rsidR="00850273" w:rsidRPr="002E241F" w:rsidRDefault="002E241F" w:rsidP="002E241F">
            <w:pPr>
              <w:jc w:val="center"/>
            </w:pPr>
            <w:r w:rsidRPr="002E241F">
              <w:t>3.</w:t>
            </w:r>
          </w:p>
        </w:tc>
        <w:tc>
          <w:tcPr>
            <w:tcW w:w="2126" w:type="dxa"/>
            <w:vAlign w:val="center"/>
          </w:tcPr>
          <w:p w14:paraId="7245F305" w14:textId="6EECA498" w:rsidR="00850273" w:rsidRPr="00C42CFD" w:rsidRDefault="00850273" w:rsidP="00850273">
            <w:pPr>
              <w:jc w:val="center"/>
              <w:rPr>
                <w:b/>
                <w:bCs/>
              </w:rPr>
            </w:pPr>
            <w:r w:rsidRPr="00C42CFD">
              <w:t>AB „Panevėžio specialus autotransportas“</w:t>
            </w:r>
          </w:p>
        </w:tc>
        <w:tc>
          <w:tcPr>
            <w:tcW w:w="1701" w:type="dxa"/>
            <w:vAlign w:val="center"/>
          </w:tcPr>
          <w:p w14:paraId="008908AC" w14:textId="07733BCE" w:rsidR="00850273" w:rsidRPr="00C42CFD" w:rsidRDefault="00850273" w:rsidP="00850273">
            <w:pPr>
              <w:jc w:val="center"/>
              <w:rPr>
                <w:b/>
                <w:bCs/>
              </w:rPr>
            </w:pPr>
            <w:r w:rsidRPr="00C42CFD">
              <w:t>Paslaugų teikimo juridiniams asmenims veiklos sritis.</w:t>
            </w:r>
          </w:p>
        </w:tc>
        <w:tc>
          <w:tcPr>
            <w:tcW w:w="5812" w:type="dxa"/>
          </w:tcPr>
          <w:p w14:paraId="241E59B8" w14:textId="6ACA068E" w:rsidR="00850273" w:rsidRPr="00C42CFD" w:rsidRDefault="00850273" w:rsidP="00850273">
            <w:pPr>
              <w:jc w:val="both"/>
              <w:rPr>
                <w:b/>
                <w:bCs/>
              </w:rPr>
            </w:pPr>
            <w:r w:rsidRPr="00C42CFD">
              <w:rPr>
                <w:rFonts w:eastAsia="Calibri"/>
              </w:rPr>
              <w:t xml:space="preserve">Korupcijos pasireiškimo tikimybę </w:t>
            </w:r>
            <w:r w:rsidRPr="00C42CFD">
              <w:t xml:space="preserve">AB „Panevėžio specialus autotransportas“  </w:t>
            </w:r>
            <w:r w:rsidRPr="00C42CFD">
              <w:rPr>
                <w:rFonts w:eastAsia="Calibri"/>
              </w:rPr>
              <w:t xml:space="preserve">labiausiai gali sąlygoti žmogiškasis faktorius (piktnaudžiavimo galimybė). Įvertinus analizuojamos srities </w:t>
            </w:r>
            <w:r w:rsidRPr="00C42CFD">
              <w:t>AB „Panevėžio specialus autotransportas“ paslaugų teikimą juridiniams asmenims</w:t>
            </w:r>
            <w:r w:rsidRPr="00C42CFD">
              <w:rPr>
                <w:rFonts w:eastAsia="Calibri"/>
              </w:rPr>
              <w:t xml:space="preserve">, tvarkas bei teisės aktus, kuriais vadovaujamasi teikiant paslaugas juridiniams asmenims, daroma išvada, kad </w:t>
            </w:r>
            <w:r w:rsidRPr="00C42CFD">
              <w:t xml:space="preserve">AB „Panevėžio specialus autotransportas“ paslaugų teikimas juridiniams asmenims </w:t>
            </w:r>
            <w:r w:rsidRPr="00C42CFD">
              <w:rPr>
                <w:rFonts w:eastAsia="Calibri"/>
              </w:rPr>
              <w:t xml:space="preserve">yra vykdomas laikantis įstatymų, kitų teisės aktų, todėl korupcijos pasireiškimo tikimybė yra minimali. </w:t>
            </w:r>
          </w:p>
        </w:tc>
        <w:tc>
          <w:tcPr>
            <w:tcW w:w="4075" w:type="dxa"/>
          </w:tcPr>
          <w:p w14:paraId="32452297" w14:textId="77777777" w:rsidR="00850273" w:rsidRDefault="00850273" w:rsidP="00850273">
            <w:pPr>
              <w:pStyle w:val="Sraopastraipa"/>
              <w:numPr>
                <w:ilvl w:val="0"/>
                <w:numId w:val="20"/>
              </w:numPr>
              <w:ind w:left="0" w:firstLine="0"/>
              <w:jc w:val="both"/>
            </w:pPr>
            <w:r w:rsidRPr="00C42CFD">
              <w:t xml:space="preserve"> Siūlome periodiškai peržiūrėti AB „Panevėžio specialus autotransportas“ direktoriaus įsakymų patvirtintą užsakymų priėmimo, vykdymo ir kontrolės užtikrinimo tvarką.</w:t>
            </w:r>
          </w:p>
          <w:p w14:paraId="3B64BA44" w14:textId="214CC09E" w:rsidR="00850273" w:rsidRPr="00850273" w:rsidRDefault="00850273" w:rsidP="00850273">
            <w:pPr>
              <w:pStyle w:val="Sraopastraipa"/>
              <w:numPr>
                <w:ilvl w:val="0"/>
                <w:numId w:val="20"/>
              </w:numPr>
              <w:ind w:left="0" w:firstLine="0"/>
              <w:jc w:val="both"/>
            </w:pPr>
            <w:r>
              <w:t xml:space="preserve"> </w:t>
            </w:r>
            <w:r w:rsidRPr="00C42CFD">
              <w:t>Siekiant stiprinti atsparumą korupcijai ir tobulinti gebėjimus korupcijos pasireiškimo atpažinimo ir jos gerosios praktikos taikymo srityse, siūlytume AB „Panevėžio specialus autotransportas“ darbuotojams, esant galimybei, dalyvauti antikorupcinių mokymų programose ir nuolat tobulinti savo žinias antikorupcijos srityje.</w:t>
            </w:r>
          </w:p>
        </w:tc>
      </w:tr>
      <w:tr w:rsidR="00655320" w14:paraId="45BB5F92" w14:textId="77777777" w:rsidTr="00BE63DD">
        <w:tc>
          <w:tcPr>
            <w:tcW w:w="846" w:type="dxa"/>
            <w:vAlign w:val="center"/>
          </w:tcPr>
          <w:p w14:paraId="19906B69" w14:textId="3FD35E5F" w:rsidR="00655320" w:rsidRPr="002E241F" w:rsidRDefault="002E241F" w:rsidP="002E241F">
            <w:pPr>
              <w:jc w:val="center"/>
            </w:pPr>
            <w:r w:rsidRPr="002E241F">
              <w:t>4.</w:t>
            </w:r>
          </w:p>
        </w:tc>
        <w:tc>
          <w:tcPr>
            <w:tcW w:w="2126" w:type="dxa"/>
            <w:vAlign w:val="center"/>
          </w:tcPr>
          <w:p w14:paraId="54755729" w14:textId="664982E8" w:rsidR="00655320" w:rsidRPr="00C42CFD" w:rsidRDefault="00655320" w:rsidP="00655320">
            <w:pPr>
              <w:jc w:val="center"/>
              <w:rPr>
                <w:b/>
                <w:bCs/>
              </w:rPr>
            </w:pPr>
            <w:r w:rsidRPr="00C42CFD">
              <w:t>UAB „Grauduva“</w:t>
            </w:r>
          </w:p>
        </w:tc>
        <w:tc>
          <w:tcPr>
            <w:tcW w:w="1701" w:type="dxa"/>
            <w:vAlign w:val="center"/>
          </w:tcPr>
          <w:p w14:paraId="349DACB1" w14:textId="2D2FF831" w:rsidR="00655320" w:rsidRPr="00C42CFD" w:rsidRDefault="00655320" w:rsidP="00655320">
            <w:pPr>
              <w:jc w:val="center"/>
              <w:rPr>
                <w:b/>
                <w:bCs/>
              </w:rPr>
            </w:pPr>
            <w:r w:rsidRPr="00C42CFD">
              <w:t>Gamybos sektoriuje</w:t>
            </w:r>
          </w:p>
        </w:tc>
        <w:tc>
          <w:tcPr>
            <w:tcW w:w="5812" w:type="dxa"/>
          </w:tcPr>
          <w:p w14:paraId="24513796" w14:textId="77777777" w:rsidR="00655320" w:rsidRPr="00C42CFD" w:rsidRDefault="00655320" w:rsidP="00655320">
            <w:pPr>
              <w:jc w:val="both"/>
            </w:pPr>
            <w:r w:rsidRPr="00C42CFD">
              <w:t>Atlikus korupcijos pasireiškimo tikimybės nustatymą gamybos sektoriuje, nustatyta, kad bendrovėje nėra didelės korupcijos pasireiškimo tikimybės gaminant gaminius, kadangi įmonės vidaus teisės aktai užtikrina gamybos organizavimą, vykdymą ir kontrolę:</w:t>
            </w:r>
          </w:p>
          <w:p w14:paraId="5ACE296B" w14:textId="77777777" w:rsidR="00655320" w:rsidRPr="00C42CFD" w:rsidRDefault="00655320" w:rsidP="00655320">
            <w:pPr>
              <w:pStyle w:val="Sraopastraipa"/>
              <w:numPr>
                <w:ilvl w:val="0"/>
                <w:numId w:val="26"/>
              </w:numPr>
              <w:ind w:left="31" w:firstLine="0"/>
              <w:jc w:val="both"/>
            </w:pPr>
            <w:r w:rsidRPr="00C42CFD">
              <w:t>Visi UAB „Grauduva“ darbuotojai yra supažindinti su pareiginiais nuostatais pasirašytinai. Tinkamai ir atsakingai vykdo savo pareigas.</w:t>
            </w:r>
          </w:p>
          <w:p w14:paraId="3217C2FE" w14:textId="77777777" w:rsidR="00655320" w:rsidRPr="00C42CFD" w:rsidRDefault="00655320" w:rsidP="00655320">
            <w:pPr>
              <w:pStyle w:val="Sraopastraipa"/>
              <w:numPr>
                <w:ilvl w:val="0"/>
                <w:numId w:val="26"/>
              </w:numPr>
              <w:ind w:left="31" w:firstLine="0"/>
              <w:jc w:val="both"/>
            </w:pPr>
            <w:r w:rsidRPr="00C42CFD">
              <w:t xml:space="preserve"> Bendrovėje yra laikomasi visų vidaus teisės aktų – Vidaus darbo tvarkos taisyklių, valdybos nutarimų, direktoriaus įsakymų, tvarkos aprašų.</w:t>
            </w:r>
          </w:p>
          <w:p w14:paraId="79E9C20D" w14:textId="77777777" w:rsidR="008F5280" w:rsidRDefault="00655320" w:rsidP="008F5280">
            <w:pPr>
              <w:pStyle w:val="Sraopastraipa"/>
              <w:numPr>
                <w:ilvl w:val="0"/>
                <w:numId w:val="26"/>
              </w:numPr>
              <w:ind w:left="31" w:firstLine="0"/>
              <w:jc w:val="both"/>
            </w:pPr>
            <w:r w:rsidRPr="00C42CFD">
              <w:t xml:space="preserve"> Visos mėnesinės ataskaitos yra priduodamos bendrovės vyr. buhalteriui, kuris kontroliuoja teisingą duomenų administravimą ir pridavimą atitinkamoms institucijoms.</w:t>
            </w:r>
          </w:p>
          <w:p w14:paraId="1FF6D240" w14:textId="17C65A7F" w:rsidR="00655320" w:rsidRPr="008F5280" w:rsidRDefault="008F5280" w:rsidP="008F5280">
            <w:pPr>
              <w:pStyle w:val="Sraopastraipa"/>
              <w:numPr>
                <w:ilvl w:val="0"/>
                <w:numId w:val="26"/>
              </w:numPr>
              <w:ind w:left="31" w:firstLine="0"/>
              <w:jc w:val="both"/>
            </w:pPr>
            <w:r>
              <w:t xml:space="preserve"> </w:t>
            </w:r>
            <w:r w:rsidR="00655320" w:rsidRPr="00C42CFD">
              <w:t xml:space="preserve">Darbuotojų darbo užmokestis didinamas, atsižvelgiant į MMA didėjimą. </w:t>
            </w:r>
          </w:p>
        </w:tc>
        <w:tc>
          <w:tcPr>
            <w:tcW w:w="4075" w:type="dxa"/>
          </w:tcPr>
          <w:p w14:paraId="5AECB3D2" w14:textId="0AA73396" w:rsidR="00655320" w:rsidRPr="00BE63DD" w:rsidRDefault="00DD554F" w:rsidP="00BE63DD">
            <w:r w:rsidRPr="00BE63DD">
              <w:t>Nenumatyta.</w:t>
            </w:r>
          </w:p>
        </w:tc>
      </w:tr>
    </w:tbl>
    <w:p w14:paraId="77C3D856" w14:textId="404E4D8A" w:rsidR="002E6383" w:rsidRDefault="002E6383">
      <w:pPr>
        <w:rPr>
          <w:rFonts w:eastAsia="Calibri"/>
        </w:rPr>
      </w:pPr>
    </w:p>
    <w:p w14:paraId="17017762" w14:textId="2E4DB2AF" w:rsidR="00850273" w:rsidRDefault="00850273">
      <w:pPr>
        <w:rPr>
          <w:rFonts w:eastAsia="Calibri"/>
        </w:rPr>
      </w:pPr>
    </w:p>
    <w:tbl>
      <w:tblPr>
        <w:tblStyle w:val="Lentelstinklelis"/>
        <w:tblW w:w="0" w:type="auto"/>
        <w:tblLook w:val="04A0" w:firstRow="1" w:lastRow="0" w:firstColumn="1" w:lastColumn="0" w:noHBand="0" w:noVBand="1"/>
      </w:tblPr>
      <w:tblGrid>
        <w:gridCol w:w="846"/>
        <w:gridCol w:w="2126"/>
        <w:gridCol w:w="1701"/>
        <w:gridCol w:w="5812"/>
        <w:gridCol w:w="4075"/>
      </w:tblGrid>
      <w:tr w:rsidR="00850273" w14:paraId="5CADC030" w14:textId="77777777" w:rsidTr="00FD400F">
        <w:tc>
          <w:tcPr>
            <w:tcW w:w="846" w:type="dxa"/>
          </w:tcPr>
          <w:p w14:paraId="0E34A654" w14:textId="77777777" w:rsidR="00850273" w:rsidRDefault="00850273" w:rsidP="002E241F">
            <w:pPr>
              <w:jc w:val="center"/>
              <w:rPr>
                <w:rFonts w:eastAsia="Calibri"/>
              </w:rPr>
            </w:pPr>
            <w:r w:rsidRPr="00C42CFD">
              <w:rPr>
                <w:b/>
                <w:bCs/>
              </w:rPr>
              <w:lastRenderedPageBreak/>
              <w:t>Eil. Nr.</w:t>
            </w:r>
          </w:p>
        </w:tc>
        <w:tc>
          <w:tcPr>
            <w:tcW w:w="2126" w:type="dxa"/>
            <w:vAlign w:val="center"/>
          </w:tcPr>
          <w:p w14:paraId="14DDA15C" w14:textId="77777777" w:rsidR="00850273" w:rsidRDefault="00850273" w:rsidP="00FD400F">
            <w:pPr>
              <w:jc w:val="center"/>
              <w:rPr>
                <w:rFonts w:eastAsia="Calibri"/>
              </w:rPr>
            </w:pPr>
            <w:r w:rsidRPr="00C42CFD">
              <w:rPr>
                <w:b/>
                <w:bCs/>
              </w:rPr>
              <w:t>Įmonės/ Įstaigos pavadinimas</w:t>
            </w:r>
          </w:p>
        </w:tc>
        <w:tc>
          <w:tcPr>
            <w:tcW w:w="1701" w:type="dxa"/>
            <w:vAlign w:val="center"/>
          </w:tcPr>
          <w:p w14:paraId="15840CC8" w14:textId="77777777" w:rsidR="00850273" w:rsidRDefault="00850273" w:rsidP="00FD400F">
            <w:pPr>
              <w:jc w:val="center"/>
              <w:rPr>
                <w:rFonts w:eastAsia="Calibri"/>
              </w:rPr>
            </w:pPr>
            <w:r w:rsidRPr="00C42CFD">
              <w:rPr>
                <w:b/>
                <w:bCs/>
              </w:rPr>
              <w:t>Vertinama sritis</w:t>
            </w:r>
          </w:p>
        </w:tc>
        <w:tc>
          <w:tcPr>
            <w:tcW w:w="5812" w:type="dxa"/>
            <w:vAlign w:val="center"/>
          </w:tcPr>
          <w:p w14:paraId="05EB1DA4" w14:textId="77777777" w:rsidR="00850273" w:rsidRDefault="00850273" w:rsidP="00FD400F">
            <w:pPr>
              <w:jc w:val="center"/>
              <w:rPr>
                <w:rFonts w:eastAsia="Calibri"/>
              </w:rPr>
            </w:pPr>
            <w:r w:rsidRPr="00C42CFD">
              <w:rPr>
                <w:b/>
                <w:bCs/>
              </w:rPr>
              <w:t>Nustatyti korupcijos rizikos veiksniai</w:t>
            </w:r>
          </w:p>
        </w:tc>
        <w:tc>
          <w:tcPr>
            <w:tcW w:w="4075" w:type="dxa"/>
            <w:vAlign w:val="center"/>
          </w:tcPr>
          <w:p w14:paraId="27DCCCE9" w14:textId="77777777" w:rsidR="00850273" w:rsidRPr="00ED1936" w:rsidRDefault="00850273" w:rsidP="00FD400F">
            <w:pPr>
              <w:jc w:val="center"/>
              <w:rPr>
                <w:rFonts w:eastAsia="Calibri"/>
              </w:rPr>
            </w:pPr>
            <w:r w:rsidRPr="00ED1936">
              <w:rPr>
                <w:b/>
                <w:bCs/>
              </w:rPr>
              <w:t>Korupcijos rizikos mažinimo priemonės</w:t>
            </w:r>
          </w:p>
        </w:tc>
      </w:tr>
      <w:tr w:rsidR="006269EA" w14:paraId="3ECAE4B5" w14:textId="77777777" w:rsidTr="002E241F">
        <w:tc>
          <w:tcPr>
            <w:tcW w:w="846" w:type="dxa"/>
            <w:vAlign w:val="center"/>
          </w:tcPr>
          <w:p w14:paraId="0993C9C1" w14:textId="42347587" w:rsidR="006269EA" w:rsidRPr="002E241F" w:rsidRDefault="002E241F" w:rsidP="002E241F">
            <w:pPr>
              <w:jc w:val="center"/>
            </w:pPr>
            <w:r w:rsidRPr="002E241F">
              <w:t>5.</w:t>
            </w:r>
          </w:p>
        </w:tc>
        <w:tc>
          <w:tcPr>
            <w:tcW w:w="2126" w:type="dxa"/>
            <w:vAlign w:val="center"/>
          </w:tcPr>
          <w:p w14:paraId="05AFA112" w14:textId="19EFDDC8" w:rsidR="006269EA" w:rsidRPr="00C42CFD" w:rsidRDefault="006269EA" w:rsidP="006269EA">
            <w:pPr>
              <w:jc w:val="center"/>
              <w:rPr>
                <w:b/>
                <w:bCs/>
              </w:rPr>
            </w:pPr>
            <w:r w:rsidRPr="00C42CFD">
              <w:t>UAB „Panevėžio regiono atliekų tvarkymo centras“</w:t>
            </w:r>
          </w:p>
        </w:tc>
        <w:tc>
          <w:tcPr>
            <w:tcW w:w="1701" w:type="dxa"/>
            <w:vAlign w:val="center"/>
          </w:tcPr>
          <w:p w14:paraId="3DC2EC9B" w14:textId="221BF642" w:rsidR="006269EA" w:rsidRPr="00C42CFD" w:rsidRDefault="006269EA" w:rsidP="006269EA">
            <w:pPr>
              <w:jc w:val="center"/>
              <w:rPr>
                <w:b/>
                <w:bCs/>
              </w:rPr>
            </w:pPr>
            <w:r w:rsidRPr="00C42CFD">
              <w:t>Personalo valdymo veikos srityje</w:t>
            </w:r>
          </w:p>
        </w:tc>
        <w:tc>
          <w:tcPr>
            <w:tcW w:w="5812" w:type="dxa"/>
          </w:tcPr>
          <w:p w14:paraId="79FBD191" w14:textId="4FCF7CF9" w:rsidR="006269EA" w:rsidRPr="00C42CFD" w:rsidRDefault="006269EA" w:rsidP="006269EA">
            <w:pPr>
              <w:spacing w:line="276" w:lineRule="auto"/>
              <w:ind w:right="3"/>
              <w:jc w:val="both"/>
              <w:rPr>
                <w:b/>
                <w:bCs/>
              </w:rPr>
            </w:pPr>
            <w:r w:rsidRPr="00C42CFD">
              <w:t xml:space="preserve">Atlikus analizę galima teigti, kad korupcijos pasireiškimo tikimybė egzistuoja, nes iš dalies formaliai atitinka Lietuvos Respublikos korupcijos prevencijos įstatymo 6 straipsnio 4 dalyje nustatytus kriterijus – personalo valdymo srityje priimami sprendimai, kuriems nereikia kitos valstybės ar savivaldybės įstaigos patvirtinimo, taip pat </w:t>
            </w:r>
            <w:r w:rsidRPr="00C42CFD">
              <w:rPr>
                <w:shd w:val="clear" w:color="auto" w:fill="FFFFFF"/>
              </w:rPr>
              <w:t>atskirų padalinių funkcijos, uždaviniai, bei atsakomybė nėra išsamiai reglamentuoti, tačiau r</w:t>
            </w:r>
            <w:r w:rsidRPr="00C42CFD">
              <w:t xml:space="preserve">ealiai korupcijos pasireiškimo tikimybė šioje srityje yra minimali. Personalo valdymo procesas išsamiai reglamentuotas vidaus dokumentuose, darbuotojai yra informuoti ir supažindinti su jiems priskirtomis funkcijomis, jiems keliamais uždaviniais, tvarka, kuria remiantis vykdomos jiems pavestos funkcijos ir uždaviniai bei atsakomybe už netinkamą savo pareigų vykdymą arba jų nevykdymą. </w:t>
            </w:r>
          </w:p>
        </w:tc>
        <w:tc>
          <w:tcPr>
            <w:tcW w:w="4075" w:type="dxa"/>
          </w:tcPr>
          <w:p w14:paraId="464052EE" w14:textId="77777777" w:rsidR="006269EA" w:rsidRPr="00ED1936" w:rsidRDefault="006269EA" w:rsidP="006269EA">
            <w:pPr>
              <w:numPr>
                <w:ilvl w:val="0"/>
                <w:numId w:val="27"/>
              </w:numPr>
              <w:tabs>
                <w:tab w:val="left" w:pos="312"/>
              </w:tabs>
              <w:spacing w:after="200" w:line="276" w:lineRule="auto"/>
              <w:ind w:left="29" w:firstLine="0"/>
              <w:contextualSpacing/>
              <w:jc w:val="both"/>
            </w:pPr>
            <w:r w:rsidRPr="00ED1936">
              <w:t>Svarstyti struktūrinių padalinių nuostatų, kuriuose būtų aiškiai apibrėžta padalinio vykdomos funkcijos ir atsakomybės parengimo ir patvirtinimo tikslingumą.</w:t>
            </w:r>
          </w:p>
          <w:p w14:paraId="2CBA484F" w14:textId="26828874" w:rsidR="006269EA" w:rsidRPr="00ED1936" w:rsidRDefault="006269EA" w:rsidP="006269EA">
            <w:pPr>
              <w:numPr>
                <w:ilvl w:val="0"/>
                <w:numId w:val="27"/>
              </w:numPr>
              <w:tabs>
                <w:tab w:val="left" w:pos="312"/>
              </w:tabs>
              <w:spacing w:after="200" w:line="276" w:lineRule="auto"/>
              <w:ind w:left="29" w:firstLine="0"/>
              <w:contextualSpacing/>
              <w:jc w:val="both"/>
            </w:pPr>
            <w:r w:rsidRPr="00ED1936">
              <w:rPr>
                <w:lang w:eastAsia="lt-LT"/>
              </w:rPr>
              <w:t xml:space="preserve"> Svarstyti priimamo darbuotojo atitikties užimamai pareigybei nustatytų kvalifikacinių reikalavimų reglamentavimo tikslingumą.</w:t>
            </w:r>
          </w:p>
          <w:p w14:paraId="0174BBFF" w14:textId="77777777" w:rsidR="006269EA" w:rsidRPr="00ED1936" w:rsidRDefault="006269EA" w:rsidP="006269EA">
            <w:pPr>
              <w:numPr>
                <w:ilvl w:val="0"/>
                <w:numId w:val="27"/>
              </w:numPr>
              <w:tabs>
                <w:tab w:val="left" w:pos="312"/>
              </w:tabs>
              <w:suppressAutoHyphens/>
              <w:autoSpaceDN w:val="0"/>
              <w:spacing w:line="276" w:lineRule="auto"/>
              <w:ind w:left="29" w:firstLine="0"/>
              <w:jc w:val="both"/>
              <w:textAlignment w:val="baseline"/>
            </w:pPr>
            <w:r w:rsidRPr="00ED1936">
              <w:t xml:space="preserve">Apsvarstyti galimybę ir tikslingumą viešai skelbti informaciją apie laisvas darbo vietas įmonėje. </w:t>
            </w:r>
          </w:p>
          <w:p w14:paraId="765CC913" w14:textId="77777777" w:rsidR="006269EA" w:rsidRPr="00ED1936" w:rsidRDefault="006269EA" w:rsidP="006269EA">
            <w:pPr>
              <w:numPr>
                <w:ilvl w:val="0"/>
                <w:numId w:val="27"/>
              </w:numPr>
              <w:tabs>
                <w:tab w:val="left" w:pos="312"/>
              </w:tabs>
              <w:spacing w:after="200" w:line="276" w:lineRule="auto"/>
              <w:ind w:left="29" w:right="3" w:firstLine="0"/>
              <w:contextualSpacing/>
              <w:jc w:val="both"/>
            </w:pPr>
            <w:r w:rsidRPr="00ED1936">
              <w:t xml:space="preserve">Patikslinti direktoriaus pareigybės aprašymą. </w:t>
            </w:r>
          </w:p>
          <w:p w14:paraId="4CA3B105" w14:textId="77777777" w:rsidR="006269EA" w:rsidRPr="00ED1936" w:rsidRDefault="006269EA" w:rsidP="006269EA">
            <w:pPr>
              <w:jc w:val="center"/>
              <w:rPr>
                <w:b/>
                <w:bCs/>
              </w:rPr>
            </w:pPr>
          </w:p>
        </w:tc>
      </w:tr>
      <w:tr w:rsidR="006269EA" w14:paraId="55D15F75" w14:textId="77777777" w:rsidTr="002E241F">
        <w:tc>
          <w:tcPr>
            <w:tcW w:w="846" w:type="dxa"/>
            <w:vAlign w:val="center"/>
          </w:tcPr>
          <w:p w14:paraId="5E388AA2" w14:textId="5D20EEC7" w:rsidR="006269EA" w:rsidRPr="002E241F" w:rsidRDefault="002E241F" w:rsidP="002E241F">
            <w:pPr>
              <w:jc w:val="center"/>
            </w:pPr>
            <w:r w:rsidRPr="002E241F">
              <w:t>6.</w:t>
            </w:r>
          </w:p>
        </w:tc>
        <w:tc>
          <w:tcPr>
            <w:tcW w:w="2126" w:type="dxa"/>
            <w:vAlign w:val="center"/>
          </w:tcPr>
          <w:p w14:paraId="3A2B6130" w14:textId="609ADAE2" w:rsidR="006269EA" w:rsidRPr="00C42CFD" w:rsidRDefault="006269EA" w:rsidP="006269EA">
            <w:pPr>
              <w:jc w:val="center"/>
              <w:rPr>
                <w:b/>
                <w:bCs/>
              </w:rPr>
            </w:pPr>
            <w:r w:rsidRPr="00C42CFD">
              <w:t>UAB „Aukštaitijos vandenys“</w:t>
            </w:r>
          </w:p>
        </w:tc>
        <w:tc>
          <w:tcPr>
            <w:tcW w:w="1701" w:type="dxa"/>
            <w:vAlign w:val="center"/>
          </w:tcPr>
          <w:p w14:paraId="2D3C3D57" w14:textId="2FCBF495" w:rsidR="006269EA" w:rsidRPr="00C42CFD" w:rsidRDefault="006269EA" w:rsidP="006269EA">
            <w:pPr>
              <w:jc w:val="center"/>
              <w:rPr>
                <w:b/>
                <w:bCs/>
              </w:rPr>
            </w:pPr>
            <w:r w:rsidRPr="00C42CFD">
              <w:t xml:space="preserve">Ekonomikos ir planavimo skyriuje, vandens tyrimų laboratorijoje. </w:t>
            </w:r>
          </w:p>
        </w:tc>
        <w:tc>
          <w:tcPr>
            <w:tcW w:w="5812" w:type="dxa"/>
          </w:tcPr>
          <w:p w14:paraId="3E72C1DC" w14:textId="77777777" w:rsidR="006269EA" w:rsidRPr="00C42CFD" w:rsidRDefault="006269EA" w:rsidP="00816468">
            <w:pPr>
              <w:pStyle w:val="Sraopastraipa"/>
              <w:numPr>
                <w:ilvl w:val="0"/>
                <w:numId w:val="24"/>
              </w:numPr>
              <w:ind w:left="31" w:firstLine="0"/>
              <w:jc w:val="both"/>
            </w:pPr>
            <w:r w:rsidRPr="00C42CFD">
              <w:t xml:space="preserve"> Bendrovės ekonomikos ir planavimo skyriuje, vandens tyrimų laboratorijoje darbuotojų funkcijos, uždaviniai, darbo sprendimų priėmimo tvarka bei atsakomybė yra reglamentuota, užtikrinama įvairiapusė darbuotojų veiklos kontrolė ir šių skyrių procesuose aplinkybių, įrodančių korupcijos pasireiškimo tikimybę, nenustatyta. </w:t>
            </w:r>
          </w:p>
          <w:p w14:paraId="7B09F058" w14:textId="69142C61" w:rsidR="006269EA" w:rsidRPr="00816468" w:rsidRDefault="00816468" w:rsidP="00816468">
            <w:pPr>
              <w:pStyle w:val="Sraopastraipa"/>
              <w:numPr>
                <w:ilvl w:val="0"/>
                <w:numId w:val="24"/>
              </w:numPr>
              <w:ind w:left="0" w:firstLine="0"/>
              <w:jc w:val="both"/>
              <w:rPr>
                <w:b/>
                <w:bCs/>
              </w:rPr>
            </w:pPr>
            <w:r>
              <w:t xml:space="preserve"> </w:t>
            </w:r>
            <w:r w:rsidR="006269EA" w:rsidRPr="00C42CFD">
              <w:t>Efektyvus teisinių, organizacinių ir kontrolės instituto taikymas nesudaro sąlygų korupcijos apraiškoms atsirasti.</w:t>
            </w:r>
          </w:p>
        </w:tc>
        <w:tc>
          <w:tcPr>
            <w:tcW w:w="4075" w:type="dxa"/>
          </w:tcPr>
          <w:p w14:paraId="05E4921B" w14:textId="77777777" w:rsidR="006269EA" w:rsidRPr="00C42CFD" w:rsidRDefault="006269EA" w:rsidP="006269EA">
            <w:pPr>
              <w:pStyle w:val="Sraopastraipa"/>
              <w:numPr>
                <w:ilvl w:val="0"/>
                <w:numId w:val="25"/>
              </w:numPr>
              <w:ind w:left="34" w:hanging="34"/>
              <w:jc w:val="both"/>
            </w:pPr>
            <w:r w:rsidRPr="00C42CFD">
              <w:t xml:space="preserve"> Keičiantis teisės aktų reglamentavimui savalaikiai atlikti procesų vidaus teisinį reguliavimą.</w:t>
            </w:r>
          </w:p>
          <w:p w14:paraId="0783B6DF" w14:textId="77777777" w:rsidR="006269EA" w:rsidRDefault="006269EA" w:rsidP="006269EA">
            <w:pPr>
              <w:pStyle w:val="Sraopastraipa"/>
              <w:numPr>
                <w:ilvl w:val="0"/>
                <w:numId w:val="25"/>
              </w:numPr>
              <w:ind w:left="34" w:hanging="34"/>
              <w:jc w:val="both"/>
            </w:pPr>
            <w:r w:rsidRPr="00C42CFD">
              <w:t xml:space="preserve"> Savalaikiai informuoti padalinio darbuotojus apie mokymus, seminarus korupcijos prevencijos klausimais ir skatinti juos dalyvauti.</w:t>
            </w:r>
          </w:p>
          <w:p w14:paraId="47565395" w14:textId="630B3D3C" w:rsidR="006269EA" w:rsidRPr="006269EA" w:rsidRDefault="006269EA" w:rsidP="006269EA">
            <w:pPr>
              <w:pStyle w:val="Sraopastraipa"/>
              <w:numPr>
                <w:ilvl w:val="0"/>
                <w:numId w:val="25"/>
              </w:numPr>
              <w:ind w:left="34" w:hanging="34"/>
              <w:jc w:val="both"/>
            </w:pPr>
            <w:r>
              <w:t xml:space="preserve"> </w:t>
            </w:r>
            <w:r w:rsidRPr="00C42CFD">
              <w:t>Vadovautis skaidraus elgesio principais, numatytais Bendrovės etikos kodekso nuostatose bei UAB „Aukštaitijos vandenys“ veiksmų, gavus neteisėtą atlygį, tvarkos aprašu.</w:t>
            </w:r>
          </w:p>
        </w:tc>
      </w:tr>
    </w:tbl>
    <w:p w14:paraId="0F260D7C" w14:textId="41DFFCCD" w:rsidR="00850273" w:rsidRDefault="00850273">
      <w:pPr>
        <w:rPr>
          <w:rFonts w:eastAsia="Calibri"/>
        </w:rPr>
      </w:pPr>
    </w:p>
    <w:p w14:paraId="48F22B80" w14:textId="0D7B9DFA" w:rsidR="00850273" w:rsidRDefault="00850273">
      <w:pPr>
        <w:rPr>
          <w:rFonts w:eastAsia="Calibri"/>
        </w:rPr>
      </w:pPr>
    </w:p>
    <w:p w14:paraId="5A683671" w14:textId="6AFD76D9" w:rsidR="00850273" w:rsidRDefault="00850273">
      <w:pPr>
        <w:rPr>
          <w:rFonts w:eastAsia="Calibri"/>
        </w:rPr>
      </w:pPr>
    </w:p>
    <w:tbl>
      <w:tblPr>
        <w:tblStyle w:val="Lentelstinklelis"/>
        <w:tblW w:w="0" w:type="auto"/>
        <w:tblLook w:val="04A0" w:firstRow="1" w:lastRow="0" w:firstColumn="1" w:lastColumn="0" w:noHBand="0" w:noVBand="1"/>
      </w:tblPr>
      <w:tblGrid>
        <w:gridCol w:w="846"/>
        <w:gridCol w:w="2126"/>
        <w:gridCol w:w="1701"/>
        <w:gridCol w:w="5812"/>
        <w:gridCol w:w="4075"/>
      </w:tblGrid>
      <w:tr w:rsidR="006269EA" w14:paraId="5779CEBA" w14:textId="77777777" w:rsidTr="00FD400F">
        <w:tc>
          <w:tcPr>
            <w:tcW w:w="846" w:type="dxa"/>
          </w:tcPr>
          <w:p w14:paraId="513E20E3" w14:textId="77777777" w:rsidR="006269EA" w:rsidRDefault="006269EA" w:rsidP="002E241F">
            <w:pPr>
              <w:jc w:val="center"/>
              <w:rPr>
                <w:rFonts w:eastAsia="Calibri"/>
              </w:rPr>
            </w:pPr>
            <w:r w:rsidRPr="00C42CFD">
              <w:rPr>
                <w:b/>
                <w:bCs/>
              </w:rPr>
              <w:lastRenderedPageBreak/>
              <w:t>Eil. Nr.</w:t>
            </w:r>
          </w:p>
        </w:tc>
        <w:tc>
          <w:tcPr>
            <w:tcW w:w="2126" w:type="dxa"/>
            <w:vAlign w:val="center"/>
          </w:tcPr>
          <w:p w14:paraId="57807C5B" w14:textId="77777777" w:rsidR="006269EA" w:rsidRDefault="006269EA" w:rsidP="00FD400F">
            <w:pPr>
              <w:jc w:val="center"/>
              <w:rPr>
                <w:rFonts w:eastAsia="Calibri"/>
              </w:rPr>
            </w:pPr>
            <w:r w:rsidRPr="00C42CFD">
              <w:rPr>
                <w:b/>
                <w:bCs/>
              </w:rPr>
              <w:t>Įmonės/ Įstaigos pavadinimas</w:t>
            </w:r>
          </w:p>
        </w:tc>
        <w:tc>
          <w:tcPr>
            <w:tcW w:w="1701" w:type="dxa"/>
            <w:vAlign w:val="center"/>
          </w:tcPr>
          <w:p w14:paraId="772F8B5E" w14:textId="77777777" w:rsidR="006269EA" w:rsidRDefault="006269EA" w:rsidP="00FD400F">
            <w:pPr>
              <w:jc w:val="center"/>
              <w:rPr>
                <w:rFonts w:eastAsia="Calibri"/>
              </w:rPr>
            </w:pPr>
            <w:r w:rsidRPr="00C42CFD">
              <w:rPr>
                <w:b/>
                <w:bCs/>
              </w:rPr>
              <w:t>Vertinama sritis</w:t>
            </w:r>
          </w:p>
        </w:tc>
        <w:tc>
          <w:tcPr>
            <w:tcW w:w="5812" w:type="dxa"/>
            <w:vAlign w:val="center"/>
          </w:tcPr>
          <w:p w14:paraId="76028CF5" w14:textId="77777777" w:rsidR="006269EA" w:rsidRDefault="006269EA" w:rsidP="00FD400F">
            <w:pPr>
              <w:jc w:val="center"/>
              <w:rPr>
                <w:rFonts w:eastAsia="Calibri"/>
              </w:rPr>
            </w:pPr>
            <w:r w:rsidRPr="00C42CFD">
              <w:rPr>
                <w:b/>
                <w:bCs/>
              </w:rPr>
              <w:t>Nustatyti korupcijos rizikos veiksniai</w:t>
            </w:r>
          </w:p>
        </w:tc>
        <w:tc>
          <w:tcPr>
            <w:tcW w:w="4075" w:type="dxa"/>
            <w:vAlign w:val="center"/>
          </w:tcPr>
          <w:p w14:paraId="5AE67DED" w14:textId="77777777" w:rsidR="006269EA" w:rsidRDefault="006269EA" w:rsidP="00FD400F">
            <w:pPr>
              <w:jc w:val="center"/>
              <w:rPr>
                <w:rFonts w:eastAsia="Calibri"/>
              </w:rPr>
            </w:pPr>
            <w:r w:rsidRPr="00C42CFD">
              <w:rPr>
                <w:b/>
                <w:bCs/>
              </w:rPr>
              <w:t>Korupcijos rizikos mažinimo priemonės</w:t>
            </w:r>
          </w:p>
        </w:tc>
      </w:tr>
      <w:tr w:rsidR="006269EA" w14:paraId="56A952FB" w14:textId="77777777" w:rsidTr="002E241F">
        <w:tc>
          <w:tcPr>
            <w:tcW w:w="846" w:type="dxa"/>
            <w:vAlign w:val="center"/>
          </w:tcPr>
          <w:p w14:paraId="46C4D5F3" w14:textId="4F2CC9B7" w:rsidR="006269EA" w:rsidRPr="002E241F" w:rsidRDefault="002E241F" w:rsidP="002E241F">
            <w:pPr>
              <w:jc w:val="center"/>
            </w:pPr>
            <w:r w:rsidRPr="002E241F">
              <w:t>7.</w:t>
            </w:r>
          </w:p>
        </w:tc>
        <w:tc>
          <w:tcPr>
            <w:tcW w:w="2126" w:type="dxa"/>
            <w:vAlign w:val="center"/>
          </w:tcPr>
          <w:p w14:paraId="0850A678" w14:textId="6E69CFD0" w:rsidR="006269EA" w:rsidRPr="00C42CFD" w:rsidRDefault="006269EA" w:rsidP="006269EA">
            <w:pPr>
              <w:jc w:val="center"/>
              <w:rPr>
                <w:b/>
                <w:bCs/>
              </w:rPr>
            </w:pPr>
            <w:r w:rsidRPr="00C42CFD">
              <w:t>UAB „Panevėžio autobusų parkas“</w:t>
            </w:r>
          </w:p>
        </w:tc>
        <w:tc>
          <w:tcPr>
            <w:tcW w:w="1701" w:type="dxa"/>
            <w:vAlign w:val="center"/>
          </w:tcPr>
          <w:p w14:paraId="190EFF3F" w14:textId="646DA588" w:rsidR="006269EA" w:rsidRPr="00C42CFD" w:rsidRDefault="006269EA" w:rsidP="006269EA">
            <w:pPr>
              <w:jc w:val="center"/>
              <w:rPr>
                <w:b/>
                <w:bCs/>
              </w:rPr>
            </w:pPr>
            <w:r w:rsidRPr="00C42CFD">
              <w:t>Ilgalaikio turto naudojim</w:t>
            </w:r>
            <w:r>
              <w:t>as</w:t>
            </w:r>
            <w:r w:rsidRPr="00C42CFD">
              <w:t xml:space="preserve"> ir valdym</w:t>
            </w:r>
            <w:r>
              <w:t xml:space="preserve">as </w:t>
            </w:r>
          </w:p>
        </w:tc>
        <w:tc>
          <w:tcPr>
            <w:tcW w:w="5812" w:type="dxa"/>
            <w:vAlign w:val="center"/>
          </w:tcPr>
          <w:p w14:paraId="6221F0C6" w14:textId="22896E55" w:rsidR="000D30C7" w:rsidRPr="00C42CFD" w:rsidRDefault="000D30C7" w:rsidP="000D30C7">
            <w:pPr>
              <w:pStyle w:val="Sraopastraipa"/>
              <w:numPr>
                <w:ilvl w:val="0"/>
                <w:numId w:val="23"/>
              </w:numPr>
              <w:ind w:left="0" w:firstLine="31"/>
              <w:jc w:val="both"/>
            </w:pPr>
            <w:r>
              <w:t xml:space="preserve"> </w:t>
            </w:r>
            <w:r w:rsidRPr="00C42CFD">
              <w:t>Sprendimo įsigyti ilgalaikį turtą derinimas su bendrovės valdymo organu - svarbus korupcijos rizikos mažinimo faktorius.</w:t>
            </w:r>
          </w:p>
          <w:p w14:paraId="4B1EC3B4" w14:textId="77777777" w:rsidR="000D30C7" w:rsidRPr="00C42CFD" w:rsidRDefault="000D30C7" w:rsidP="000D30C7">
            <w:pPr>
              <w:pStyle w:val="Sraopastraipa"/>
              <w:numPr>
                <w:ilvl w:val="0"/>
                <w:numId w:val="23"/>
              </w:numPr>
              <w:ind w:left="0" w:firstLine="31"/>
              <w:jc w:val="both"/>
            </w:pPr>
            <w:r w:rsidRPr="00C42CFD">
              <w:t xml:space="preserve"> Korupcijos pasireiškimo tikimybė ir rizika įvedant ilgalaikį turtą į eksploataciją valdoma – lokaliniais teisės aktais nustatyta, siūlymus dėl kuro normų nustatymo teikia, ilgalaikį turtą (autobusus) apžiūri ir įvertina jo atitiktį pirkimo dokumentuose nustatytiems reikalavimams ne vienas darbuotojas. </w:t>
            </w:r>
          </w:p>
          <w:p w14:paraId="7646C02E" w14:textId="77777777" w:rsidR="000D30C7" w:rsidRPr="00C42CFD" w:rsidRDefault="000D30C7" w:rsidP="000D30C7">
            <w:pPr>
              <w:pStyle w:val="Sraopastraipa"/>
              <w:numPr>
                <w:ilvl w:val="0"/>
                <w:numId w:val="23"/>
              </w:numPr>
              <w:ind w:left="0" w:firstLine="31"/>
              <w:jc w:val="both"/>
            </w:pPr>
            <w:r w:rsidRPr="00C42CFD">
              <w:t xml:space="preserve"> Nustatant ilgalaikio turto nusidėvėjimo normatyvus bei tarnavimo laiką savarankiškai sprendimai nepriimami – vadovaujamasi teisės aktuose nustatytais rodikliais ir terminais bei akcininko rekomendacijomis.</w:t>
            </w:r>
          </w:p>
          <w:p w14:paraId="39AB73ED" w14:textId="77777777" w:rsidR="000D30C7" w:rsidRDefault="000D30C7" w:rsidP="000D30C7">
            <w:pPr>
              <w:pStyle w:val="Sraopastraipa"/>
              <w:numPr>
                <w:ilvl w:val="0"/>
                <w:numId w:val="23"/>
              </w:numPr>
              <w:ind w:left="0" w:firstLine="31"/>
              <w:jc w:val="both"/>
            </w:pPr>
            <w:r w:rsidRPr="00C42CFD">
              <w:t xml:space="preserve"> Asmenų, turinčių teisę valdyti ilgalaikį turtą bei pasirašyti turto judėjimo dokumentus, sąraše patvirtinti atsakingų už operacijos atlikimą bei teisingą įforminimą parašai. Vienas nurodytas asmuo įmonėje nebedirba.</w:t>
            </w:r>
          </w:p>
          <w:p w14:paraId="6F62C975" w14:textId="018B2324" w:rsidR="006269EA" w:rsidRPr="000D30C7" w:rsidRDefault="000D30C7" w:rsidP="000D30C7">
            <w:pPr>
              <w:pStyle w:val="Sraopastraipa"/>
              <w:numPr>
                <w:ilvl w:val="0"/>
                <w:numId w:val="23"/>
              </w:numPr>
              <w:ind w:left="0" w:firstLine="31"/>
              <w:jc w:val="both"/>
            </w:pPr>
            <w:r>
              <w:t xml:space="preserve"> </w:t>
            </w:r>
            <w:r w:rsidRPr="00C42CFD">
              <w:t>Apibendrinant inventorizavimą reglamentuojančius teisės aktus bei faktinį šių aktų įgyvendinimą, ilgalaikio turto inventorizacija atliekama bei dokumentai pildomi tinkamai, pagal Taisyklių nustatytus reikalavimus. Kadangi inventorizaciją atlieka vadovo įsakymu sudarytos komisijos, kurias sudaro ne mažiau kaip trys asmenys, inventorizuojant turtą dalyvauja materialiai atsakingas asmuo, po to visus duomenis su buhalterinės apskaitos duomenimis patikrina buhalterijos darbuotojas pagal kompetenciją, galiausiai inventorizacijos duomenis tvirtina įmonės vadovas, tai yra</w:t>
            </w:r>
            <w:r>
              <w:t xml:space="preserve"> </w:t>
            </w:r>
            <w:r w:rsidRPr="00C42CFD">
              <w:t>pakankamos priemonės korupcijos rizikai inventorizuojant turtą mažinti.</w:t>
            </w:r>
          </w:p>
        </w:tc>
        <w:tc>
          <w:tcPr>
            <w:tcW w:w="4075" w:type="dxa"/>
            <w:vAlign w:val="center"/>
          </w:tcPr>
          <w:p w14:paraId="0883E047" w14:textId="0D5A8441" w:rsidR="000D30C7" w:rsidRPr="00C42CFD" w:rsidRDefault="000D30C7" w:rsidP="000D30C7">
            <w:pPr>
              <w:pStyle w:val="Sraopastraipa"/>
              <w:numPr>
                <w:ilvl w:val="0"/>
                <w:numId w:val="22"/>
              </w:numPr>
              <w:ind w:left="34" w:hanging="34"/>
              <w:jc w:val="both"/>
            </w:pPr>
            <w:r>
              <w:t xml:space="preserve"> </w:t>
            </w:r>
            <w:r w:rsidRPr="00C42CFD">
              <w:t xml:space="preserve">Siekiant padidinti darbuotojų antikorupcinį sąmoningumą ir sumažinti korupcijos pasireiškimo tikimybę įstaigoje, organizuoti paskaitas (seminarus) korupcijos prevencijos temomis. </w:t>
            </w:r>
          </w:p>
          <w:p w14:paraId="463FB82B" w14:textId="77777777" w:rsidR="000D30C7" w:rsidRPr="00C42CFD" w:rsidRDefault="000D30C7" w:rsidP="000D30C7">
            <w:pPr>
              <w:pStyle w:val="Sraopastraipa"/>
              <w:numPr>
                <w:ilvl w:val="0"/>
                <w:numId w:val="22"/>
              </w:numPr>
              <w:ind w:left="34" w:hanging="34"/>
              <w:jc w:val="both"/>
            </w:pPr>
            <w:r w:rsidRPr="00C42CFD">
              <w:t xml:space="preserve"> Svarstyti poreikį patikslinti ilgalaikio turto įvedimo į eksploataciją reglamentavimą. </w:t>
            </w:r>
          </w:p>
          <w:p w14:paraId="15892230" w14:textId="77777777" w:rsidR="000D30C7" w:rsidRPr="00C42CFD" w:rsidRDefault="000D30C7" w:rsidP="000D30C7">
            <w:pPr>
              <w:pStyle w:val="Sraopastraipa"/>
              <w:numPr>
                <w:ilvl w:val="0"/>
                <w:numId w:val="22"/>
              </w:numPr>
              <w:ind w:left="34" w:hanging="34"/>
              <w:jc w:val="both"/>
            </w:pPr>
            <w:r w:rsidRPr="00C42CFD">
              <w:t xml:space="preserve"> Patikslinti generalinio direktoriaus 2018 m. vasario 21 d. įsakymu Nr. 11 patvirtintą ilgalaikio, trumpalaikio turto ir atsargų išdavimo iš sandėlio, važtaraščių pasirašymo tvarką (atsakingus už operacijos atlikimą bei teisingą įforminimą darbuotojus). </w:t>
            </w:r>
          </w:p>
          <w:p w14:paraId="48F159BD" w14:textId="77777777" w:rsidR="000D30C7" w:rsidRPr="00C42CFD" w:rsidRDefault="000D30C7" w:rsidP="000D30C7">
            <w:pPr>
              <w:pStyle w:val="Sraopastraipa"/>
              <w:numPr>
                <w:ilvl w:val="0"/>
                <w:numId w:val="22"/>
              </w:numPr>
              <w:ind w:left="34" w:hanging="34"/>
              <w:jc w:val="both"/>
            </w:pPr>
            <w:r w:rsidRPr="00C42CFD">
              <w:t xml:space="preserve"> Svarstyti ilgalaikio turto likvidavimo ir nurašymo tvarkos peržiūrėjimo tikslingumą (reglamentuojant pranešimo apie ilgalaikio turto sugedimą, neatitikimą techniniams reikalavimams ir pan.).</w:t>
            </w:r>
          </w:p>
          <w:p w14:paraId="3447B578" w14:textId="77777777" w:rsidR="000D30C7" w:rsidRPr="00C42CFD" w:rsidRDefault="000D30C7" w:rsidP="000D30C7">
            <w:pPr>
              <w:pStyle w:val="Sraopastraipa"/>
              <w:numPr>
                <w:ilvl w:val="0"/>
                <w:numId w:val="22"/>
              </w:numPr>
              <w:ind w:left="34" w:hanging="34"/>
              <w:jc w:val="both"/>
            </w:pPr>
            <w:r w:rsidRPr="00C42CFD">
              <w:t xml:space="preserve"> Svarstyti galimybę sudaryti atskirą komisiją aukcione parduodamo ilgalaikio turto apžiūrai ir įvertinimui (atskiriant pardavimo kainos nustatymo</w:t>
            </w:r>
            <w:r>
              <w:t xml:space="preserve"> </w:t>
            </w:r>
            <w:r w:rsidRPr="00C42CFD">
              <w:t xml:space="preserve">ir aukciono organizavimo ir vykdymo funkcijas). </w:t>
            </w:r>
          </w:p>
          <w:p w14:paraId="3BD788D6" w14:textId="3E09977B" w:rsidR="006269EA" w:rsidRPr="00C42CFD" w:rsidRDefault="006269EA" w:rsidP="000D30C7">
            <w:pPr>
              <w:rPr>
                <w:b/>
                <w:bCs/>
              </w:rPr>
            </w:pPr>
          </w:p>
        </w:tc>
      </w:tr>
    </w:tbl>
    <w:p w14:paraId="18C54EF5" w14:textId="6472C4AC" w:rsidR="00850273" w:rsidRDefault="00850273">
      <w:pPr>
        <w:rPr>
          <w:rFonts w:eastAsia="Calibri"/>
        </w:rPr>
      </w:pPr>
    </w:p>
    <w:p w14:paraId="21EFF91E" w14:textId="63AB6F4F" w:rsidR="00850273" w:rsidRDefault="00850273">
      <w:pPr>
        <w:rPr>
          <w:rFonts w:eastAsia="Calibri"/>
        </w:rPr>
      </w:pPr>
    </w:p>
    <w:p w14:paraId="42DA063C" w14:textId="412E1226" w:rsidR="000D30C7" w:rsidRDefault="000D30C7">
      <w:pPr>
        <w:rPr>
          <w:rFonts w:eastAsia="Calibri"/>
        </w:rPr>
      </w:pPr>
    </w:p>
    <w:tbl>
      <w:tblPr>
        <w:tblStyle w:val="Lentelstinklelis"/>
        <w:tblW w:w="0" w:type="auto"/>
        <w:tblLook w:val="04A0" w:firstRow="1" w:lastRow="0" w:firstColumn="1" w:lastColumn="0" w:noHBand="0" w:noVBand="1"/>
      </w:tblPr>
      <w:tblGrid>
        <w:gridCol w:w="846"/>
        <w:gridCol w:w="1843"/>
        <w:gridCol w:w="2409"/>
        <w:gridCol w:w="5387"/>
        <w:gridCol w:w="4075"/>
      </w:tblGrid>
      <w:tr w:rsidR="000D30C7" w14:paraId="4BEB4AF7" w14:textId="77777777" w:rsidTr="002E241F">
        <w:tc>
          <w:tcPr>
            <w:tcW w:w="846" w:type="dxa"/>
          </w:tcPr>
          <w:p w14:paraId="50AC6498" w14:textId="77777777" w:rsidR="000D30C7" w:rsidRDefault="000D30C7" w:rsidP="002E241F">
            <w:pPr>
              <w:jc w:val="center"/>
              <w:rPr>
                <w:rFonts w:eastAsia="Calibri"/>
              </w:rPr>
            </w:pPr>
            <w:r w:rsidRPr="00C42CFD">
              <w:rPr>
                <w:b/>
                <w:bCs/>
              </w:rPr>
              <w:lastRenderedPageBreak/>
              <w:t>Eil. Nr.</w:t>
            </w:r>
          </w:p>
        </w:tc>
        <w:tc>
          <w:tcPr>
            <w:tcW w:w="1843" w:type="dxa"/>
            <w:vAlign w:val="center"/>
          </w:tcPr>
          <w:p w14:paraId="009C01A6" w14:textId="77777777" w:rsidR="000D30C7" w:rsidRDefault="000D30C7" w:rsidP="00FD400F">
            <w:pPr>
              <w:jc w:val="center"/>
              <w:rPr>
                <w:rFonts w:eastAsia="Calibri"/>
              </w:rPr>
            </w:pPr>
            <w:r w:rsidRPr="00C42CFD">
              <w:rPr>
                <w:b/>
                <w:bCs/>
              </w:rPr>
              <w:t>Įmonės/ Įstaigos pavadinimas</w:t>
            </w:r>
          </w:p>
        </w:tc>
        <w:tc>
          <w:tcPr>
            <w:tcW w:w="2409" w:type="dxa"/>
            <w:vAlign w:val="center"/>
          </w:tcPr>
          <w:p w14:paraId="7BF7FC64" w14:textId="77777777" w:rsidR="000D30C7" w:rsidRDefault="000D30C7" w:rsidP="00FD400F">
            <w:pPr>
              <w:jc w:val="center"/>
              <w:rPr>
                <w:rFonts w:eastAsia="Calibri"/>
              </w:rPr>
            </w:pPr>
            <w:r w:rsidRPr="00C42CFD">
              <w:rPr>
                <w:b/>
                <w:bCs/>
              </w:rPr>
              <w:t>Vertinama sritis</w:t>
            </w:r>
          </w:p>
        </w:tc>
        <w:tc>
          <w:tcPr>
            <w:tcW w:w="5387" w:type="dxa"/>
            <w:vAlign w:val="center"/>
          </w:tcPr>
          <w:p w14:paraId="739A8648" w14:textId="77777777" w:rsidR="000D30C7" w:rsidRDefault="000D30C7" w:rsidP="00FD400F">
            <w:pPr>
              <w:jc w:val="center"/>
              <w:rPr>
                <w:rFonts w:eastAsia="Calibri"/>
              </w:rPr>
            </w:pPr>
            <w:r w:rsidRPr="00C42CFD">
              <w:rPr>
                <w:b/>
                <w:bCs/>
              </w:rPr>
              <w:t>Nustatyti korupcijos rizikos veiksniai</w:t>
            </w:r>
          </w:p>
        </w:tc>
        <w:tc>
          <w:tcPr>
            <w:tcW w:w="4075" w:type="dxa"/>
            <w:vAlign w:val="center"/>
          </w:tcPr>
          <w:p w14:paraId="0A1E6A93" w14:textId="77777777" w:rsidR="000D30C7" w:rsidRDefault="000D30C7" w:rsidP="00FD400F">
            <w:pPr>
              <w:jc w:val="center"/>
              <w:rPr>
                <w:rFonts w:eastAsia="Calibri"/>
              </w:rPr>
            </w:pPr>
            <w:r w:rsidRPr="00C42CFD">
              <w:rPr>
                <w:b/>
                <w:bCs/>
              </w:rPr>
              <w:t>Korupcijos rizikos mažinimo priemonės</w:t>
            </w:r>
          </w:p>
        </w:tc>
      </w:tr>
      <w:tr w:rsidR="000D30C7" w14:paraId="675FBA42" w14:textId="77777777" w:rsidTr="002E241F">
        <w:tc>
          <w:tcPr>
            <w:tcW w:w="846" w:type="dxa"/>
            <w:vAlign w:val="center"/>
          </w:tcPr>
          <w:p w14:paraId="0764E743" w14:textId="77777777" w:rsidR="000D30C7" w:rsidRPr="002E241F" w:rsidRDefault="000D30C7" w:rsidP="00FD400F"/>
        </w:tc>
        <w:tc>
          <w:tcPr>
            <w:tcW w:w="1843" w:type="dxa"/>
            <w:vAlign w:val="center"/>
          </w:tcPr>
          <w:p w14:paraId="45089868" w14:textId="77777777" w:rsidR="000D30C7" w:rsidRPr="00C42CFD" w:rsidRDefault="000D30C7" w:rsidP="00FD400F">
            <w:pPr>
              <w:jc w:val="center"/>
              <w:rPr>
                <w:b/>
                <w:bCs/>
              </w:rPr>
            </w:pPr>
          </w:p>
        </w:tc>
        <w:tc>
          <w:tcPr>
            <w:tcW w:w="2409" w:type="dxa"/>
            <w:vAlign w:val="center"/>
          </w:tcPr>
          <w:p w14:paraId="75CBA7EB" w14:textId="77777777" w:rsidR="000D30C7" w:rsidRPr="00C42CFD" w:rsidRDefault="000D30C7" w:rsidP="00FD400F">
            <w:pPr>
              <w:jc w:val="center"/>
              <w:rPr>
                <w:b/>
                <w:bCs/>
              </w:rPr>
            </w:pPr>
          </w:p>
        </w:tc>
        <w:tc>
          <w:tcPr>
            <w:tcW w:w="5387" w:type="dxa"/>
          </w:tcPr>
          <w:p w14:paraId="20F5CFEB" w14:textId="36A24E17" w:rsidR="000D30C7" w:rsidRPr="000D30C7" w:rsidRDefault="000D30C7" w:rsidP="00816468">
            <w:pPr>
              <w:pStyle w:val="Sraopastraipa"/>
              <w:numPr>
                <w:ilvl w:val="0"/>
                <w:numId w:val="22"/>
              </w:numPr>
              <w:ind w:left="0" w:firstLine="0"/>
              <w:jc w:val="both"/>
              <w:rPr>
                <w:b/>
                <w:bCs/>
              </w:rPr>
            </w:pPr>
            <w:r>
              <w:t xml:space="preserve"> </w:t>
            </w:r>
            <w:r w:rsidRPr="00C42CFD">
              <w:t>Įvertinus ilgalaikio turto nurašymo reglamentavimą, korupcijos pasireiškimo tikimybė yra ta, kad darbuotojų, dalyvaujančių šioje veiklos srityje, funkcijos, uždaviniai, darbo ir sprendimų priėmimo tvarka bei atsakomybė nėra išsamiai reglamentuoti.</w:t>
            </w:r>
          </w:p>
        </w:tc>
        <w:tc>
          <w:tcPr>
            <w:tcW w:w="4075" w:type="dxa"/>
            <w:vAlign w:val="center"/>
          </w:tcPr>
          <w:p w14:paraId="1136336E" w14:textId="63CED5C5" w:rsidR="000D30C7" w:rsidRPr="000D30C7" w:rsidRDefault="000D30C7" w:rsidP="000D30C7">
            <w:pPr>
              <w:pStyle w:val="Sraopastraipa"/>
              <w:numPr>
                <w:ilvl w:val="0"/>
                <w:numId w:val="23"/>
              </w:numPr>
              <w:ind w:left="0" w:firstLine="32"/>
              <w:jc w:val="both"/>
              <w:rPr>
                <w:b/>
                <w:bCs/>
              </w:rPr>
            </w:pPr>
            <w:r w:rsidRPr="00C42CFD">
              <w:t>Peržiūrėti ir, esant poreikiui, koreguoti Aukciono taisykles papildant nuostatomis dėl elektroninio aukciono vykdymo galimybės, nurodant, kas priima sprendimą dėl aukciono vykdymo budo; bei dėl Aukciono tvarkos 25.3 papunkčio tikslingumo - ar būtina aukciono dalyviui juridiniam asmeniui pateikti įstatus (ar asmuo registruotas juridinių asmenų registre, jo teisinį statusą galima patikrinti viešuose registruose).</w:t>
            </w:r>
          </w:p>
        </w:tc>
      </w:tr>
      <w:tr w:rsidR="000D30C7" w14:paraId="42515081" w14:textId="77777777" w:rsidTr="002E241F">
        <w:tc>
          <w:tcPr>
            <w:tcW w:w="846" w:type="dxa"/>
            <w:vAlign w:val="center"/>
          </w:tcPr>
          <w:p w14:paraId="311509A9" w14:textId="2309AD58" w:rsidR="000D30C7" w:rsidRPr="002E241F" w:rsidRDefault="002E241F" w:rsidP="002E241F">
            <w:pPr>
              <w:jc w:val="center"/>
            </w:pPr>
            <w:r w:rsidRPr="002E241F">
              <w:t>8.</w:t>
            </w:r>
          </w:p>
        </w:tc>
        <w:tc>
          <w:tcPr>
            <w:tcW w:w="1843" w:type="dxa"/>
            <w:vAlign w:val="center"/>
          </w:tcPr>
          <w:p w14:paraId="0F2072D6" w14:textId="414EB9EA" w:rsidR="000D30C7" w:rsidRPr="00C42CFD" w:rsidRDefault="000D30C7" w:rsidP="000D30C7">
            <w:pPr>
              <w:jc w:val="center"/>
              <w:rPr>
                <w:b/>
                <w:bCs/>
              </w:rPr>
            </w:pPr>
            <w:r w:rsidRPr="00C42CFD">
              <w:t>AB „Panevėžio butų ūkis“</w:t>
            </w:r>
          </w:p>
        </w:tc>
        <w:tc>
          <w:tcPr>
            <w:tcW w:w="2409" w:type="dxa"/>
          </w:tcPr>
          <w:p w14:paraId="6AE2386F" w14:textId="043F0D58" w:rsidR="000D30C7" w:rsidRPr="00C42CFD" w:rsidRDefault="000D30C7" w:rsidP="000D30C7">
            <w:pPr>
              <w:jc w:val="center"/>
              <w:rPr>
                <w:b/>
                <w:bCs/>
              </w:rPr>
            </w:pPr>
            <w:r w:rsidRPr="00C42CFD">
              <w:t>Įmokų surinkimo paslaugų teikimas</w:t>
            </w:r>
          </w:p>
        </w:tc>
        <w:tc>
          <w:tcPr>
            <w:tcW w:w="5387" w:type="dxa"/>
          </w:tcPr>
          <w:p w14:paraId="039BD91D" w14:textId="01EF9974" w:rsidR="000D30C7" w:rsidRDefault="000D30C7" w:rsidP="00816468">
            <w:pPr>
              <w:pStyle w:val="Sraopastraipa"/>
              <w:ind w:left="0"/>
              <w:jc w:val="both"/>
            </w:pPr>
            <w:r w:rsidRPr="00C42CFD">
              <w:t xml:space="preserve">Nustatyta, kad Bendrovėje nėra korupcijos rizikos pasireiškimo tikimybės, teikiant įmokų surinkimo paslaugą. </w:t>
            </w:r>
          </w:p>
        </w:tc>
        <w:tc>
          <w:tcPr>
            <w:tcW w:w="4075" w:type="dxa"/>
          </w:tcPr>
          <w:p w14:paraId="0CE4D879" w14:textId="5FDE9842" w:rsidR="000D30C7" w:rsidRPr="00C42CFD" w:rsidRDefault="000D30C7" w:rsidP="000D30C7">
            <w:pPr>
              <w:jc w:val="both"/>
            </w:pPr>
            <w:r w:rsidRPr="00C42CFD">
              <w:t>Nenumatyta.</w:t>
            </w:r>
          </w:p>
        </w:tc>
      </w:tr>
      <w:tr w:rsidR="000D30C7" w14:paraId="456C5F34" w14:textId="77777777" w:rsidTr="002E241F">
        <w:tc>
          <w:tcPr>
            <w:tcW w:w="846" w:type="dxa"/>
            <w:vAlign w:val="center"/>
          </w:tcPr>
          <w:p w14:paraId="2A9AC252" w14:textId="0966069A" w:rsidR="000D30C7" w:rsidRPr="002E241F" w:rsidRDefault="002E241F" w:rsidP="002E241F">
            <w:pPr>
              <w:jc w:val="center"/>
            </w:pPr>
            <w:r w:rsidRPr="002E241F">
              <w:t>9.</w:t>
            </w:r>
          </w:p>
        </w:tc>
        <w:tc>
          <w:tcPr>
            <w:tcW w:w="1843" w:type="dxa"/>
          </w:tcPr>
          <w:p w14:paraId="0E1D83DB" w14:textId="1ACC0FCF" w:rsidR="000D30C7" w:rsidRPr="00C42CFD" w:rsidRDefault="000D30C7" w:rsidP="000D30C7">
            <w:pPr>
              <w:jc w:val="center"/>
            </w:pPr>
            <w:r w:rsidRPr="00C42CFD">
              <w:t>UAB „Panevėžio būstas“</w:t>
            </w:r>
          </w:p>
        </w:tc>
        <w:tc>
          <w:tcPr>
            <w:tcW w:w="2409" w:type="dxa"/>
          </w:tcPr>
          <w:p w14:paraId="1D5827A7" w14:textId="2187430E" w:rsidR="000D30C7" w:rsidRPr="00C42CFD" w:rsidRDefault="000D30C7" w:rsidP="000D30C7">
            <w:pPr>
              <w:jc w:val="center"/>
            </w:pPr>
            <w:r w:rsidRPr="00C42CFD">
              <w:t>Interesų konfliktų valdymo sritis</w:t>
            </w:r>
          </w:p>
        </w:tc>
        <w:tc>
          <w:tcPr>
            <w:tcW w:w="5387" w:type="dxa"/>
          </w:tcPr>
          <w:p w14:paraId="59F5E2E5" w14:textId="5D24352B" w:rsidR="000D30C7" w:rsidRPr="00C42CFD" w:rsidRDefault="000D30C7" w:rsidP="00816468">
            <w:pPr>
              <w:pStyle w:val="Sraopastraipa"/>
              <w:ind w:left="0"/>
              <w:jc w:val="both"/>
            </w:pPr>
            <w:r w:rsidRPr="00C42CFD">
              <w:t xml:space="preserve">Atlikus korupcijos pasireiškimo tikimybės analizę interesų konfliktų valdymo srityje, nustatyta, kad korupcijos pasireiškimo tikimybė šioje srityje neegzistuoja. </w:t>
            </w:r>
          </w:p>
        </w:tc>
        <w:tc>
          <w:tcPr>
            <w:tcW w:w="4075" w:type="dxa"/>
          </w:tcPr>
          <w:p w14:paraId="490E51FE" w14:textId="51189E98" w:rsidR="000D30C7" w:rsidRPr="00C42CFD" w:rsidRDefault="000D30C7" w:rsidP="000D30C7">
            <w:pPr>
              <w:jc w:val="both"/>
            </w:pPr>
            <w:r w:rsidRPr="00C42CFD">
              <w:t>Nenumatyta.</w:t>
            </w:r>
          </w:p>
        </w:tc>
      </w:tr>
      <w:tr w:rsidR="002E241F" w14:paraId="0F4B3B1C" w14:textId="77777777" w:rsidTr="002E241F">
        <w:tc>
          <w:tcPr>
            <w:tcW w:w="846" w:type="dxa"/>
            <w:vAlign w:val="center"/>
          </w:tcPr>
          <w:p w14:paraId="40D118EE" w14:textId="0B5C6CB5" w:rsidR="002E241F" w:rsidRPr="002E241F" w:rsidRDefault="002E241F" w:rsidP="002E241F">
            <w:pPr>
              <w:jc w:val="center"/>
            </w:pPr>
            <w:r w:rsidRPr="002E241F">
              <w:t>10.</w:t>
            </w:r>
          </w:p>
        </w:tc>
        <w:tc>
          <w:tcPr>
            <w:tcW w:w="1843" w:type="dxa"/>
            <w:vAlign w:val="center"/>
          </w:tcPr>
          <w:p w14:paraId="30B634E2" w14:textId="7BDB21BA" w:rsidR="002E241F" w:rsidRPr="00C42CFD" w:rsidRDefault="002E241F" w:rsidP="002E241F">
            <w:pPr>
              <w:jc w:val="center"/>
            </w:pPr>
            <w:r w:rsidRPr="00C42CFD">
              <w:t>Panevėžio miesto savivaldybės kontrolės ir audito tarnyba</w:t>
            </w:r>
          </w:p>
        </w:tc>
        <w:tc>
          <w:tcPr>
            <w:tcW w:w="2409" w:type="dxa"/>
          </w:tcPr>
          <w:p w14:paraId="59179472" w14:textId="7AD2C4AF" w:rsidR="002E241F" w:rsidRPr="00C42CFD" w:rsidRDefault="002E241F" w:rsidP="002E241F">
            <w:pPr>
              <w:jc w:val="center"/>
            </w:pPr>
            <w:r w:rsidRPr="00C42CFD">
              <w:t xml:space="preserve">Savivaldybės tarybai teikiamų išvadų dėl viešojo ir privataus sektorių partnerystės projektų įgyvendinimo tikslingumo ir pritarimo galutinėms viešojo ir privataus sektorių partnerystės sutarties sąlygoms, jeigu jos skiriasi nuo </w:t>
            </w:r>
          </w:p>
        </w:tc>
        <w:tc>
          <w:tcPr>
            <w:tcW w:w="5387" w:type="dxa"/>
          </w:tcPr>
          <w:p w14:paraId="78A6CB27" w14:textId="569A48E8" w:rsidR="002E241F" w:rsidRPr="00C42CFD" w:rsidRDefault="002E241F" w:rsidP="002E241F">
            <w:pPr>
              <w:autoSpaceDE w:val="0"/>
              <w:autoSpaceDN w:val="0"/>
              <w:adjustRightInd w:val="0"/>
              <w:jc w:val="both"/>
            </w:pPr>
            <w:r w:rsidRPr="00C42CFD">
              <w:t>1. Vadovaujantis Korupcijos prevencijos įstatyme nustatytais korupcijos pasireiškimo tikimybės kriterijais ir atlikus Tarnybos veiklos analizę, galima teigti, kad formaliai Tarnybos veikla Savivaldybės tarybai teikiamų išvadų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 srityje atitinka 2 iš 7 Korupcijos prevencijos įstatyme</w:t>
            </w:r>
          </w:p>
        </w:tc>
        <w:tc>
          <w:tcPr>
            <w:tcW w:w="4075" w:type="dxa"/>
          </w:tcPr>
          <w:p w14:paraId="31CC8D08" w14:textId="03359A2C" w:rsidR="002E241F" w:rsidRPr="00C42CFD" w:rsidRDefault="002E241F" w:rsidP="002E241F">
            <w:pPr>
              <w:jc w:val="both"/>
            </w:pPr>
            <w:r>
              <w:t xml:space="preserve">- </w:t>
            </w:r>
          </w:p>
        </w:tc>
      </w:tr>
    </w:tbl>
    <w:p w14:paraId="1F7B1A4B" w14:textId="02D06D7B" w:rsidR="000D30C7" w:rsidRDefault="000D30C7">
      <w:pPr>
        <w:rPr>
          <w:rFonts w:eastAsia="Calibri"/>
        </w:rPr>
      </w:pPr>
    </w:p>
    <w:tbl>
      <w:tblPr>
        <w:tblStyle w:val="Lentelstinklelis"/>
        <w:tblW w:w="0" w:type="auto"/>
        <w:tblLook w:val="04A0" w:firstRow="1" w:lastRow="0" w:firstColumn="1" w:lastColumn="0" w:noHBand="0" w:noVBand="1"/>
      </w:tblPr>
      <w:tblGrid>
        <w:gridCol w:w="846"/>
        <w:gridCol w:w="1843"/>
        <w:gridCol w:w="2409"/>
        <w:gridCol w:w="5387"/>
        <w:gridCol w:w="4075"/>
      </w:tblGrid>
      <w:tr w:rsidR="002E241F" w14:paraId="7401780A" w14:textId="77777777" w:rsidTr="006A2847">
        <w:tc>
          <w:tcPr>
            <w:tcW w:w="846" w:type="dxa"/>
          </w:tcPr>
          <w:p w14:paraId="11594DC4" w14:textId="631E29B0" w:rsidR="002E241F" w:rsidRDefault="002E241F" w:rsidP="002E241F">
            <w:pPr>
              <w:rPr>
                <w:rFonts w:eastAsia="Calibri"/>
              </w:rPr>
            </w:pPr>
            <w:r w:rsidRPr="00C42CFD">
              <w:rPr>
                <w:b/>
                <w:bCs/>
              </w:rPr>
              <w:t>Eil. Nr.</w:t>
            </w:r>
          </w:p>
        </w:tc>
        <w:tc>
          <w:tcPr>
            <w:tcW w:w="1843" w:type="dxa"/>
            <w:vAlign w:val="center"/>
          </w:tcPr>
          <w:p w14:paraId="2A090815" w14:textId="173233E9" w:rsidR="002E241F" w:rsidRDefault="002E241F" w:rsidP="002E241F">
            <w:pPr>
              <w:rPr>
                <w:rFonts w:eastAsia="Calibri"/>
              </w:rPr>
            </w:pPr>
            <w:r w:rsidRPr="00C42CFD">
              <w:rPr>
                <w:b/>
                <w:bCs/>
              </w:rPr>
              <w:t>Įmonės/ Įstaigos pavadinimas</w:t>
            </w:r>
          </w:p>
        </w:tc>
        <w:tc>
          <w:tcPr>
            <w:tcW w:w="2409" w:type="dxa"/>
            <w:vAlign w:val="center"/>
          </w:tcPr>
          <w:p w14:paraId="3787EA17" w14:textId="7BFE257E" w:rsidR="002E241F" w:rsidRDefault="002E241F" w:rsidP="002E241F">
            <w:pPr>
              <w:rPr>
                <w:rFonts w:eastAsia="Calibri"/>
              </w:rPr>
            </w:pPr>
            <w:r w:rsidRPr="00C42CFD">
              <w:rPr>
                <w:b/>
                <w:bCs/>
              </w:rPr>
              <w:t>Vertinama sritis</w:t>
            </w:r>
          </w:p>
        </w:tc>
        <w:tc>
          <w:tcPr>
            <w:tcW w:w="5387" w:type="dxa"/>
            <w:vAlign w:val="center"/>
          </w:tcPr>
          <w:p w14:paraId="742C53BC" w14:textId="5FF14749" w:rsidR="002E241F" w:rsidRDefault="002E241F" w:rsidP="002E241F">
            <w:pPr>
              <w:rPr>
                <w:rFonts w:eastAsia="Calibri"/>
              </w:rPr>
            </w:pPr>
            <w:r w:rsidRPr="00C42CFD">
              <w:rPr>
                <w:b/>
                <w:bCs/>
              </w:rPr>
              <w:t>Nustatyti korupcijos rizikos veiksniai</w:t>
            </w:r>
          </w:p>
        </w:tc>
        <w:tc>
          <w:tcPr>
            <w:tcW w:w="4075" w:type="dxa"/>
            <w:vAlign w:val="center"/>
          </w:tcPr>
          <w:p w14:paraId="63955C44" w14:textId="4648A6BE" w:rsidR="002E241F" w:rsidRDefault="002E241F" w:rsidP="002E241F">
            <w:pPr>
              <w:rPr>
                <w:rFonts w:eastAsia="Calibri"/>
              </w:rPr>
            </w:pPr>
            <w:r w:rsidRPr="00C42CFD">
              <w:rPr>
                <w:b/>
                <w:bCs/>
              </w:rPr>
              <w:t>Korupcijos rizikos mažinimo priemonės</w:t>
            </w:r>
          </w:p>
        </w:tc>
      </w:tr>
      <w:tr w:rsidR="002E241F" w14:paraId="38AC8DED" w14:textId="77777777" w:rsidTr="002E241F">
        <w:tc>
          <w:tcPr>
            <w:tcW w:w="846" w:type="dxa"/>
          </w:tcPr>
          <w:p w14:paraId="77670194" w14:textId="77777777" w:rsidR="002E241F" w:rsidRDefault="002E241F" w:rsidP="002E241F">
            <w:pPr>
              <w:rPr>
                <w:rFonts w:eastAsia="Calibri"/>
              </w:rPr>
            </w:pPr>
          </w:p>
        </w:tc>
        <w:tc>
          <w:tcPr>
            <w:tcW w:w="1843" w:type="dxa"/>
          </w:tcPr>
          <w:p w14:paraId="45B484F9" w14:textId="63469C53" w:rsidR="002E241F" w:rsidRDefault="002E241F" w:rsidP="002E241F">
            <w:pPr>
              <w:rPr>
                <w:rFonts w:eastAsia="Calibri"/>
              </w:rPr>
            </w:pPr>
          </w:p>
        </w:tc>
        <w:tc>
          <w:tcPr>
            <w:tcW w:w="2409" w:type="dxa"/>
          </w:tcPr>
          <w:p w14:paraId="395E2830" w14:textId="26E8031B" w:rsidR="002E241F" w:rsidRDefault="002E241F" w:rsidP="002E241F">
            <w:pPr>
              <w:rPr>
                <w:rFonts w:eastAsia="Calibri"/>
              </w:rPr>
            </w:pPr>
            <w:r w:rsidRPr="00C42CFD">
              <w:t>sprendime dėl viešojo ir privataus sektorių partnerystės projektų įgyvendinimo tikslingumo nurodytų partnerystės projekto sąlygų (toliau – VPSP projektų įgyvendinimo tikslingumo ir pritarimo galutinėms sutarties sąlygoms) srityje.</w:t>
            </w:r>
          </w:p>
        </w:tc>
        <w:tc>
          <w:tcPr>
            <w:tcW w:w="5387" w:type="dxa"/>
          </w:tcPr>
          <w:p w14:paraId="538D193D" w14:textId="77777777" w:rsidR="002E241F" w:rsidRPr="00C42CFD" w:rsidRDefault="002E241F" w:rsidP="00816468">
            <w:pPr>
              <w:autoSpaceDE w:val="0"/>
              <w:autoSpaceDN w:val="0"/>
              <w:adjustRightInd w:val="0"/>
              <w:jc w:val="both"/>
            </w:pPr>
            <w:r w:rsidRPr="00C42CFD">
              <w:t>numatytus korupcijos pasireiškimo kriterijus:</w:t>
            </w:r>
          </w:p>
          <w:p w14:paraId="670E2D4C" w14:textId="77777777" w:rsidR="002E241F" w:rsidRPr="00C42CFD" w:rsidRDefault="002E241F" w:rsidP="00816468">
            <w:pPr>
              <w:autoSpaceDE w:val="0"/>
              <w:autoSpaceDN w:val="0"/>
              <w:adjustRightInd w:val="0"/>
              <w:jc w:val="both"/>
            </w:pPr>
            <w:r w:rsidRPr="00C42CFD">
              <w:rPr>
                <w:b/>
                <w:bCs/>
                <w:i/>
                <w:iCs/>
              </w:rPr>
              <w:t xml:space="preserve">- </w:t>
            </w:r>
            <w:r w:rsidRPr="00C42CFD">
              <w:t>pagrindinės funkcijos yra kontrolės ar priežiūros vykdymas;</w:t>
            </w:r>
          </w:p>
          <w:p w14:paraId="25ECAB48" w14:textId="77777777" w:rsidR="002E241F" w:rsidRPr="00C42CFD" w:rsidRDefault="002E241F" w:rsidP="00816468">
            <w:pPr>
              <w:autoSpaceDE w:val="0"/>
              <w:autoSpaceDN w:val="0"/>
              <w:adjustRightInd w:val="0"/>
              <w:jc w:val="both"/>
            </w:pPr>
            <w:r w:rsidRPr="00C42CFD">
              <w:rPr>
                <w:b/>
                <w:bCs/>
                <w:i/>
                <w:iCs/>
              </w:rPr>
              <w:t xml:space="preserve">- </w:t>
            </w:r>
            <w:r w:rsidRPr="00C42CFD">
              <w:t>daugiausia priima sprendimus, kuriems nereikia kitos valstybės ar savivaldybės įstaigos patvirtinimo. Tačiau taikomos vidaus kontrolės sistemos, jų nuoseklumas ir veiksmingumas leidžia teigti, jog realios didelės korupcijos pasireiškimo tikimybės, teikiant išvadas Savivaldybės tarybai, nėra.</w:t>
            </w:r>
          </w:p>
          <w:p w14:paraId="6C388A35" w14:textId="0373A780" w:rsidR="002E241F" w:rsidRDefault="002E241F" w:rsidP="00816468">
            <w:pPr>
              <w:jc w:val="both"/>
              <w:rPr>
                <w:rFonts w:eastAsia="Calibri"/>
              </w:rPr>
            </w:pPr>
            <w:r w:rsidRPr="00C42CFD">
              <w:t>2. Tarnybos veiklos Savivaldybės tarybai teikiamų išvadų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 srityje, įvertinus Tarnybos veiklos specifiką, Savivaldybės kontrolieriui ir Tarnybai teisės aktais suteiktas kompetencijas, įdiegtas ir taikomas rizikos valdymo procedūras, vidaus kontrolę, realios didelės korupcijos pasireiškimo tikimybės nėra.</w:t>
            </w:r>
          </w:p>
        </w:tc>
        <w:tc>
          <w:tcPr>
            <w:tcW w:w="4075" w:type="dxa"/>
          </w:tcPr>
          <w:p w14:paraId="501B0C1D" w14:textId="77777777" w:rsidR="002E241F" w:rsidRDefault="002E241F" w:rsidP="002E241F">
            <w:pPr>
              <w:rPr>
                <w:rFonts w:eastAsia="Calibri"/>
              </w:rPr>
            </w:pPr>
          </w:p>
        </w:tc>
      </w:tr>
    </w:tbl>
    <w:p w14:paraId="183B5B13" w14:textId="77777777" w:rsidR="00816468" w:rsidRDefault="00816468" w:rsidP="00816468">
      <w:pPr>
        <w:spacing w:line="360" w:lineRule="auto"/>
      </w:pPr>
    </w:p>
    <w:p w14:paraId="3A6AFB49" w14:textId="63DC5F28" w:rsidR="00816468" w:rsidRPr="00B539FE" w:rsidRDefault="00816468" w:rsidP="00816468">
      <w:pPr>
        <w:spacing w:line="360" w:lineRule="auto"/>
      </w:pPr>
      <w:r w:rsidRPr="00B539FE">
        <w:t xml:space="preserve">Užpildė: </w:t>
      </w:r>
    </w:p>
    <w:p w14:paraId="3536E414" w14:textId="0C4960D7" w:rsidR="00816468" w:rsidRDefault="00816468" w:rsidP="00816468">
      <w:pPr>
        <w:spacing w:line="360" w:lineRule="auto"/>
        <w:rPr>
          <w:rFonts w:eastAsia="Calibri"/>
        </w:rPr>
      </w:pPr>
      <w:r w:rsidRPr="00B539FE">
        <w:rPr>
          <w:lang w:eastAsia="lt-LT"/>
        </w:rPr>
        <w:t> </w:t>
      </w:r>
      <w:r w:rsidRPr="00B539FE">
        <w:rPr>
          <w:rFonts w:eastAsia="Calibri"/>
        </w:rPr>
        <w:t xml:space="preserve">Centralizuoto vidaus audito skyriaus vyr. specialistė                       </w:t>
      </w:r>
      <w:r w:rsidRPr="00B539FE">
        <w:rPr>
          <w:rFonts w:eastAsia="Calibri"/>
        </w:rPr>
        <w:tab/>
        <w:t xml:space="preserve">         </w:t>
      </w:r>
      <w:r>
        <w:rPr>
          <w:rFonts w:eastAsia="Calibri"/>
        </w:rPr>
        <w:tab/>
        <w:t xml:space="preserve">     </w:t>
      </w:r>
      <w:r>
        <w:rPr>
          <w:rFonts w:eastAsia="Calibri"/>
        </w:rPr>
        <w:tab/>
      </w:r>
      <w:r>
        <w:rPr>
          <w:rFonts w:eastAsia="Calibri"/>
        </w:rPr>
        <w:tab/>
      </w:r>
      <w:r>
        <w:rPr>
          <w:rFonts w:eastAsia="Calibri"/>
        </w:rPr>
        <w:tab/>
        <w:t xml:space="preserve"> </w:t>
      </w:r>
      <w:r>
        <w:rPr>
          <w:rFonts w:eastAsia="Calibri"/>
        </w:rPr>
        <w:tab/>
      </w:r>
      <w:r>
        <w:rPr>
          <w:rFonts w:eastAsia="Calibri"/>
        </w:rPr>
        <w:tab/>
      </w:r>
      <w:r>
        <w:rPr>
          <w:rFonts w:eastAsia="Calibri"/>
        </w:rPr>
        <w:tab/>
      </w:r>
      <w:r>
        <w:rPr>
          <w:rFonts w:eastAsia="Calibri"/>
        </w:rPr>
        <w:tab/>
        <w:t xml:space="preserve">                                                                                                </w:t>
      </w:r>
      <w:r w:rsidRPr="00B539FE">
        <w:rPr>
          <w:rFonts w:eastAsia="Calibri"/>
        </w:rPr>
        <w:t>Lina Golovko</w:t>
      </w:r>
    </w:p>
    <w:p w14:paraId="1104BD8F" w14:textId="77777777" w:rsidR="002E241F" w:rsidRDefault="002E241F">
      <w:pPr>
        <w:rPr>
          <w:rFonts w:eastAsia="Calibri"/>
        </w:rPr>
      </w:pPr>
    </w:p>
    <w:sectPr w:rsidR="002E241F" w:rsidSect="00F33B7A">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2491" w14:textId="77777777" w:rsidR="00C05AD3" w:rsidRDefault="00C05AD3" w:rsidP="002843F2">
      <w:r>
        <w:separator/>
      </w:r>
    </w:p>
  </w:endnote>
  <w:endnote w:type="continuationSeparator" w:id="0">
    <w:p w14:paraId="7A0F53CD" w14:textId="77777777" w:rsidR="00C05AD3" w:rsidRDefault="00C05AD3" w:rsidP="002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5CCD" w14:textId="77777777" w:rsidR="00C05AD3" w:rsidRDefault="00C05AD3" w:rsidP="002843F2">
      <w:r>
        <w:separator/>
      </w:r>
    </w:p>
  </w:footnote>
  <w:footnote w:type="continuationSeparator" w:id="0">
    <w:p w14:paraId="5F421E0B" w14:textId="77777777" w:rsidR="00C05AD3" w:rsidRDefault="00C05AD3" w:rsidP="00284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70D"/>
    <w:multiLevelType w:val="multilevel"/>
    <w:tmpl w:val="1A34B6B0"/>
    <w:lvl w:ilvl="0">
      <w:start w:val="3"/>
      <w:numFmt w:val="decimal"/>
      <w:lvlText w:val="%1."/>
      <w:lvlJc w:val="left"/>
      <w:pPr>
        <w:ind w:left="720" w:hanging="360"/>
      </w:pPr>
      <w:rPr>
        <w:rFonts w:hint="default"/>
      </w:rPr>
    </w:lvl>
    <w:lvl w:ilvl="1">
      <w:start w:val="1"/>
      <w:numFmt w:val="decimal"/>
      <w:isLgl/>
      <w:lvlText w:val="%1.%2."/>
      <w:lvlJc w:val="left"/>
      <w:pPr>
        <w:ind w:left="3330" w:hanging="360"/>
      </w:pPr>
      <w:rPr>
        <w:rFonts w:hint="default"/>
      </w:rPr>
    </w:lvl>
    <w:lvl w:ilvl="2">
      <w:start w:val="1"/>
      <w:numFmt w:val="decimal"/>
      <w:isLgl/>
      <w:lvlText w:val="%1.%2.%3."/>
      <w:lvlJc w:val="left"/>
      <w:pPr>
        <w:ind w:left="6300" w:hanging="720"/>
      </w:pPr>
      <w:rPr>
        <w:rFonts w:hint="default"/>
      </w:rPr>
    </w:lvl>
    <w:lvl w:ilvl="3">
      <w:start w:val="1"/>
      <w:numFmt w:val="decimal"/>
      <w:isLgl/>
      <w:lvlText w:val="%1.%2.%3.%4."/>
      <w:lvlJc w:val="left"/>
      <w:pPr>
        <w:ind w:left="8910" w:hanging="720"/>
      </w:pPr>
      <w:rPr>
        <w:rFonts w:hint="default"/>
      </w:rPr>
    </w:lvl>
    <w:lvl w:ilvl="4">
      <w:start w:val="1"/>
      <w:numFmt w:val="decimal"/>
      <w:isLgl/>
      <w:lvlText w:val="%1.%2.%3.%4.%5."/>
      <w:lvlJc w:val="left"/>
      <w:pPr>
        <w:ind w:left="11880" w:hanging="1080"/>
      </w:pPr>
      <w:rPr>
        <w:rFonts w:hint="default"/>
      </w:rPr>
    </w:lvl>
    <w:lvl w:ilvl="5">
      <w:start w:val="1"/>
      <w:numFmt w:val="decimal"/>
      <w:isLgl/>
      <w:lvlText w:val="%1.%2.%3.%4.%5.%6."/>
      <w:lvlJc w:val="left"/>
      <w:pPr>
        <w:ind w:left="14490" w:hanging="1080"/>
      </w:pPr>
      <w:rPr>
        <w:rFonts w:hint="default"/>
      </w:rPr>
    </w:lvl>
    <w:lvl w:ilvl="6">
      <w:start w:val="1"/>
      <w:numFmt w:val="decimal"/>
      <w:isLgl/>
      <w:lvlText w:val="%1.%2.%3.%4.%5.%6.%7."/>
      <w:lvlJc w:val="left"/>
      <w:pPr>
        <w:ind w:left="17460" w:hanging="1440"/>
      </w:pPr>
      <w:rPr>
        <w:rFonts w:hint="default"/>
      </w:rPr>
    </w:lvl>
    <w:lvl w:ilvl="7">
      <w:start w:val="1"/>
      <w:numFmt w:val="decimal"/>
      <w:isLgl/>
      <w:lvlText w:val="%1.%2.%3.%4.%5.%6.%7.%8."/>
      <w:lvlJc w:val="left"/>
      <w:pPr>
        <w:ind w:left="20070" w:hanging="1440"/>
      </w:pPr>
      <w:rPr>
        <w:rFonts w:hint="default"/>
      </w:rPr>
    </w:lvl>
    <w:lvl w:ilvl="8">
      <w:start w:val="1"/>
      <w:numFmt w:val="decimal"/>
      <w:isLgl/>
      <w:lvlText w:val="%1.%2.%3.%4.%5.%6.%7.%8.%9."/>
      <w:lvlJc w:val="left"/>
      <w:pPr>
        <w:ind w:left="23040" w:hanging="1800"/>
      </w:pPr>
      <w:rPr>
        <w:rFonts w:hint="default"/>
      </w:rPr>
    </w:lvl>
  </w:abstractNum>
  <w:abstractNum w:abstractNumId="1" w15:restartNumberingAfterBreak="0">
    <w:nsid w:val="027A3840"/>
    <w:multiLevelType w:val="hybridMultilevel"/>
    <w:tmpl w:val="51E63A1E"/>
    <w:lvl w:ilvl="0" w:tplc="5F70CB1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6F61A8"/>
    <w:multiLevelType w:val="hybridMultilevel"/>
    <w:tmpl w:val="B066D918"/>
    <w:lvl w:ilvl="0" w:tplc="5F70CB1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D94CD7"/>
    <w:multiLevelType w:val="hybridMultilevel"/>
    <w:tmpl w:val="E70A100C"/>
    <w:lvl w:ilvl="0" w:tplc="E276608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E05830"/>
    <w:multiLevelType w:val="hybridMultilevel"/>
    <w:tmpl w:val="2B2EE10A"/>
    <w:lvl w:ilvl="0" w:tplc="5F0CB0EE">
      <w:start w:val="1"/>
      <w:numFmt w:val="decimal"/>
      <w:lvlText w:val="%1."/>
      <w:lvlJc w:val="left"/>
      <w:pPr>
        <w:ind w:left="1170" w:hanging="360"/>
      </w:pPr>
    </w:lvl>
    <w:lvl w:ilvl="1" w:tplc="04270019">
      <w:start w:val="1"/>
      <w:numFmt w:val="lowerLetter"/>
      <w:lvlText w:val="%2."/>
      <w:lvlJc w:val="left"/>
      <w:pPr>
        <w:ind w:left="1890" w:hanging="360"/>
      </w:pPr>
    </w:lvl>
    <w:lvl w:ilvl="2" w:tplc="0427001B">
      <w:start w:val="1"/>
      <w:numFmt w:val="lowerRoman"/>
      <w:lvlText w:val="%3."/>
      <w:lvlJc w:val="right"/>
      <w:pPr>
        <w:ind w:left="2610" w:hanging="180"/>
      </w:pPr>
    </w:lvl>
    <w:lvl w:ilvl="3" w:tplc="0427000F">
      <w:start w:val="1"/>
      <w:numFmt w:val="decimal"/>
      <w:lvlText w:val="%4."/>
      <w:lvlJc w:val="left"/>
      <w:pPr>
        <w:ind w:left="3330" w:hanging="360"/>
      </w:pPr>
    </w:lvl>
    <w:lvl w:ilvl="4" w:tplc="04270019">
      <w:start w:val="1"/>
      <w:numFmt w:val="lowerLetter"/>
      <w:lvlText w:val="%5."/>
      <w:lvlJc w:val="left"/>
      <w:pPr>
        <w:ind w:left="4050" w:hanging="360"/>
      </w:pPr>
    </w:lvl>
    <w:lvl w:ilvl="5" w:tplc="0427001B">
      <w:start w:val="1"/>
      <w:numFmt w:val="lowerRoman"/>
      <w:lvlText w:val="%6."/>
      <w:lvlJc w:val="right"/>
      <w:pPr>
        <w:ind w:left="4770" w:hanging="180"/>
      </w:pPr>
    </w:lvl>
    <w:lvl w:ilvl="6" w:tplc="0427000F">
      <w:start w:val="1"/>
      <w:numFmt w:val="decimal"/>
      <w:lvlText w:val="%7."/>
      <w:lvlJc w:val="left"/>
      <w:pPr>
        <w:ind w:left="5490" w:hanging="360"/>
      </w:pPr>
    </w:lvl>
    <w:lvl w:ilvl="7" w:tplc="04270019">
      <w:start w:val="1"/>
      <w:numFmt w:val="lowerLetter"/>
      <w:lvlText w:val="%8."/>
      <w:lvlJc w:val="left"/>
      <w:pPr>
        <w:ind w:left="6210" w:hanging="360"/>
      </w:pPr>
    </w:lvl>
    <w:lvl w:ilvl="8" w:tplc="0427001B">
      <w:start w:val="1"/>
      <w:numFmt w:val="lowerRoman"/>
      <w:lvlText w:val="%9."/>
      <w:lvlJc w:val="right"/>
      <w:pPr>
        <w:ind w:left="6930" w:hanging="180"/>
      </w:pPr>
    </w:lvl>
  </w:abstractNum>
  <w:abstractNum w:abstractNumId="5" w15:restartNumberingAfterBreak="0">
    <w:nsid w:val="1631180F"/>
    <w:multiLevelType w:val="hybridMultilevel"/>
    <w:tmpl w:val="99EA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D47C8"/>
    <w:multiLevelType w:val="hybridMultilevel"/>
    <w:tmpl w:val="A2F293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0161C3"/>
    <w:multiLevelType w:val="hybridMultilevel"/>
    <w:tmpl w:val="75388B14"/>
    <w:lvl w:ilvl="0" w:tplc="9790D32A">
      <w:start w:val="1"/>
      <w:numFmt w:val="decimal"/>
      <w:lvlText w:val="%1."/>
      <w:lvlJc w:val="left"/>
      <w:pPr>
        <w:ind w:left="1185" w:hanging="375"/>
      </w:pPr>
    </w:lvl>
    <w:lvl w:ilvl="1" w:tplc="04270019">
      <w:start w:val="1"/>
      <w:numFmt w:val="lowerLetter"/>
      <w:lvlText w:val="%2."/>
      <w:lvlJc w:val="left"/>
      <w:pPr>
        <w:ind w:left="1890" w:hanging="360"/>
      </w:pPr>
    </w:lvl>
    <w:lvl w:ilvl="2" w:tplc="0427001B">
      <w:start w:val="1"/>
      <w:numFmt w:val="lowerRoman"/>
      <w:lvlText w:val="%3."/>
      <w:lvlJc w:val="right"/>
      <w:pPr>
        <w:ind w:left="2610" w:hanging="180"/>
      </w:pPr>
    </w:lvl>
    <w:lvl w:ilvl="3" w:tplc="0427000F">
      <w:start w:val="1"/>
      <w:numFmt w:val="decimal"/>
      <w:lvlText w:val="%4."/>
      <w:lvlJc w:val="left"/>
      <w:pPr>
        <w:ind w:left="3330" w:hanging="360"/>
      </w:pPr>
    </w:lvl>
    <w:lvl w:ilvl="4" w:tplc="04270019">
      <w:start w:val="1"/>
      <w:numFmt w:val="lowerLetter"/>
      <w:lvlText w:val="%5."/>
      <w:lvlJc w:val="left"/>
      <w:pPr>
        <w:ind w:left="4050" w:hanging="360"/>
      </w:pPr>
    </w:lvl>
    <w:lvl w:ilvl="5" w:tplc="0427001B">
      <w:start w:val="1"/>
      <w:numFmt w:val="lowerRoman"/>
      <w:lvlText w:val="%6."/>
      <w:lvlJc w:val="right"/>
      <w:pPr>
        <w:ind w:left="4770" w:hanging="180"/>
      </w:pPr>
    </w:lvl>
    <w:lvl w:ilvl="6" w:tplc="0427000F">
      <w:start w:val="1"/>
      <w:numFmt w:val="decimal"/>
      <w:lvlText w:val="%7."/>
      <w:lvlJc w:val="left"/>
      <w:pPr>
        <w:ind w:left="5490" w:hanging="360"/>
      </w:pPr>
    </w:lvl>
    <w:lvl w:ilvl="7" w:tplc="04270019">
      <w:start w:val="1"/>
      <w:numFmt w:val="lowerLetter"/>
      <w:lvlText w:val="%8."/>
      <w:lvlJc w:val="left"/>
      <w:pPr>
        <w:ind w:left="6210" w:hanging="360"/>
      </w:pPr>
    </w:lvl>
    <w:lvl w:ilvl="8" w:tplc="0427001B">
      <w:start w:val="1"/>
      <w:numFmt w:val="lowerRoman"/>
      <w:lvlText w:val="%9."/>
      <w:lvlJc w:val="right"/>
      <w:pPr>
        <w:ind w:left="6930" w:hanging="180"/>
      </w:pPr>
    </w:lvl>
  </w:abstractNum>
  <w:abstractNum w:abstractNumId="8" w15:restartNumberingAfterBreak="0">
    <w:nsid w:val="260F4C94"/>
    <w:multiLevelType w:val="hybridMultilevel"/>
    <w:tmpl w:val="22F688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289D3908"/>
    <w:multiLevelType w:val="hybridMultilevel"/>
    <w:tmpl w:val="E9C613E2"/>
    <w:lvl w:ilvl="0" w:tplc="99CEFFC6">
      <w:start w:val="1"/>
      <w:numFmt w:val="decimal"/>
      <w:lvlText w:val="%1."/>
      <w:lvlJc w:val="left"/>
      <w:pPr>
        <w:ind w:left="1170" w:hanging="360"/>
      </w:pPr>
    </w:lvl>
    <w:lvl w:ilvl="1" w:tplc="04270019">
      <w:start w:val="1"/>
      <w:numFmt w:val="lowerLetter"/>
      <w:lvlText w:val="%2."/>
      <w:lvlJc w:val="left"/>
      <w:pPr>
        <w:ind w:left="1890" w:hanging="360"/>
      </w:pPr>
    </w:lvl>
    <w:lvl w:ilvl="2" w:tplc="0427001B">
      <w:start w:val="1"/>
      <w:numFmt w:val="lowerRoman"/>
      <w:lvlText w:val="%3."/>
      <w:lvlJc w:val="right"/>
      <w:pPr>
        <w:ind w:left="2610" w:hanging="180"/>
      </w:pPr>
    </w:lvl>
    <w:lvl w:ilvl="3" w:tplc="0427000F">
      <w:start w:val="1"/>
      <w:numFmt w:val="decimal"/>
      <w:lvlText w:val="%4."/>
      <w:lvlJc w:val="left"/>
      <w:pPr>
        <w:ind w:left="3330" w:hanging="360"/>
      </w:pPr>
    </w:lvl>
    <w:lvl w:ilvl="4" w:tplc="04270019">
      <w:start w:val="1"/>
      <w:numFmt w:val="lowerLetter"/>
      <w:lvlText w:val="%5."/>
      <w:lvlJc w:val="left"/>
      <w:pPr>
        <w:ind w:left="4050" w:hanging="360"/>
      </w:pPr>
    </w:lvl>
    <w:lvl w:ilvl="5" w:tplc="0427001B">
      <w:start w:val="1"/>
      <w:numFmt w:val="lowerRoman"/>
      <w:lvlText w:val="%6."/>
      <w:lvlJc w:val="right"/>
      <w:pPr>
        <w:ind w:left="4770" w:hanging="180"/>
      </w:pPr>
    </w:lvl>
    <w:lvl w:ilvl="6" w:tplc="0427000F">
      <w:start w:val="1"/>
      <w:numFmt w:val="decimal"/>
      <w:lvlText w:val="%7."/>
      <w:lvlJc w:val="left"/>
      <w:pPr>
        <w:ind w:left="5490" w:hanging="360"/>
      </w:pPr>
    </w:lvl>
    <w:lvl w:ilvl="7" w:tplc="04270019">
      <w:start w:val="1"/>
      <w:numFmt w:val="lowerLetter"/>
      <w:lvlText w:val="%8."/>
      <w:lvlJc w:val="left"/>
      <w:pPr>
        <w:ind w:left="6210" w:hanging="360"/>
      </w:pPr>
    </w:lvl>
    <w:lvl w:ilvl="8" w:tplc="0427001B">
      <w:start w:val="1"/>
      <w:numFmt w:val="lowerRoman"/>
      <w:lvlText w:val="%9."/>
      <w:lvlJc w:val="right"/>
      <w:pPr>
        <w:ind w:left="6930" w:hanging="180"/>
      </w:pPr>
    </w:lvl>
  </w:abstractNum>
  <w:abstractNum w:abstractNumId="10" w15:restartNumberingAfterBreak="0">
    <w:nsid w:val="2D67131D"/>
    <w:multiLevelType w:val="multilevel"/>
    <w:tmpl w:val="9B56C0E4"/>
    <w:lvl w:ilvl="0">
      <w:start w:val="1"/>
      <w:numFmt w:val="decimal"/>
      <w:lvlText w:val="%1."/>
      <w:lvlJc w:val="left"/>
      <w:pPr>
        <w:ind w:left="1070" w:hanging="360"/>
      </w:pPr>
    </w:lvl>
    <w:lvl w:ilvl="1">
      <w:start w:val="2"/>
      <w:numFmt w:val="decimal"/>
      <w:isLgl/>
      <w:lvlText w:val="%1.%2."/>
      <w:lvlJc w:val="left"/>
      <w:pPr>
        <w:ind w:left="1211" w:hanging="360"/>
      </w:pPr>
      <w:rPr>
        <w:rFonts w:cstheme="minorBidi"/>
        <w:b/>
        <w:i/>
      </w:rPr>
    </w:lvl>
    <w:lvl w:ilvl="2">
      <w:start w:val="1"/>
      <w:numFmt w:val="decimal"/>
      <w:isLgl/>
      <w:lvlText w:val="%1.%2.%3."/>
      <w:lvlJc w:val="left"/>
      <w:pPr>
        <w:ind w:left="1612" w:hanging="720"/>
      </w:pPr>
      <w:rPr>
        <w:rFonts w:cstheme="minorBidi"/>
        <w:b/>
        <w:i/>
      </w:rPr>
    </w:lvl>
    <w:lvl w:ilvl="3">
      <w:start w:val="1"/>
      <w:numFmt w:val="decimal"/>
      <w:isLgl/>
      <w:lvlText w:val="%1.%2.%3.%4."/>
      <w:lvlJc w:val="left"/>
      <w:pPr>
        <w:ind w:left="1653" w:hanging="720"/>
      </w:pPr>
      <w:rPr>
        <w:rFonts w:cstheme="minorBidi"/>
        <w:b/>
        <w:i/>
      </w:rPr>
    </w:lvl>
    <w:lvl w:ilvl="4">
      <w:start w:val="1"/>
      <w:numFmt w:val="decimal"/>
      <w:isLgl/>
      <w:lvlText w:val="%1.%2.%3.%4.%5."/>
      <w:lvlJc w:val="left"/>
      <w:pPr>
        <w:ind w:left="2054" w:hanging="1080"/>
      </w:pPr>
      <w:rPr>
        <w:rFonts w:cstheme="minorBidi"/>
        <w:b/>
        <w:i/>
      </w:rPr>
    </w:lvl>
    <w:lvl w:ilvl="5">
      <w:start w:val="1"/>
      <w:numFmt w:val="decimal"/>
      <w:isLgl/>
      <w:lvlText w:val="%1.%2.%3.%4.%5.%6."/>
      <w:lvlJc w:val="left"/>
      <w:pPr>
        <w:ind w:left="2095" w:hanging="1080"/>
      </w:pPr>
      <w:rPr>
        <w:rFonts w:cstheme="minorBidi"/>
        <w:b/>
        <w:i/>
      </w:rPr>
    </w:lvl>
    <w:lvl w:ilvl="6">
      <w:start w:val="1"/>
      <w:numFmt w:val="decimal"/>
      <w:isLgl/>
      <w:lvlText w:val="%1.%2.%3.%4.%5.%6.%7."/>
      <w:lvlJc w:val="left"/>
      <w:pPr>
        <w:ind w:left="2496" w:hanging="1440"/>
      </w:pPr>
      <w:rPr>
        <w:rFonts w:cstheme="minorBidi"/>
        <w:b/>
        <w:i/>
      </w:rPr>
    </w:lvl>
    <w:lvl w:ilvl="7">
      <w:start w:val="1"/>
      <w:numFmt w:val="decimal"/>
      <w:isLgl/>
      <w:lvlText w:val="%1.%2.%3.%4.%5.%6.%7.%8."/>
      <w:lvlJc w:val="left"/>
      <w:pPr>
        <w:ind w:left="2537" w:hanging="1440"/>
      </w:pPr>
      <w:rPr>
        <w:rFonts w:cstheme="minorBidi"/>
        <w:b/>
        <w:i/>
      </w:rPr>
    </w:lvl>
    <w:lvl w:ilvl="8">
      <w:start w:val="1"/>
      <w:numFmt w:val="decimal"/>
      <w:isLgl/>
      <w:lvlText w:val="%1.%2.%3.%4.%5.%6.%7.%8.%9."/>
      <w:lvlJc w:val="left"/>
      <w:pPr>
        <w:ind w:left="2938" w:hanging="1800"/>
      </w:pPr>
      <w:rPr>
        <w:rFonts w:cstheme="minorBidi"/>
        <w:b/>
        <w:i/>
      </w:rPr>
    </w:lvl>
  </w:abstractNum>
  <w:abstractNum w:abstractNumId="11" w15:restartNumberingAfterBreak="0">
    <w:nsid w:val="387D4CF9"/>
    <w:multiLevelType w:val="hybridMultilevel"/>
    <w:tmpl w:val="5E16F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7A69BE"/>
    <w:multiLevelType w:val="hybridMultilevel"/>
    <w:tmpl w:val="B5200D9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327893"/>
    <w:multiLevelType w:val="hybridMultilevel"/>
    <w:tmpl w:val="2E56FC6C"/>
    <w:lvl w:ilvl="0" w:tplc="8794CDF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767744"/>
    <w:multiLevelType w:val="hybridMultilevel"/>
    <w:tmpl w:val="763681A4"/>
    <w:lvl w:ilvl="0" w:tplc="D5C81A5C">
      <w:numFmt w:val="bullet"/>
      <w:lvlText w:val="-"/>
      <w:lvlJc w:val="left"/>
      <w:pPr>
        <w:ind w:left="107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BF6762"/>
    <w:multiLevelType w:val="hybridMultilevel"/>
    <w:tmpl w:val="DE1C8BAE"/>
    <w:lvl w:ilvl="0" w:tplc="5F70CB1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621FCD"/>
    <w:multiLevelType w:val="hybridMultilevel"/>
    <w:tmpl w:val="96023576"/>
    <w:lvl w:ilvl="0" w:tplc="737609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BE4FFB"/>
    <w:multiLevelType w:val="hybridMultilevel"/>
    <w:tmpl w:val="103414F0"/>
    <w:lvl w:ilvl="0" w:tplc="BD666EB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8C4F25"/>
    <w:multiLevelType w:val="multilevel"/>
    <w:tmpl w:val="CC7AF590"/>
    <w:lvl w:ilvl="0">
      <w:start w:val="1"/>
      <w:numFmt w:val="decimal"/>
      <w:lvlText w:val="%1."/>
      <w:lvlJc w:val="left"/>
      <w:pPr>
        <w:ind w:left="720" w:hanging="360"/>
      </w:pPr>
      <w:rPr>
        <w:rFonts w:hint="default"/>
      </w:rPr>
    </w:lvl>
    <w:lvl w:ilvl="1">
      <w:start w:val="1"/>
      <w:numFmt w:val="decimal"/>
      <w:isLgl/>
      <w:lvlText w:val="%1.%2."/>
      <w:lvlJc w:val="left"/>
      <w:pPr>
        <w:ind w:left="3330" w:hanging="360"/>
      </w:pPr>
      <w:rPr>
        <w:rFonts w:hint="default"/>
      </w:rPr>
    </w:lvl>
    <w:lvl w:ilvl="2">
      <w:start w:val="1"/>
      <w:numFmt w:val="decimal"/>
      <w:isLgl/>
      <w:lvlText w:val="%1.%2.%3."/>
      <w:lvlJc w:val="left"/>
      <w:pPr>
        <w:ind w:left="6300" w:hanging="720"/>
      </w:pPr>
      <w:rPr>
        <w:rFonts w:hint="default"/>
      </w:rPr>
    </w:lvl>
    <w:lvl w:ilvl="3">
      <w:start w:val="1"/>
      <w:numFmt w:val="decimal"/>
      <w:isLgl/>
      <w:lvlText w:val="%1.%2.%3.%4."/>
      <w:lvlJc w:val="left"/>
      <w:pPr>
        <w:ind w:left="8910" w:hanging="720"/>
      </w:pPr>
      <w:rPr>
        <w:rFonts w:hint="default"/>
      </w:rPr>
    </w:lvl>
    <w:lvl w:ilvl="4">
      <w:start w:val="1"/>
      <w:numFmt w:val="decimal"/>
      <w:isLgl/>
      <w:lvlText w:val="%1.%2.%3.%4.%5."/>
      <w:lvlJc w:val="left"/>
      <w:pPr>
        <w:ind w:left="11880" w:hanging="1080"/>
      </w:pPr>
      <w:rPr>
        <w:rFonts w:hint="default"/>
      </w:rPr>
    </w:lvl>
    <w:lvl w:ilvl="5">
      <w:start w:val="1"/>
      <w:numFmt w:val="decimal"/>
      <w:isLgl/>
      <w:lvlText w:val="%1.%2.%3.%4.%5.%6."/>
      <w:lvlJc w:val="left"/>
      <w:pPr>
        <w:ind w:left="14490" w:hanging="1080"/>
      </w:pPr>
      <w:rPr>
        <w:rFonts w:hint="default"/>
      </w:rPr>
    </w:lvl>
    <w:lvl w:ilvl="6">
      <w:start w:val="1"/>
      <w:numFmt w:val="decimal"/>
      <w:isLgl/>
      <w:lvlText w:val="%1.%2.%3.%4.%5.%6.%7."/>
      <w:lvlJc w:val="left"/>
      <w:pPr>
        <w:ind w:left="17460" w:hanging="1440"/>
      </w:pPr>
      <w:rPr>
        <w:rFonts w:hint="default"/>
      </w:rPr>
    </w:lvl>
    <w:lvl w:ilvl="7">
      <w:start w:val="1"/>
      <w:numFmt w:val="decimal"/>
      <w:isLgl/>
      <w:lvlText w:val="%1.%2.%3.%4.%5.%6.%7.%8."/>
      <w:lvlJc w:val="left"/>
      <w:pPr>
        <w:ind w:left="20070" w:hanging="1440"/>
      </w:pPr>
      <w:rPr>
        <w:rFonts w:hint="default"/>
      </w:rPr>
    </w:lvl>
    <w:lvl w:ilvl="8">
      <w:start w:val="1"/>
      <w:numFmt w:val="decimal"/>
      <w:isLgl/>
      <w:lvlText w:val="%1.%2.%3.%4.%5.%6.%7.%8.%9."/>
      <w:lvlJc w:val="left"/>
      <w:pPr>
        <w:ind w:left="23040" w:hanging="1800"/>
      </w:pPr>
      <w:rPr>
        <w:rFonts w:hint="default"/>
      </w:rPr>
    </w:lvl>
  </w:abstractNum>
  <w:abstractNum w:abstractNumId="19" w15:restartNumberingAfterBreak="0">
    <w:nsid w:val="564D22F5"/>
    <w:multiLevelType w:val="hybridMultilevel"/>
    <w:tmpl w:val="86D63210"/>
    <w:lvl w:ilvl="0" w:tplc="D57EE57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B718A8"/>
    <w:multiLevelType w:val="multilevel"/>
    <w:tmpl w:val="978E967C"/>
    <w:lvl w:ilvl="0">
      <w:start w:val="1"/>
      <w:numFmt w:val="decimal"/>
      <w:lvlText w:val="%1."/>
      <w:lvlJc w:val="left"/>
      <w:pPr>
        <w:ind w:left="3840" w:hanging="360"/>
      </w:pPr>
    </w:lvl>
    <w:lvl w:ilvl="1">
      <w:start w:val="2"/>
      <w:numFmt w:val="decimal"/>
      <w:isLgl/>
      <w:lvlText w:val="%1.%2"/>
      <w:lvlJc w:val="left"/>
      <w:pPr>
        <w:ind w:left="3840" w:hanging="360"/>
      </w:pPr>
      <w:rPr>
        <w:rFonts w:hint="default"/>
      </w:rPr>
    </w:lvl>
    <w:lvl w:ilvl="2">
      <w:start w:val="1"/>
      <w:numFmt w:val="decimal"/>
      <w:isLgl/>
      <w:lvlText w:val="%1.%2.%3"/>
      <w:lvlJc w:val="left"/>
      <w:pPr>
        <w:ind w:left="4200" w:hanging="720"/>
      </w:pPr>
      <w:rPr>
        <w:rFonts w:hint="default"/>
      </w:rPr>
    </w:lvl>
    <w:lvl w:ilvl="3">
      <w:start w:val="1"/>
      <w:numFmt w:val="decimal"/>
      <w:isLgl/>
      <w:lvlText w:val="%1.%2.%3.%4"/>
      <w:lvlJc w:val="left"/>
      <w:pPr>
        <w:ind w:left="420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4560" w:hanging="1080"/>
      </w:pPr>
      <w:rPr>
        <w:rFonts w:hint="default"/>
      </w:rPr>
    </w:lvl>
    <w:lvl w:ilvl="6">
      <w:start w:val="1"/>
      <w:numFmt w:val="decimal"/>
      <w:isLgl/>
      <w:lvlText w:val="%1.%2.%3.%4.%5.%6.%7"/>
      <w:lvlJc w:val="left"/>
      <w:pPr>
        <w:ind w:left="4920" w:hanging="1440"/>
      </w:pPr>
      <w:rPr>
        <w:rFonts w:hint="default"/>
      </w:rPr>
    </w:lvl>
    <w:lvl w:ilvl="7">
      <w:start w:val="1"/>
      <w:numFmt w:val="decimal"/>
      <w:isLgl/>
      <w:lvlText w:val="%1.%2.%3.%4.%5.%6.%7.%8"/>
      <w:lvlJc w:val="left"/>
      <w:pPr>
        <w:ind w:left="4920" w:hanging="1440"/>
      </w:pPr>
      <w:rPr>
        <w:rFonts w:hint="default"/>
      </w:rPr>
    </w:lvl>
    <w:lvl w:ilvl="8">
      <w:start w:val="1"/>
      <w:numFmt w:val="decimal"/>
      <w:isLgl/>
      <w:lvlText w:val="%1.%2.%3.%4.%5.%6.%7.%8.%9"/>
      <w:lvlJc w:val="left"/>
      <w:pPr>
        <w:ind w:left="5280" w:hanging="1800"/>
      </w:pPr>
      <w:rPr>
        <w:rFonts w:hint="default"/>
      </w:rPr>
    </w:lvl>
  </w:abstractNum>
  <w:abstractNum w:abstractNumId="21" w15:restartNumberingAfterBreak="0">
    <w:nsid w:val="5BAD347C"/>
    <w:multiLevelType w:val="hybridMultilevel"/>
    <w:tmpl w:val="1D26B7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7D272C"/>
    <w:multiLevelType w:val="hybridMultilevel"/>
    <w:tmpl w:val="0902D192"/>
    <w:lvl w:ilvl="0" w:tplc="5F70CB1C">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AE521E0"/>
    <w:multiLevelType w:val="multilevel"/>
    <w:tmpl w:val="5894A5B8"/>
    <w:lvl w:ilvl="0">
      <w:start w:val="1"/>
      <w:numFmt w:val="upperRoman"/>
      <w:lvlText w:val="%1."/>
      <w:lvlJc w:val="left"/>
      <w:pPr>
        <w:ind w:left="4265" w:hanging="720"/>
      </w:pPr>
      <w:rPr>
        <w:rFonts w:hint="default"/>
      </w:rPr>
    </w:lvl>
    <w:lvl w:ilvl="1">
      <w:start w:val="2"/>
      <w:numFmt w:val="decimal"/>
      <w:isLgl/>
      <w:lvlText w:val="%1.%2."/>
      <w:lvlJc w:val="left"/>
      <w:pPr>
        <w:ind w:left="3905" w:hanging="36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4" w15:restartNumberingAfterBreak="0">
    <w:nsid w:val="71AE0115"/>
    <w:multiLevelType w:val="hybridMultilevel"/>
    <w:tmpl w:val="822401B8"/>
    <w:lvl w:ilvl="0" w:tplc="5F70CB1C">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81B02DC"/>
    <w:multiLevelType w:val="hybridMultilevel"/>
    <w:tmpl w:val="1130A0A2"/>
    <w:lvl w:ilvl="0" w:tplc="0D54C84A">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8675B28"/>
    <w:multiLevelType w:val="hybridMultilevel"/>
    <w:tmpl w:val="BF129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89001BA"/>
    <w:multiLevelType w:val="hybridMultilevel"/>
    <w:tmpl w:val="8638A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4"/>
  </w:num>
  <w:num w:numId="7">
    <w:abstractNumId w:val="26"/>
  </w:num>
  <w:num w:numId="8">
    <w:abstractNumId w:val="3"/>
  </w:num>
  <w:num w:numId="9">
    <w:abstractNumId w:val="20"/>
  </w:num>
  <w:num w:numId="10">
    <w:abstractNumId w:val="12"/>
  </w:num>
  <w:num w:numId="11">
    <w:abstractNumId w:val="8"/>
  </w:num>
  <w:num w:numId="12">
    <w:abstractNumId w:val="2"/>
  </w:num>
  <w:num w:numId="13">
    <w:abstractNumId w:val="1"/>
  </w:num>
  <w:num w:numId="14">
    <w:abstractNumId w:val="24"/>
  </w:num>
  <w:num w:numId="15">
    <w:abstractNumId w:val="22"/>
  </w:num>
  <w:num w:numId="16">
    <w:abstractNumId w:val="23"/>
  </w:num>
  <w:num w:numId="17">
    <w:abstractNumId w:val="25"/>
  </w:num>
  <w:num w:numId="18">
    <w:abstractNumId w:val="15"/>
  </w:num>
  <w:num w:numId="19">
    <w:abstractNumId w:val="14"/>
  </w:num>
  <w:num w:numId="20">
    <w:abstractNumId w:val="11"/>
  </w:num>
  <w:num w:numId="21">
    <w:abstractNumId w:val="27"/>
  </w:num>
  <w:num w:numId="22">
    <w:abstractNumId w:val="13"/>
  </w:num>
  <w:num w:numId="23">
    <w:abstractNumId w:val="16"/>
  </w:num>
  <w:num w:numId="24">
    <w:abstractNumId w:val="17"/>
  </w:num>
  <w:num w:numId="25">
    <w:abstractNumId w:val="21"/>
  </w:num>
  <w:num w:numId="26">
    <w:abstractNumId w:val="19"/>
  </w:num>
  <w:num w:numId="27">
    <w:abstractNumId w:val="5"/>
  </w:num>
  <w:num w:numId="28">
    <w:abstractNumId w:val="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4"/>
    <w:rsid w:val="000042F0"/>
    <w:rsid w:val="000133B1"/>
    <w:rsid w:val="00015C40"/>
    <w:rsid w:val="000252CD"/>
    <w:rsid w:val="000413E1"/>
    <w:rsid w:val="000753A6"/>
    <w:rsid w:val="000758D0"/>
    <w:rsid w:val="00090F4D"/>
    <w:rsid w:val="0009630F"/>
    <w:rsid w:val="000A37B1"/>
    <w:rsid w:val="000D30C7"/>
    <w:rsid w:val="000D7B86"/>
    <w:rsid w:val="000D7D6C"/>
    <w:rsid w:val="000E2F8C"/>
    <w:rsid w:val="000E5955"/>
    <w:rsid w:val="0010382B"/>
    <w:rsid w:val="00105E54"/>
    <w:rsid w:val="00125BD5"/>
    <w:rsid w:val="0012657C"/>
    <w:rsid w:val="00143221"/>
    <w:rsid w:val="00167E8E"/>
    <w:rsid w:val="001B7485"/>
    <w:rsid w:val="001C5B85"/>
    <w:rsid w:val="001E2A02"/>
    <w:rsid w:val="001F710A"/>
    <w:rsid w:val="0020482D"/>
    <w:rsid w:val="002248CB"/>
    <w:rsid w:val="00226546"/>
    <w:rsid w:val="002276DF"/>
    <w:rsid w:val="002843F2"/>
    <w:rsid w:val="002900BA"/>
    <w:rsid w:val="002964DF"/>
    <w:rsid w:val="002A23BD"/>
    <w:rsid w:val="002B1E20"/>
    <w:rsid w:val="002C4321"/>
    <w:rsid w:val="002E241F"/>
    <w:rsid w:val="002E6383"/>
    <w:rsid w:val="00314B9B"/>
    <w:rsid w:val="00322489"/>
    <w:rsid w:val="003265EE"/>
    <w:rsid w:val="00330380"/>
    <w:rsid w:val="003414FA"/>
    <w:rsid w:val="00342960"/>
    <w:rsid w:val="00351ED6"/>
    <w:rsid w:val="00354FD2"/>
    <w:rsid w:val="00366FC6"/>
    <w:rsid w:val="00371C86"/>
    <w:rsid w:val="003777D6"/>
    <w:rsid w:val="003875EC"/>
    <w:rsid w:val="00387F57"/>
    <w:rsid w:val="00397EAD"/>
    <w:rsid w:val="003E6538"/>
    <w:rsid w:val="004009F4"/>
    <w:rsid w:val="00401E17"/>
    <w:rsid w:val="00456346"/>
    <w:rsid w:val="0046052E"/>
    <w:rsid w:val="0046625C"/>
    <w:rsid w:val="00472A5A"/>
    <w:rsid w:val="00475DDB"/>
    <w:rsid w:val="004A66C5"/>
    <w:rsid w:val="004E0FC4"/>
    <w:rsid w:val="004E1094"/>
    <w:rsid w:val="004F6E23"/>
    <w:rsid w:val="0052760D"/>
    <w:rsid w:val="005310FC"/>
    <w:rsid w:val="005355C6"/>
    <w:rsid w:val="00537E6E"/>
    <w:rsid w:val="0054187A"/>
    <w:rsid w:val="00573900"/>
    <w:rsid w:val="005839DD"/>
    <w:rsid w:val="00591D39"/>
    <w:rsid w:val="00592CCF"/>
    <w:rsid w:val="005A1553"/>
    <w:rsid w:val="005B0476"/>
    <w:rsid w:val="005E1D1B"/>
    <w:rsid w:val="005E5612"/>
    <w:rsid w:val="005E7192"/>
    <w:rsid w:val="006249C4"/>
    <w:rsid w:val="006267EF"/>
    <w:rsid w:val="006269EA"/>
    <w:rsid w:val="00644924"/>
    <w:rsid w:val="00651144"/>
    <w:rsid w:val="00652E15"/>
    <w:rsid w:val="00655320"/>
    <w:rsid w:val="00694A85"/>
    <w:rsid w:val="006A1A47"/>
    <w:rsid w:val="006B11A3"/>
    <w:rsid w:val="006B321F"/>
    <w:rsid w:val="006B6771"/>
    <w:rsid w:val="006E7D76"/>
    <w:rsid w:val="006F35C2"/>
    <w:rsid w:val="006F7BEA"/>
    <w:rsid w:val="00700481"/>
    <w:rsid w:val="00706C9A"/>
    <w:rsid w:val="007076F0"/>
    <w:rsid w:val="007315A7"/>
    <w:rsid w:val="00747FC4"/>
    <w:rsid w:val="00772577"/>
    <w:rsid w:val="00794FDE"/>
    <w:rsid w:val="007B5073"/>
    <w:rsid w:val="007C4CB6"/>
    <w:rsid w:val="007E6EF4"/>
    <w:rsid w:val="007E721F"/>
    <w:rsid w:val="007E7C1E"/>
    <w:rsid w:val="007F50FB"/>
    <w:rsid w:val="00815280"/>
    <w:rsid w:val="00816468"/>
    <w:rsid w:val="008169AB"/>
    <w:rsid w:val="00823BA8"/>
    <w:rsid w:val="008301FC"/>
    <w:rsid w:val="0084063C"/>
    <w:rsid w:val="00850273"/>
    <w:rsid w:val="00882ED0"/>
    <w:rsid w:val="008910FE"/>
    <w:rsid w:val="008A4BE5"/>
    <w:rsid w:val="008A53AE"/>
    <w:rsid w:val="008E32A3"/>
    <w:rsid w:val="008E6722"/>
    <w:rsid w:val="008E7252"/>
    <w:rsid w:val="008F5280"/>
    <w:rsid w:val="008F7841"/>
    <w:rsid w:val="009066A9"/>
    <w:rsid w:val="00913D06"/>
    <w:rsid w:val="0096606C"/>
    <w:rsid w:val="00981461"/>
    <w:rsid w:val="009A7FEF"/>
    <w:rsid w:val="009B337A"/>
    <w:rsid w:val="009B60E1"/>
    <w:rsid w:val="009C1465"/>
    <w:rsid w:val="009C1550"/>
    <w:rsid w:val="00A025A7"/>
    <w:rsid w:val="00A1420C"/>
    <w:rsid w:val="00A32BDC"/>
    <w:rsid w:val="00A40E27"/>
    <w:rsid w:val="00A41774"/>
    <w:rsid w:val="00A60677"/>
    <w:rsid w:val="00A663AB"/>
    <w:rsid w:val="00A76F7C"/>
    <w:rsid w:val="00A94F4B"/>
    <w:rsid w:val="00AD5950"/>
    <w:rsid w:val="00AE1066"/>
    <w:rsid w:val="00B46793"/>
    <w:rsid w:val="00B467BF"/>
    <w:rsid w:val="00B63E12"/>
    <w:rsid w:val="00B86A5F"/>
    <w:rsid w:val="00BC343E"/>
    <w:rsid w:val="00BE15BF"/>
    <w:rsid w:val="00BE63DD"/>
    <w:rsid w:val="00BF249E"/>
    <w:rsid w:val="00C05AD3"/>
    <w:rsid w:val="00C23ED0"/>
    <w:rsid w:val="00C42314"/>
    <w:rsid w:val="00C53BFD"/>
    <w:rsid w:val="00C77931"/>
    <w:rsid w:val="00C80A11"/>
    <w:rsid w:val="00C918EA"/>
    <w:rsid w:val="00C975DF"/>
    <w:rsid w:val="00CC24A0"/>
    <w:rsid w:val="00CE4F75"/>
    <w:rsid w:val="00CF29C9"/>
    <w:rsid w:val="00D21DE7"/>
    <w:rsid w:val="00D267C6"/>
    <w:rsid w:val="00D51409"/>
    <w:rsid w:val="00D52451"/>
    <w:rsid w:val="00D57890"/>
    <w:rsid w:val="00D63EC5"/>
    <w:rsid w:val="00D81EE1"/>
    <w:rsid w:val="00DB076B"/>
    <w:rsid w:val="00DC4A9F"/>
    <w:rsid w:val="00DD3F5D"/>
    <w:rsid w:val="00DD554F"/>
    <w:rsid w:val="00E202D0"/>
    <w:rsid w:val="00E2455E"/>
    <w:rsid w:val="00E36D01"/>
    <w:rsid w:val="00E4262E"/>
    <w:rsid w:val="00E8174E"/>
    <w:rsid w:val="00EA3FFC"/>
    <w:rsid w:val="00ED1936"/>
    <w:rsid w:val="00ED3075"/>
    <w:rsid w:val="00EE2F03"/>
    <w:rsid w:val="00F00CF8"/>
    <w:rsid w:val="00F24331"/>
    <w:rsid w:val="00F33B7A"/>
    <w:rsid w:val="00F54A9B"/>
    <w:rsid w:val="00F60972"/>
    <w:rsid w:val="00F9032E"/>
    <w:rsid w:val="00F950D4"/>
    <w:rsid w:val="00FC0591"/>
    <w:rsid w:val="00FF029D"/>
    <w:rsid w:val="00FF5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CA52"/>
  <w15:chartTrackingRefBased/>
  <w15:docId w15:val="{1C50CFAF-5B53-487C-B8DA-EEE9D60C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6468"/>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4E1094"/>
    <w:rPr>
      <w:rFonts w:asciiTheme="minorHAnsi" w:hAnsiTheme="minorHAnsi"/>
      <w:sz w:val="22"/>
    </w:rPr>
  </w:style>
  <w:style w:type="paragraph" w:styleId="Sraopastraipa">
    <w:name w:val="List Paragraph"/>
    <w:basedOn w:val="prastasis"/>
    <w:link w:val="SraopastraipaDiagrama"/>
    <w:uiPriority w:val="34"/>
    <w:qFormat/>
    <w:rsid w:val="004E1094"/>
    <w:pPr>
      <w:ind w:left="720"/>
      <w:contextualSpacing/>
    </w:pPr>
  </w:style>
  <w:style w:type="paragraph" w:styleId="Puslapioinaostekstas">
    <w:name w:val="footnote text"/>
    <w:basedOn w:val="prastasis"/>
    <w:link w:val="PuslapioinaostekstasDiagrama"/>
    <w:uiPriority w:val="99"/>
    <w:unhideWhenUsed/>
    <w:rsid w:val="002843F2"/>
    <w:rPr>
      <w:rFonts w:eastAsia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2843F2"/>
    <w:rPr>
      <w:sz w:val="20"/>
      <w:szCs w:val="20"/>
    </w:rPr>
  </w:style>
  <w:style w:type="character" w:styleId="Puslapioinaosnuoroda">
    <w:name w:val="footnote reference"/>
    <w:basedOn w:val="Numatytasispastraiposriftas"/>
    <w:uiPriority w:val="99"/>
    <w:semiHidden/>
    <w:unhideWhenUsed/>
    <w:rsid w:val="002843F2"/>
    <w:rPr>
      <w:vertAlign w:val="superscript"/>
    </w:rPr>
  </w:style>
  <w:style w:type="character" w:customStyle="1" w:styleId="SraopastraipaDiagrama">
    <w:name w:val="Sąrašo pastraipa Diagrama"/>
    <w:link w:val="Sraopastraipa"/>
    <w:uiPriority w:val="34"/>
    <w:locked/>
    <w:rsid w:val="00F60972"/>
    <w:rPr>
      <w:rFonts w:eastAsia="Times New Roman" w:cs="Times New Roman"/>
      <w:szCs w:val="24"/>
    </w:rPr>
  </w:style>
  <w:style w:type="character" w:styleId="Perirtashipersaitas">
    <w:name w:val="FollowedHyperlink"/>
    <w:basedOn w:val="Numatytasispastraiposriftas"/>
    <w:uiPriority w:val="99"/>
    <w:semiHidden/>
    <w:unhideWhenUsed/>
    <w:rsid w:val="006267EF"/>
    <w:rPr>
      <w:color w:val="954F72" w:themeColor="followedHyperlink"/>
      <w:u w:val="single"/>
    </w:rPr>
  </w:style>
  <w:style w:type="paragraph" w:styleId="prastasiniatinklio">
    <w:name w:val="Normal (Web)"/>
    <w:basedOn w:val="prastasis"/>
    <w:uiPriority w:val="99"/>
    <w:unhideWhenUsed/>
    <w:rsid w:val="008F7841"/>
    <w:pPr>
      <w:spacing w:line="276" w:lineRule="auto"/>
      <w:jc w:val="both"/>
    </w:pPr>
    <w:rPr>
      <w:rFonts w:eastAsiaTheme="minorHAnsi"/>
    </w:rPr>
  </w:style>
  <w:style w:type="character" w:styleId="Komentaronuoroda">
    <w:name w:val="annotation reference"/>
    <w:basedOn w:val="Numatytasispastraiposriftas"/>
    <w:uiPriority w:val="99"/>
    <w:semiHidden/>
    <w:unhideWhenUsed/>
    <w:rsid w:val="00F9032E"/>
    <w:rPr>
      <w:sz w:val="16"/>
      <w:szCs w:val="16"/>
    </w:rPr>
  </w:style>
  <w:style w:type="paragraph" w:styleId="Komentarotekstas">
    <w:name w:val="annotation text"/>
    <w:basedOn w:val="prastasis"/>
    <w:link w:val="KomentarotekstasDiagrama"/>
    <w:uiPriority w:val="99"/>
    <w:semiHidden/>
    <w:unhideWhenUsed/>
    <w:rsid w:val="00F9032E"/>
    <w:rPr>
      <w:sz w:val="20"/>
      <w:szCs w:val="20"/>
    </w:rPr>
  </w:style>
  <w:style w:type="character" w:customStyle="1" w:styleId="KomentarotekstasDiagrama">
    <w:name w:val="Komentaro tekstas Diagrama"/>
    <w:basedOn w:val="Numatytasispastraiposriftas"/>
    <w:link w:val="Komentarotekstas"/>
    <w:uiPriority w:val="99"/>
    <w:semiHidden/>
    <w:rsid w:val="00F9032E"/>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9032E"/>
    <w:rPr>
      <w:b/>
      <w:bCs/>
    </w:rPr>
  </w:style>
  <w:style w:type="character" w:customStyle="1" w:styleId="KomentarotemaDiagrama">
    <w:name w:val="Komentaro tema Diagrama"/>
    <w:basedOn w:val="KomentarotekstasDiagrama"/>
    <w:link w:val="Komentarotema"/>
    <w:uiPriority w:val="99"/>
    <w:semiHidden/>
    <w:rsid w:val="00F9032E"/>
    <w:rPr>
      <w:rFonts w:eastAsia="Times New Roman" w:cs="Times New Roman"/>
      <w:b/>
      <w:bCs/>
      <w:sz w:val="20"/>
      <w:szCs w:val="20"/>
    </w:rPr>
  </w:style>
  <w:style w:type="paragraph" w:styleId="Pataisymai">
    <w:name w:val="Revision"/>
    <w:hidden/>
    <w:uiPriority w:val="99"/>
    <w:semiHidden/>
    <w:rsid w:val="00F9032E"/>
    <w:rPr>
      <w:rFonts w:eastAsia="Times New Roman" w:cs="Times New Roman"/>
      <w:szCs w:val="24"/>
    </w:rPr>
  </w:style>
  <w:style w:type="paragraph" w:styleId="Paprastasistekstas">
    <w:name w:val="Plain Text"/>
    <w:basedOn w:val="prastasis"/>
    <w:link w:val="PaprastasistekstasDiagrama"/>
    <w:rsid w:val="006E7D76"/>
    <w:pPr>
      <w:spacing w:before="100" w:beforeAutospacing="1" w:after="100" w:afterAutospacing="1"/>
    </w:pPr>
    <w:rPr>
      <w:rFonts w:ascii="Courier New" w:eastAsia="Calibri" w:hAnsi="Courier New"/>
      <w:sz w:val="20"/>
      <w:szCs w:val="20"/>
      <w:lang w:eastAsia="lt-LT"/>
    </w:rPr>
  </w:style>
  <w:style w:type="character" w:customStyle="1" w:styleId="PaprastasistekstasDiagrama">
    <w:name w:val="Paprastasis tekstas Diagrama"/>
    <w:basedOn w:val="Numatytasispastraiposriftas"/>
    <w:link w:val="Paprastasistekstas"/>
    <w:rsid w:val="006E7D76"/>
    <w:rPr>
      <w:rFonts w:ascii="Courier New" w:eastAsia="Calibri" w:hAnsi="Courier New" w:cs="Times New Roman"/>
      <w:sz w:val="20"/>
      <w:szCs w:val="20"/>
      <w:lang w:eastAsia="lt-LT"/>
    </w:rPr>
  </w:style>
  <w:style w:type="table" w:styleId="Lentelstinklelis">
    <w:name w:val="Table Grid"/>
    <w:basedOn w:val="prastojilentel"/>
    <w:uiPriority w:val="39"/>
    <w:rsid w:val="00377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42">
    <w:name w:val="Char Style 42"/>
    <w:basedOn w:val="Numatytasispastraiposriftas"/>
    <w:link w:val="Style41"/>
    <w:locked/>
    <w:rsid w:val="00FC0591"/>
    <w:rPr>
      <w:sz w:val="21"/>
      <w:szCs w:val="21"/>
      <w:shd w:val="clear" w:color="auto" w:fill="FFFFFF"/>
    </w:rPr>
  </w:style>
  <w:style w:type="paragraph" w:customStyle="1" w:styleId="Style41">
    <w:name w:val="Style 41"/>
    <w:basedOn w:val="prastasis"/>
    <w:link w:val="CharStyle42"/>
    <w:rsid w:val="00FC0591"/>
    <w:pPr>
      <w:widowControl w:val="0"/>
      <w:shd w:val="clear" w:color="auto" w:fill="FFFFFF"/>
      <w:spacing w:after="280" w:line="274" w:lineRule="exact"/>
      <w:jc w:val="center"/>
    </w:pPr>
    <w:rPr>
      <w:rFonts w:eastAsia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66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081B4-0770-4027-A651-04530B4C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8173</Words>
  <Characters>4659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Golovko</dc:creator>
  <cp:keywords/>
  <dc:description/>
  <cp:lastModifiedBy>Ramūnas Drakšas</cp:lastModifiedBy>
  <cp:revision>2</cp:revision>
  <cp:lastPrinted>2021-10-13T05:51:00Z</cp:lastPrinted>
  <dcterms:created xsi:type="dcterms:W3CDTF">2021-11-09T11:15:00Z</dcterms:created>
  <dcterms:modified xsi:type="dcterms:W3CDTF">2021-11-09T11:15:00Z</dcterms:modified>
</cp:coreProperties>
</file>