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2.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3.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A5B15" w14:textId="09140096" w:rsidR="0005269C" w:rsidRPr="006C3671" w:rsidRDefault="006C3671">
      <w:pPr>
        <w:rPr>
          <w:b/>
          <w:color w:val="000000" w:themeColor="text1"/>
        </w:rPr>
      </w:pPr>
      <w:bookmarkStart w:id="0" w:name="_GoBack"/>
      <w:bookmarkEnd w:id="0"/>
      <w:r w:rsidRPr="006C3671">
        <w:rPr>
          <w:b/>
          <w:color w:val="000000" w:themeColor="text1"/>
        </w:rPr>
        <w:t>Panevėžio miesto plėtros 2014-2020 metų ataskaitos už 2020 metus aiškinamasis raštas</w:t>
      </w:r>
    </w:p>
    <w:p w14:paraId="2D8524B9" w14:textId="228F06F2" w:rsidR="00616E08" w:rsidRDefault="00845C55" w:rsidP="00AA5C8D">
      <w:pPr>
        <w:spacing w:before="360" w:after="240"/>
        <w:ind w:firstLine="748"/>
        <w:jc w:val="both"/>
      </w:pPr>
      <w:r w:rsidRPr="007E6B38">
        <w:t xml:space="preserve">Sprendimo projektą sudaro </w:t>
      </w:r>
      <w:r w:rsidR="00253A3F" w:rsidRPr="007E6B38">
        <w:t xml:space="preserve">3 </w:t>
      </w:r>
      <w:r w:rsidRPr="007E6B38">
        <w:t>priedai</w:t>
      </w:r>
      <w:r w:rsidR="00616E08" w:rsidRPr="007E6B38">
        <w:t>: 1 priedas. Panevėžio miesto plėtros strateginio plano įgyvendinimo vizijos rodikliai; 2 priedas.</w:t>
      </w:r>
      <w:r w:rsidR="00B77DE8" w:rsidRPr="007E6B38">
        <w:t xml:space="preserve"> Panevėžio miesto plėtros strateginio plano įgyvendinimo prioritetų rodikliai;</w:t>
      </w:r>
      <w:r w:rsidR="00616E08" w:rsidRPr="007E6B38">
        <w:t xml:space="preserve"> 3 priedas. </w:t>
      </w:r>
      <w:r w:rsidR="00AA5C8D" w:rsidRPr="007E6B38">
        <w:t>Priemonių įgyvendinimo lygio rodikliai už 20</w:t>
      </w:r>
      <w:r w:rsidR="007E6B38" w:rsidRPr="007E6B38">
        <w:t>20</w:t>
      </w:r>
      <w:r w:rsidR="00AA5C8D" w:rsidRPr="007E6B38">
        <w:t xml:space="preserve"> m. </w:t>
      </w:r>
      <w:r w:rsidR="003A2581" w:rsidRPr="007E6B38">
        <w:t>(V</w:t>
      </w:r>
      <w:r w:rsidR="00AA5C8D" w:rsidRPr="007E6B38">
        <w:t>isi prioritetai).</w:t>
      </w:r>
    </w:p>
    <w:p w14:paraId="67DE9CDB" w14:textId="74346553" w:rsidR="00F85D0F" w:rsidRPr="00B07F74" w:rsidRDefault="00845C55" w:rsidP="005D6099">
      <w:pPr>
        <w:ind w:firstLine="748"/>
        <w:jc w:val="both"/>
        <w:rPr>
          <w:i/>
        </w:rPr>
      </w:pPr>
      <w:r w:rsidRPr="00B07F74">
        <w:t>20</w:t>
      </w:r>
      <w:r w:rsidR="00310A5C" w:rsidRPr="00B07F74">
        <w:t>20</w:t>
      </w:r>
      <w:r w:rsidRPr="00B07F74">
        <w:t xml:space="preserve"> m. numatyta įgyvendinti </w:t>
      </w:r>
      <w:r w:rsidR="00852C04" w:rsidRPr="00B07F74">
        <w:t>13</w:t>
      </w:r>
      <w:r w:rsidR="00B07F74" w:rsidRPr="00B07F74">
        <w:t>0</w:t>
      </w:r>
      <w:r w:rsidR="00AA5C8D" w:rsidRPr="00B07F74">
        <w:t xml:space="preserve"> </w:t>
      </w:r>
      <w:r w:rsidR="00FD4BC4" w:rsidRPr="00B07F74">
        <w:t>priemon</w:t>
      </w:r>
      <w:r w:rsidR="00B07F74" w:rsidRPr="00B07F74">
        <w:t>ių</w:t>
      </w:r>
      <w:r w:rsidRPr="00B07F74">
        <w:t>. Strateginio plano įgyvendinimas už 20</w:t>
      </w:r>
      <w:r w:rsidR="00B07F74" w:rsidRPr="00B07F74">
        <w:t>20</w:t>
      </w:r>
      <w:r w:rsidR="00852C04" w:rsidRPr="00B07F74">
        <w:t xml:space="preserve"> </w:t>
      </w:r>
      <w:r w:rsidRPr="00B07F74">
        <w:t xml:space="preserve">m. siekia </w:t>
      </w:r>
      <w:r w:rsidR="0097718A" w:rsidRPr="00B07F74">
        <w:t>9</w:t>
      </w:r>
      <w:r w:rsidR="00B07F74" w:rsidRPr="00B07F74">
        <w:t>4</w:t>
      </w:r>
      <w:r w:rsidR="0097718A" w:rsidRPr="00B07F74">
        <w:t>,0</w:t>
      </w:r>
      <w:r w:rsidRPr="00B07F74">
        <w:t xml:space="preserve"> proc., t.</w:t>
      </w:r>
      <w:r w:rsidR="00C869F2" w:rsidRPr="00B07F74">
        <w:t xml:space="preserve"> </w:t>
      </w:r>
      <w:r w:rsidRPr="00B07F74">
        <w:t>y. buvo vykdom</w:t>
      </w:r>
      <w:r w:rsidR="00710EBA" w:rsidRPr="00B07F74">
        <w:t>a</w:t>
      </w:r>
      <w:r w:rsidR="00AA5C8D" w:rsidRPr="00B07F74">
        <w:t xml:space="preserve"> </w:t>
      </w:r>
      <w:r w:rsidR="006870CF" w:rsidRPr="00B07F74">
        <w:t>arba iš dalies</w:t>
      </w:r>
      <w:r w:rsidR="00AA5C8D" w:rsidRPr="00B07F74">
        <w:t xml:space="preserve"> vykdoma</w:t>
      </w:r>
      <w:r w:rsidRPr="00B07F74">
        <w:t xml:space="preserve"> </w:t>
      </w:r>
      <w:r w:rsidR="009D143B" w:rsidRPr="00B07F74">
        <w:t>1</w:t>
      </w:r>
      <w:r w:rsidR="005D131F" w:rsidRPr="00B07F74">
        <w:t>2</w:t>
      </w:r>
      <w:r w:rsidR="00B07F74" w:rsidRPr="00B07F74">
        <w:t>2</w:t>
      </w:r>
      <w:r w:rsidR="005D131F" w:rsidRPr="00B07F74">
        <w:t xml:space="preserve"> </w:t>
      </w:r>
      <w:r w:rsidR="0097718A" w:rsidRPr="00B07F74">
        <w:t>priemon</w:t>
      </w:r>
      <w:r w:rsidR="005D131F" w:rsidRPr="00B07F74">
        <w:t>ės</w:t>
      </w:r>
      <w:r w:rsidRPr="00B07F74">
        <w:t>, nevykdoma</w:t>
      </w:r>
      <w:r w:rsidR="00CB2843" w:rsidRPr="00B07F74">
        <w:t xml:space="preserve"> </w:t>
      </w:r>
      <w:r w:rsidRPr="00B07F74">
        <w:t xml:space="preserve"> </w:t>
      </w:r>
      <w:r w:rsidR="00B07F74" w:rsidRPr="00B07F74">
        <w:t>8</w:t>
      </w:r>
      <w:r w:rsidR="0097718A" w:rsidRPr="00B07F74">
        <w:t xml:space="preserve"> </w:t>
      </w:r>
      <w:r w:rsidR="00CA780F" w:rsidRPr="00B07F74">
        <w:t>priemon</w:t>
      </w:r>
      <w:r w:rsidR="00B07F74" w:rsidRPr="00B07F74">
        <w:t>ės</w:t>
      </w:r>
      <w:r w:rsidR="00960A2C" w:rsidRPr="00B07F74">
        <w:t xml:space="preserve">, </w:t>
      </w:r>
      <w:r w:rsidRPr="00B07F74">
        <w:t>(</w:t>
      </w:r>
      <w:r w:rsidR="00B07F74" w:rsidRPr="00B07F74">
        <w:t>6</w:t>
      </w:r>
      <w:r w:rsidRPr="00B07F74">
        <w:t xml:space="preserve"> proc.) (žr.1 diagramą). </w:t>
      </w:r>
    </w:p>
    <w:p w14:paraId="62345A9E" w14:textId="77777777" w:rsidR="00F85D0F" w:rsidRPr="00B07F74" w:rsidRDefault="00F85D0F" w:rsidP="005D6099">
      <w:pPr>
        <w:ind w:firstLine="748"/>
        <w:jc w:val="both"/>
        <w:rPr>
          <w:i/>
        </w:rPr>
      </w:pPr>
    </w:p>
    <w:p w14:paraId="0D85502B" w14:textId="77777777" w:rsidR="00CB2843" w:rsidRPr="007E6B38" w:rsidRDefault="00F85D0F" w:rsidP="00845C55">
      <w:pPr>
        <w:ind w:firstLine="748"/>
        <w:jc w:val="both"/>
        <w:rPr>
          <w:color w:val="FF0000"/>
        </w:rPr>
      </w:pPr>
      <w:r w:rsidRPr="007E6B38">
        <w:rPr>
          <w:i/>
          <w:noProof/>
          <w:color w:val="FF0000"/>
        </w:rPr>
        <w:drawing>
          <wp:inline distT="0" distB="0" distL="0" distR="0" wp14:anchorId="3267F3AA" wp14:editId="0D5775B0">
            <wp:extent cx="5554980" cy="2423160"/>
            <wp:effectExtent l="0" t="0" r="7620" b="1524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614342" w14:textId="77777777" w:rsidR="00F85D0F" w:rsidRPr="007E6B38" w:rsidRDefault="00845C55" w:rsidP="005251A3">
      <w:pPr>
        <w:tabs>
          <w:tab w:val="left" w:pos="748"/>
        </w:tabs>
        <w:jc w:val="both"/>
        <w:rPr>
          <w:b/>
          <w:noProof/>
          <w:color w:val="FF0000"/>
        </w:rPr>
      </w:pPr>
      <w:r w:rsidRPr="007E6B38">
        <w:rPr>
          <w:b/>
          <w:noProof/>
          <w:color w:val="FF0000"/>
        </w:rPr>
        <w:tab/>
      </w:r>
    </w:p>
    <w:p w14:paraId="045E1951" w14:textId="1C724A3E" w:rsidR="00845C55" w:rsidRPr="00E669B2" w:rsidRDefault="00F85D0F" w:rsidP="005251A3">
      <w:pPr>
        <w:tabs>
          <w:tab w:val="left" w:pos="748"/>
        </w:tabs>
        <w:jc w:val="both"/>
        <w:rPr>
          <w:noProof/>
        </w:rPr>
      </w:pPr>
      <w:r w:rsidRPr="007E6B38">
        <w:rPr>
          <w:noProof/>
          <w:color w:val="FF0000"/>
        </w:rPr>
        <w:tab/>
      </w:r>
      <w:r w:rsidR="00845C55" w:rsidRPr="00E669B2">
        <w:rPr>
          <w:noProof/>
        </w:rPr>
        <w:t>20</w:t>
      </w:r>
      <w:r w:rsidR="00E669B2" w:rsidRPr="00E669B2">
        <w:rPr>
          <w:noProof/>
        </w:rPr>
        <w:t>20</w:t>
      </w:r>
      <w:r w:rsidR="00845C55" w:rsidRPr="00E669B2">
        <w:rPr>
          <w:noProof/>
        </w:rPr>
        <w:t xml:space="preserve"> m.</w:t>
      </w:r>
      <w:r w:rsidR="00936D8B" w:rsidRPr="00E669B2">
        <w:rPr>
          <w:noProof/>
        </w:rPr>
        <w:t xml:space="preserve"> </w:t>
      </w:r>
      <w:r w:rsidR="00845C55" w:rsidRPr="00E669B2">
        <w:rPr>
          <w:noProof/>
        </w:rPr>
        <w:t xml:space="preserve">Panevėžio miesto plėtros strateginiam planui įgyvendinti </w:t>
      </w:r>
      <w:r w:rsidR="00EE29EC" w:rsidRPr="00E669B2">
        <w:rPr>
          <w:noProof/>
        </w:rPr>
        <w:t xml:space="preserve">buvo panaudota </w:t>
      </w:r>
      <w:r w:rsidR="00473376" w:rsidRPr="00E669B2">
        <w:rPr>
          <w:noProof/>
        </w:rPr>
        <w:t>3</w:t>
      </w:r>
      <w:r w:rsidR="00E669B2" w:rsidRPr="00E669B2">
        <w:rPr>
          <w:noProof/>
        </w:rPr>
        <w:t>6819,1</w:t>
      </w:r>
      <w:r w:rsidR="00EE29EC" w:rsidRPr="00E669B2">
        <w:rPr>
          <w:noProof/>
        </w:rPr>
        <w:t xml:space="preserve"> tūkst.</w:t>
      </w:r>
      <w:r w:rsidR="00EE4F7E" w:rsidRPr="00E669B2">
        <w:rPr>
          <w:noProof/>
        </w:rPr>
        <w:t xml:space="preserve"> </w:t>
      </w:r>
      <w:r w:rsidR="007D5F06" w:rsidRPr="00E669B2">
        <w:rPr>
          <w:noProof/>
        </w:rPr>
        <w:t>E</w:t>
      </w:r>
      <w:r w:rsidR="009A3B2B">
        <w:rPr>
          <w:noProof/>
        </w:rPr>
        <w:t>ur</w:t>
      </w:r>
      <w:r w:rsidR="00850707" w:rsidRPr="00E669B2">
        <w:rPr>
          <w:noProof/>
        </w:rPr>
        <w:t>.</w:t>
      </w:r>
      <w:r w:rsidR="00EE29EC" w:rsidRPr="00E669B2">
        <w:rPr>
          <w:noProof/>
        </w:rPr>
        <w:t xml:space="preserve"> Detalesnis </w:t>
      </w:r>
      <w:r w:rsidR="00845C55" w:rsidRPr="00E669B2">
        <w:rPr>
          <w:noProof/>
        </w:rPr>
        <w:t>lėšų pasiskirstymas parodytas 2 diagramoje.</w:t>
      </w:r>
    </w:p>
    <w:p w14:paraId="28FDDFD7" w14:textId="77777777" w:rsidR="00A637E4" w:rsidRPr="007E6B38" w:rsidRDefault="00A637E4" w:rsidP="005251A3">
      <w:pPr>
        <w:tabs>
          <w:tab w:val="left" w:pos="748"/>
        </w:tabs>
        <w:jc w:val="both"/>
        <w:rPr>
          <w:noProof/>
          <w:color w:val="FF0000"/>
        </w:rPr>
      </w:pPr>
    </w:p>
    <w:p w14:paraId="2E81036A" w14:textId="77777777" w:rsidR="00845C55" w:rsidRPr="007E6B38" w:rsidRDefault="00A637E4" w:rsidP="00845C55">
      <w:pPr>
        <w:ind w:firstLine="748"/>
        <w:jc w:val="both"/>
        <w:rPr>
          <w:color w:val="FF0000"/>
        </w:rPr>
      </w:pPr>
      <w:r w:rsidRPr="007E6B38">
        <w:rPr>
          <w:noProof/>
          <w:color w:val="FF0000"/>
        </w:rPr>
        <w:drawing>
          <wp:inline distT="0" distB="0" distL="0" distR="0" wp14:anchorId="434200FA" wp14:editId="67F2A1FA">
            <wp:extent cx="5486400" cy="2461260"/>
            <wp:effectExtent l="0" t="0" r="0" b="15240"/>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6CB7DA" w14:textId="77777777" w:rsidR="00B27777" w:rsidRPr="007E6B38" w:rsidRDefault="00B27777" w:rsidP="00845C55">
      <w:pPr>
        <w:ind w:firstLine="748"/>
        <w:jc w:val="both"/>
        <w:rPr>
          <w:noProof/>
          <w:color w:val="FF0000"/>
        </w:rPr>
      </w:pPr>
    </w:p>
    <w:p w14:paraId="33D5DE78" w14:textId="77777777" w:rsidR="009A0F96" w:rsidRPr="007E6B38" w:rsidRDefault="009A0F96" w:rsidP="00845C55">
      <w:pPr>
        <w:ind w:firstLine="748"/>
        <w:jc w:val="both"/>
        <w:rPr>
          <w:noProof/>
          <w:color w:val="FF0000"/>
        </w:rPr>
      </w:pPr>
    </w:p>
    <w:p w14:paraId="2EC464E1" w14:textId="5B642E19" w:rsidR="00845C55" w:rsidRPr="007E6B38" w:rsidRDefault="00700F2A" w:rsidP="00845C55">
      <w:pPr>
        <w:tabs>
          <w:tab w:val="left" w:pos="748"/>
        </w:tabs>
        <w:jc w:val="both"/>
        <w:rPr>
          <w:color w:val="FF0000"/>
        </w:rPr>
      </w:pPr>
      <w:r w:rsidRPr="007E6B38">
        <w:rPr>
          <w:color w:val="FF0000"/>
        </w:rPr>
        <w:tab/>
      </w:r>
      <w:r w:rsidRPr="00D2438E">
        <w:t xml:space="preserve">Strateginiam planui įgyvendinti </w:t>
      </w:r>
      <w:r w:rsidR="00845C55" w:rsidRPr="00D2438E">
        <w:t xml:space="preserve"> </w:t>
      </w:r>
      <w:r w:rsidRPr="00D2438E">
        <w:t>lėšų pasiskirstymas pagal prioritetus pavaizduotas 3 diagramoje. I prioritetas „</w:t>
      </w:r>
      <w:r w:rsidR="006870CF" w:rsidRPr="00D2438E">
        <w:rPr>
          <w:i/>
        </w:rPr>
        <w:t>Panevėžio konkurencinio (metropolinio) potencialo stiprinimas</w:t>
      </w:r>
      <w:r w:rsidRPr="00D2438E">
        <w:t xml:space="preserve">“ panaudota </w:t>
      </w:r>
      <w:r w:rsidR="00D2438E" w:rsidRPr="00D2438E">
        <w:t>6133,8</w:t>
      </w:r>
      <w:r w:rsidR="00C412C9" w:rsidRPr="00D2438E">
        <w:t xml:space="preserve"> tūkst. E</w:t>
      </w:r>
      <w:r w:rsidR="00D2438E" w:rsidRPr="00D2438E">
        <w:t>ur</w:t>
      </w:r>
      <w:r w:rsidR="00C412C9" w:rsidRPr="00D2438E">
        <w:t>)</w:t>
      </w:r>
      <w:r w:rsidRPr="00D2438E">
        <w:t>. II prioritetas</w:t>
      </w:r>
      <w:r w:rsidRPr="00D2438E">
        <w:rPr>
          <w:i/>
        </w:rPr>
        <w:t xml:space="preserve"> „</w:t>
      </w:r>
      <w:r w:rsidR="006870CF" w:rsidRPr="00D2438E">
        <w:rPr>
          <w:i/>
        </w:rPr>
        <w:t>Kokybiškų gyvenimo sąlygų ir aukštos socialinės gerovės kūrimas</w:t>
      </w:r>
      <w:r w:rsidRPr="00D2438E">
        <w:t xml:space="preserve">“ panaudota </w:t>
      </w:r>
      <w:r w:rsidR="00D2438E" w:rsidRPr="00D2438E">
        <w:t>14361,6</w:t>
      </w:r>
      <w:r w:rsidR="00C412C9" w:rsidRPr="00D2438E">
        <w:t xml:space="preserve"> tūkst. E</w:t>
      </w:r>
      <w:r w:rsidR="00D2438E" w:rsidRPr="00D2438E">
        <w:t>ur</w:t>
      </w:r>
      <w:r w:rsidRPr="00D2438E">
        <w:t xml:space="preserve">. </w:t>
      </w:r>
      <w:smartTag w:uri="urn:schemas-microsoft-com:office:smarttags" w:element="stockticker">
        <w:r w:rsidRPr="00D2438E">
          <w:t>III</w:t>
        </w:r>
      </w:smartTag>
      <w:r w:rsidRPr="00D2438E">
        <w:t xml:space="preserve"> prioritetas</w:t>
      </w:r>
      <w:r w:rsidRPr="00D2438E">
        <w:rPr>
          <w:i/>
        </w:rPr>
        <w:t xml:space="preserve"> „</w:t>
      </w:r>
      <w:r w:rsidR="0076564F" w:rsidRPr="00D2438E">
        <w:rPr>
          <w:i/>
        </w:rPr>
        <w:t>Darni miesto teritorijų ir infrastruktūros plėtra</w:t>
      </w:r>
      <w:r w:rsidRPr="00D2438E">
        <w:rPr>
          <w:i/>
        </w:rPr>
        <w:t>“</w:t>
      </w:r>
      <w:r w:rsidRPr="00D2438E">
        <w:t xml:space="preserve"> panaudota </w:t>
      </w:r>
      <w:r w:rsidR="00D2438E" w:rsidRPr="00D2438E">
        <w:t>16323,7</w:t>
      </w:r>
      <w:r w:rsidR="00EE4F7E" w:rsidRPr="00D2438E">
        <w:t xml:space="preserve"> </w:t>
      </w:r>
      <w:r w:rsidR="00C412C9" w:rsidRPr="00D2438E">
        <w:t>tūkst. E</w:t>
      </w:r>
      <w:r w:rsidR="00D2438E" w:rsidRPr="00D2438E">
        <w:t>ur</w:t>
      </w:r>
      <w:r w:rsidR="00C412C9" w:rsidRPr="00D2438E">
        <w:t>.</w:t>
      </w:r>
    </w:p>
    <w:p w14:paraId="3F5EE9EC" w14:textId="77777777" w:rsidR="009A0F96" w:rsidRPr="007E6B38" w:rsidRDefault="00845C55" w:rsidP="00180A40">
      <w:pPr>
        <w:tabs>
          <w:tab w:val="left" w:pos="748"/>
        </w:tabs>
        <w:jc w:val="both"/>
        <w:rPr>
          <w:color w:val="FF0000"/>
        </w:rPr>
      </w:pPr>
      <w:r w:rsidRPr="007E6B38">
        <w:rPr>
          <w:color w:val="FF0000"/>
        </w:rPr>
        <w:tab/>
      </w:r>
      <w:r w:rsidR="00180A40" w:rsidRPr="007E6B38">
        <w:rPr>
          <w:color w:val="FF0000"/>
        </w:rPr>
        <w:tab/>
      </w:r>
    </w:p>
    <w:p w14:paraId="3740E8F0" w14:textId="77777777" w:rsidR="009A0F96" w:rsidRPr="007E6B38" w:rsidRDefault="009A0F96" w:rsidP="00180A40">
      <w:pPr>
        <w:tabs>
          <w:tab w:val="left" w:pos="748"/>
        </w:tabs>
        <w:jc w:val="both"/>
        <w:rPr>
          <w:color w:val="FF0000"/>
        </w:rPr>
      </w:pPr>
      <w:r w:rsidRPr="007E6B38">
        <w:rPr>
          <w:noProof/>
          <w:color w:val="FF0000"/>
        </w:rPr>
        <w:lastRenderedPageBreak/>
        <w:drawing>
          <wp:inline distT="0" distB="0" distL="0" distR="0" wp14:anchorId="7AFA2DC4" wp14:editId="32B070AF">
            <wp:extent cx="5676900" cy="2202180"/>
            <wp:effectExtent l="0" t="0" r="0" b="7620"/>
            <wp:docPr id="15"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350FBC" w14:textId="77777777" w:rsidR="00C00C44" w:rsidRPr="007E6B38" w:rsidRDefault="00C00C44" w:rsidP="00180A40">
      <w:pPr>
        <w:tabs>
          <w:tab w:val="left" w:pos="748"/>
        </w:tabs>
        <w:jc w:val="both"/>
        <w:rPr>
          <w:b/>
          <w:noProof/>
          <w:color w:val="FF0000"/>
        </w:rPr>
      </w:pPr>
      <w:r w:rsidRPr="007E6B38">
        <w:rPr>
          <w:b/>
          <w:noProof/>
          <w:color w:val="FF0000"/>
        </w:rPr>
        <w:tab/>
      </w:r>
    </w:p>
    <w:p w14:paraId="1EA98341" w14:textId="77777777" w:rsidR="00845C55" w:rsidRPr="00E24DE1" w:rsidRDefault="00C00C44" w:rsidP="00180A40">
      <w:pPr>
        <w:tabs>
          <w:tab w:val="left" w:pos="748"/>
        </w:tabs>
        <w:jc w:val="both"/>
        <w:rPr>
          <w:noProof/>
        </w:rPr>
      </w:pPr>
      <w:r w:rsidRPr="007E6B38">
        <w:rPr>
          <w:b/>
          <w:noProof/>
          <w:color w:val="FF0000"/>
        </w:rPr>
        <w:tab/>
      </w:r>
      <w:r w:rsidR="00845C55" w:rsidRPr="00E24DE1">
        <w:rPr>
          <w:b/>
          <w:noProof/>
        </w:rPr>
        <w:t>I prioritetas.</w:t>
      </w:r>
      <w:r w:rsidR="00F344BA" w:rsidRPr="00E24DE1">
        <w:rPr>
          <w:i/>
        </w:rPr>
        <w:t xml:space="preserve"> Panevėžio konkurencinio (metropolinio) potencialo stiprinimas</w:t>
      </w:r>
      <w:r w:rsidR="00180A40" w:rsidRPr="00E24DE1">
        <w:t xml:space="preserve">. </w:t>
      </w:r>
      <w:r w:rsidR="00845C55" w:rsidRPr="00E24DE1">
        <w:rPr>
          <w:noProof/>
        </w:rPr>
        <w:t>Strateginio plano I-o prioriteto priemonių vykdymas pavaizduotas 4 diagramoje.</w:t>
      </w:r>
    </w:p>
    <w:p w14:paraId="681D13ED" w14:textId="77777777" w:rsidR="00A44C6E" w:rsidRPr="007E6B38" w:rsidRDefault="00A44C6E" w:rsidP="00180A40">
      <w:pPr>
        <w:tabs>
          <w:tab w:val="left" w:pos="748"/>
        </w:tabs>
        <w:jc w:val="both"/>
        <w:rPr>
          <w:noProof/>
          <w:color w:val="FF0000"/>
        </w:rPr>
      </w:pPr>
      <w:r w:rsidRPr="007E6B38">
        <w:rPr>
          <w:i/>
          <w:noProof/>
          <w:color w:val="FF0000"/>
        </w:rPr>
        <w:drawing>
          <wp:inline distT="0" distB="0" distL="0" distR="0" wp14:anchorId="156A0053" wp14:editId="4DE6D216">
            <wp:extent cx="5554980" cy="2423160"/>
            <wp:effectExtent l="0" t="0" r="7620" b="1524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925798" w14:textId="77777777" w:rsidR="00845C55" w:rsidRPr="007E6B38" w:rsidRDefault="00845C55" w:rsidP="00845C55">
      <w:pPr>
        <w:ind w:firstLine="748"/>
        <w:jc w:val="both"/>
        <w:rPr>
          <w:noProof/>
          <w:color w:val="FF0000"/>
        </w:rPr>
      </w:pPr>
    </w:p>
    <w:p w14:paraId="67FDAA24" w14:textId="77777777" w:rsidR="00EB2053" w:rsidRPr="007E6B38" w:rsidRDefault="00EB2053" w:rsidP="00E93971">
      <w:pPr>
        <w:ind w:firstLine="748"/>
        <w:jc w:val="both"/>
        <w:rPr>
          <w:noProof/>
          <w:color w:val="FF0000"/>
        </w:rPr>
      </w:pPr>
    </w:p>
    <w:p w14:paraId="09751719" w14:textId="77777777" w:rsidR="00E31BA3" w:rsidRPr="00EC7860" w:rsidRDefault="008F6506" w:rsidP="00845C55">
      <w:pPr>
        <w:ind w:firstLine="748"/>
        <w:jc w:val="both"/>
      </w:pPr>
      <w:r w:rsidRPr="00EC7860">
        <w:rPr>
          <w:noProof/>
        </w:rPr>
        <w:t>I Prioritet</w:t>
      </w:r>
      <w:r w:rsidR="00BD0A9A" w:rsidRPr="00EC7860">
        <w:rPr>
          <w:noProof/>
        </w:rPr>
        <w:t>e nurodytos priemonės</w:t>
      </w:r>
      <w:r w:rsidRPr="00EC7860">
        <w:rPr>
          <w:noProof/>
        </w:rPr>
        <w:t xml:space="preserve"> apima </w:t>
      </w:r>
      <w:r w:rsidR="00E31BA3" w:rsidRPr="00EC7860">
        <w:t>palanki</w:t>
      </w:r>
      <w:r w:rsidR="00544F6A" w:rsidRPr="00EC7860">
        <w:t>os</w:t>
      </w:r>
      <w:r w:rsidR="00E31BA3" w:rsidRPr="00EC7860">
        <w:t xml:space="preserve"> investicijoms ir bendradarbiavimui aplinkos sudarymą, darbo vietų kūrimą ir užimtumo didinimą</w:t>
      </w:r>
      <w:r w:rsidR="00831E03" w:rsidRPr="00EC7860">
        <w:t>.</w:t>
      </w:r>
    </w:p>
    <w:p w14:paraId="6C03E2C3" w14:textId="77777777" w:rsidR="00E31BA3" w:rsidRPr="00EC7860" w:rsidRDefault="00E31BA3" w:rsidP="00845C55">
      <w:pPr>
        <w:ind w:firstLine="748"/>
        <w:jc w:val="both"/>
        <w:rPr>
          <w:noProof/>
        </w:rPr>
      </w:pPr>
    </w:p>
    <w:p w14:paraId="0FC36139" w14:textId="6FDC19C4" w:rsidR="00CD4B3E" w:rsidRDefault="006061FD" w:rsidP="006061FD">
      <w:pPr>
        <w:ind w:firstLine="748"/>
        <w:jc w:val="both"/>
        <w:rPr>
          <w:noProof/>
          <w:color w:val="FF0000"/>
        </w:rPr>
      </w:pPr>
      <w:r w:rsidRPr="00CD4B3E">
        <w:rPr>
          <w:noProof/>
        </w:rPr>
        <w:t>201</w:t>
      </w:r>
      <w:r w:rsidR="00CD4B3E">
        <w:rPr>
          <w:noProof/>
        </w:rPr>
        <w:t>9</w:t>
      </w:r>
      <w:r w:rsidRPr="00CD4B3E">
        <w:rPr>
          <w:noProof/>
        </w:rPr>
        <w:t xml:space="preserve"> m. Panevėžio apskrityje buvo sukurta  5,</w:t>
      </w:r>
      <w:r w:rsidR="00CD4B3E" w:rsidRPr="00CD4B3E">
        <w:rPr>
          <w:noProof/>
        </w:rPr>
        <w:t>6</w:t>
      </w:r>
      <w:r w:rsidRPr="00CD4B3E">
        <w:rPr>
          <w:noProof/>
        </w:rPr>
        <w:t xml:space="preserve"> proc. Lietuvos bendrojo vidaus produkto (BVP)</w:t>
      </w:r>
      <w:r w:rsidR="009A3B2B">
        <w:rPr>
          <w:noProof/>
        </w:rPr>
        <w:t xml:space="preserve">. </w:t>
      </w:r>
      <w:r w:rsidRPr="00CD4B3E">
        <w:rPr>
          <w:noProof/>
        </w:rPr>
        <w:t>BVP tenkantis vienam apskrities gyventojui to meto kainomis sudarė 7</w:t>
      </w:r>
      <w:r w:rsidR="00CD4B3E" w:rsidRPr="00CD4B3E">
        <w:rPr>
          <w:noProof/>
        </w:rPr>
        <w:t>3,5</w:t>
      </w:r>
      <w:r w:rsidRPr="00CD4B3E">
        <w:rPr>
          <w:noProof/>
        </w:rPr>
        <w:t xml:space="preserve"> proc. Lietuvos vidurkio (Panevėžio apskr. – 1</w:t>
      </w:r>
      <w:r w:rsidR="00CD4B3E" w:rsidRPr="00CD4B3E">
        <w:rPr>
          <w:noProof/>
        </w:rPr>
        <w:t>2</w:t>
      </w:r>
      <w:r w:rsidRPr="00CD4B3E">
        <w:rPr>
          <w:noProof/>
        </w:rPr>
        <w:t>,8 tūkst. Eur, Lietuvos Respublika – 1</w:t>
      </w:r>
      <w:r w:rsidR="00CD4B3E" w:rsidRPr="00CD4B3E">
        <w:rPr>
          <w:noProof/>
        </w:rPr>
        <w:t>7</w:t>
      </w:r>
      <w:r w:rsidRPr="00CD4B3E">
        <w:rPr>
          <w:noProof/>
        </w:rPr>
        <w:t>,</w:t>
      </w:r>
      <w:r w:rsidR="00CD4B3E" w:rsidRPr="00CD4B3E">
        <w:rPr>
          <w:noProof/>
        </w:rPr>
        <w:t>5</w:t>
      </w:r>
      <w:r w:rsidRPr="00CD4B3E">
        <w:rPr>
          <w:noProof/>
        </w:rPr>
        <w:t xml:space="preserve"> tūkst. Eur).</w:t>
      </w:r>
    </w:p>
    <w:p w14:paraId="6C1F3405" w14:textId="2AF4E35E" w:rsidR="00942ED9" w:rsidRPr="00CD4B3E" w:rsidRDefault="006061FD" w:rsidP="00CD4B3E">
      <w:pPr>
        <w:jc w:val="both"/>
        <w:rPr>
          <w:noProof/>
        </w:rPr>
      </w:pPr>
      <w:r w:rsidRPr="00CD4B3E">
        <w:rPr>
          <w:noProof/>
        </w:rPr>
        <w:t xml:space="preserve"> </w:t>
      </w:r>
      <w:r w:rsidR="00942ED9" w:rsidRPr="00CD4B3E">
        <w:rPr>
          <w:noProof/>
        </w:rPr>
        <w:t>(5 diagrama)</w:t>
      </w:r>
      <w:r w:rsidR="00F8757C" w:rsidRPr="00CD4B3E">
        <w:rPr>
          <w:noProof/>
        </w:rPr>
        <w:t>.</w:t>
      </w:r>
      <w:r w:rsidR="001232DD" w:rsidRPr="00CD4B3E">
        <w:rPr>
          <w:noProof/>
        </w:rPr>
        <w:t xml:space="preserve"> </w:t>
      </w:r>
    </w:p>
    <w:p w14:paraId="041B944A" w14:textId="77777777" w:rsidR="003D57F9" w:rsidRPr="007E6B38" w:rsidRDefault="003D57F9" w:rsidP="00845C55">
      <w:pPr>
        <w:ind w:firstLine="748"/>
        <w:jc w:val="both"/>
        <w:rPr>
          <w:noProof/>
          <w:color w:val="FF0000"/>
        </w:rPr>
      </w:pPr>
    </w:p>
    <w:p w14:paraId="311480B9" w14:textId="77777777" w:rsidR="00500EEB" w:rsidRPr="007E6B38" w:rsidRDefault="00500EEB" w:rsidP="00845C55">
      <w:pPr>
        <w:ind w:firstLine="748"/>
        <w:jc w:val="both"/>
        <w:rPr>
          <w:noProof/>
          <w:color w:val="FF0000"/>
        </w:rPr>
      </w:pPr>
      <w:r w:rsidRPr="007E6B38">
        <w:rPr>
          <w:noProof/>
          <w:color w:val="FF0000"/>
        </w:rPr>
        <w:drawing>
          <wp:inline distT="0" distB="0" distL="0" distR="0" wp14:anchorId="43BDA61D" wp14:editId="21C7A78A">
            <wp:extent cx="5486400" cy="2103120"/>
            <wp:effectExtent l="0" t="0" r="0" b="11430"/>
            <wp:docPr id="14"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A9B08A1" w14:textId="77777777" w:rsidR="00F8757C" w:rsidRPr="007E6B38" w:rsidRDefault="00F8757C" w:rsidP="00845C55">
      <w:pPr>
        <w:ind w:firstLine="748"/>
        <w:jc w:val="both"/>
        <w:rPr>
          <w:noProof/>
          <w:color w:val="FF0000"/>
        </w:rPr>
      </w:pPr>
    </w:p>
    <w:p w14:paraId="28A6F702" w14:textId="77777777" w:rsidR="000338AF" w:rsidRPr="007E6B38" w:rsidRDefault="000338AF" w:rsidP="00845C55">
      <w:pPr>
        <w:ind w:firstLine="748"/>
        <w:jc w:val="both"/>
        <w:rPr>
          <w:color w:val="FF0000"/>
        </w:rPr>
      </w:pPr>
    </w:p>
    <w:p w14:paraId="285EDE92" w14:textId="681B33DF" w:rsidR="00845C55" w:rsidRPr="005103D4" w:rsidRDefault="000338AF" w:rsidP="00845C55">
      <w:pPr>
        <w:ind w:firstLine="748"/>
        <w:jc w:val="both"/>
        <w:rPr>
          <w:noProof/>
        </w:rPr>
      </w:pPr>
      <w:r w:rsidRPr="005103D4">
        <w:lastRenderedPageBreak/>
        <w:t>2018 m. Panevėžio miesto savivaldybėje TUI dydis siekė 2</w:t>
      </w:r>
      <w:r w:rsidR="005103D4" w:rsidRPr="005103D4">
        <w:t>90,3</w:t>
      </w:r>
      <w:r w:rsidRPr="005103D4">
        <w:t xml:space="preserve"> mln. Eur – 73,</w:t>
      </w:r>
      <w:r w:rsidR="005103D4" w:rsidRPr="005103D4">
        <w:t>1</w:t>
      </w:r>
      <w:r w:rsidRPr="005103D4">
        <w:t xml:space="preserve"> proc. apskrities ir 1,</w:t>
      </w:r>
      <w:r w:rsidR="005103D4" w:rsidRPr="005103D4">
        <w:t>6</w:t>
      </w:r>
      <w:r w:rsidRPr="005103D4">
        <w:t xml:space="preserve"> proc. šalies TUI. Panevėžio miestas TUI, tenkančių vienam gyventojui, pritraukė 3 </w:t>
      </w:r>
      <w:r w:rsidR="005103D4" w:rsidRPr="005103D4">
        <w:t>380</w:t>
      </w:r>
      <w:r w:rsidRPr="005103D4">
        <w:t xml:space="preserve"> Eur – beveik du kartus mažiau nei vidutiniškai pritraukta šalyje (6 </w:t>
      </w:r>
      <w:r w:rsidR="005103D4" w:rsidRPr="005103D4">
        <w:t>644</w:t>
      </w:r>
      <w:r w:rsidRPr="005103D4">
        <w:t xml:space="preserve"> Eur/ vienam gyventojui), tačiau du kartus daugiau nei apskrityje (1 827 Eur/ vienam gyventojui).</w:t>
      </w:r>
      <w:r w:rsidR="00F34BF5" w:rsidRPr="005103D4">
        <w:rPr>
          <w:noProof/>
        </w:rPr>
        <w:t xml:space="preserve"> (6 diagrama)</w:t>
      </w:r>
      <w:r w:rsidR="00845C55" w:rsidRPr="005103D4">
        <w:rPr>
          <w:noProof/>
        </w:rPr>
        <w:t>.</w:t>
      </w:r>
      <w:r w:rsidR="00334357" w:rsidRPr="005103D4">
        <w:rPr>
          <w:noProof/>
        </w:rPr>
        <w:t xml:space="preserve"> </w:t>
      </w:r>
    </w:p>
    <w:p w14:paraId="5A8D4E85" w14:textId="77777777" w:rsidR="00334357" w:rsidRPr="005103D4" w:rsidRDefault="00334357" w:rsidP="00845C55">
      <w:pPr>
        <w:ind w:firstLine="748"/>
        <w:jc w:val="both"/>
        <w:rPr>
          <w:noProof/>
        </w:rPr>
      </w:pPr>
    </w:p>
    <w:p w14:paraId="7A0A2917" w14:textId="03910B47" w:rsidR="00845C55" w:rsidRPr="005103D4" w:rsidRDefault="00942ED9" w:rsidP="00845C55">
      <w:pPr>
        <w:ind w:firstLine="748"/>
        <w:jc w:val="both"/>
        <w:rPr>
          <w:noProof/>
        </w:rPr>
      </w:pPr>
      <w:r w:rsidRPr="005103D4">
        <w:rPr>
          <w:noProof/>
        </w:rPr>
        <w:t>6</w:t>
      </w:r>
      <w:r w:rsidR="00845C55" w:rsidRPr="005103D4">
        <w:rPr>
          <w:noProof/>
        </w:rPr>
        <w:t xml:space="preserve"> diagrama. Tiesioginės užsienio investicijos</w:t>
      </w:r>
      <w:r w:rsidR="005B041F" w:rsidRPr="005103D4">
        <w:rPr>
          <w:noProof/>
        </w:rPr>
        <w:t>,</w:t>
      </w:r>
      <w:r w:rsidR="00845C55" w:rsidRPr="005103D4">
        <w:rPr>
          <w:noProof/>
        </w:rPr>
        <w:t xml:space="preserve"> tenkančios vienam gyventojui, </w:t>
      </w:r>
      <w:r w:rsidR="00765172" w:rsidRPr="005103D4">
        <w:rPr>
          <w:noProof/>
        </w:rPr>
        <w:t>E</w:t>
      </w:r>
      <w:r w:rsidR="009A3B2B">
        <w:rPr>
          <w:noProof/>
        </w:rPr>
        <w:t>ur</w:t>
      </w:r>
    </w:p>
    <w:p w14:paraId="72D76352" w14:textId="77777777" w:rsidR="00F34BF5" w:rsidRPr="007E6B38" w:rsidRDefault="00F34BF5" w:rsidP="00845C55">
      <w:pPr>
        <w:ind w:firstLine="748"/>
        <w:jc w:val="both"/>
        <w:rPr>
          <w:noProof/>
          <w:color w:val="FF0000"/>
        </w:rPr>
      </w:pPr>
      <w:r w:rsidRPr="007E6B38">
        <w:rPr>
          <w:noProof/>
          <w:color w:val="FF0000"/>
        </w:rPr>
        <w:drawing>
          <wp:inline distT="0" distB="0" distL="0" distR="0" wp14:anchorId="0A869CB3" wp14:editId="7D3C464E">
            <wp:extent cx="5486400" cy="2301240"/>
            <wp:effectExtent l="0" t="0" r="0" b="0"/>
            <wp:docPr id="17"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C0A2651" w14:textId="77777777" w:rsidR="00334357" w:rsidRPr="007E6B38" w:rsidRDefault="00334357" w:rsidP="00845C55">
      <w:pPr>
        <w:ind w:firstLine="748"/>
        <w:jc w:val="both"/>
        <w:rPr>
          <w:noProof/>
          <w:color w:val="FF0000"/>
        </w:rPr>
      </w:pPr>
    </w:p>
    <w:p w14:paraId="3C6CD010" w14:textId="77777777" w:rsidR="00F34BF5" w:rsidRPr="007E6B38" w:rsidRDefault="00F34BF5" w:rsidP="00845C55">
      <w:pPr>
        <w:ind w:firstLine="748"/>
        <w:jc w:val="both"/>
        <w:rPr>
          <w:noProof/>
          <w:color w:val="FF0000"/>
        </w:rPr>
      </w:pPr>
    </w:p>
    <w:p w14:paraId="3576B919" w14:textId="1B909EC7" w:rsidR="00845C55" w:rsidRPr="00622B76" w:rsidRDefault="00845C55" w:rsidP="00845C55">
      <w:pPr>
        <w:ind w:firstLine="748"/>
        <w:jc w:val="both"/>
        <w:rPr>
          <w:noProof/>
        </w:rPr>
      </w:pPr>
      <w:r w:rsidRPr="00622B76">
        <w:rPr>
          <w:noProof/>
        </w:rPr>
        <w:t xml:space="preserve">Panevėžio miesto tiesioginės užsienio investicijos per </w:t>
      </w:r>
      <w:r w:rsidR="00622B76" w:rsidRPr="00622B76">
        <w:rPr>
          <w:noProof/>
        </w:rPr>
        <w:t>6</w:t>
      </w:r>
      <w:r w:rsidRPr="00622B76">
        <w:rPr>
          <w:noProof/>
        </w:rPr>
        <w:t xml:space="preserve"> metus (nuo 20</w:t>
      </w:r>
      <w:r w:rsidR="006F56DD" w:rsidRPr="00622B76">
        <w:rPr>
          <w:noProof/>
        </w:rPr>
        <w:t>1</w:t>
      </w:r>
      <w:r w:rsidR="000338AF" w:rsidRPr="00622B76">
        <w:rPr>
          <w:noProof/>
        </w:rPr>
        <w:t>4</w:t>
      </w:r>
      <w:r w:rsidR="004C2AB4" w:rsidRPr="00622B76">
        <w:rPr>
          <w:noProof/>
        </w:rPr>
        <w:t xml:space="preserve"> m. </w:t>
      </w:r>
      <w:r w:rsidRPr="00622B76">
        <w:rPr>
          <w:noProof/>
        </w:rPr>
        <w:t>iki 20</w:t>
      </w:r>
      <w:r w:rsidR="00A3762B" w:rsidRPr="00622B76">
        <w:rPr>
          <w:noProof/>
        </w:rPr>
        <w:t>1</w:t>
      </w:r>
      <w:r w:rsidR="00622B76" w:rsidRPr="00622B76">
        <w:rPr>
          <w:noProof/>
        </w:rPr>
        <w:t>9</w:t>
      </w:r>
      <w:r w:rsidR="004C2AB4" w:rsidRPr="00622B76">
        <w:rPr>
          <w:noProof/>
        </w:rPr>
        <w:t xml:space="preserve"> </w:t>
      </w:r>
      <w:r w:rsidRPr="00622B76">
        <w:rPr>
          <w:noProof/>
        </w:rPr>
        <w:t xml:space="preserve">m.) </w:t>
      </w:r>
      <w:r w:rsidR="00A3762B" w:rsidRPr="00622B76">
        <w:rPr>
          <w:noProof/>
        </w:rPr>
        <w:t>didėjo</w:t>
      </w:r>
      <w:r w:rsidRPr="00622B76">
        <w:rPr>
          <w:noProof/>
        </w:rPr>
        <w:t xml:space="preserve"> </w:t>
      </w:r>
      <w:r w:rsidR="009F7D34" w:rsidRPr="00622B76">
        <w:rPr>
          <w:noProof/>
        </w:rPr>
        <w:t xml:space="preserve">beveik </w:t>
      </w:r>
      <w:r w:rsidR="000338AF" w:rsidRPr="00622B76">
        <w:rPr>
          <w:noProof/>
        </w:rPr>
        <w:t>23</w:t>
      </w:r>
      <w:r w:rsidR="00A12687" w:rsidRPr="00622B76">
        <w:rPr>
          <w:noProof/>
        </w:rPr>
        <w:t xml:space="preserve"> </w:t>
      </w:r>
      <w:r w:rsidRPr="00622B76">
        <w:rPr>
          <w:noProof/>
        </w:rPr>
        <w:t>proc. (</w:t>
      </w:r>
      <w:r w:rsidR="00942ED9" w:rsidRPr="00622B76">
        <w:rPr>
          <w:noProof/>
        </w:rPr>
        <w:t>7</w:t>
      </w:r>
      <w:r w:rsidRPr="00622B76">
        <w:rPr>
          <w:noProof/>
        </w:rPr>
        <w:t xml:space="preserve"> diagrama).</w:t>
      </w:r>
      <w:r w:rsidR="00465149" w:rsidRPr="00622B76">
        <w:rPr>
          <w:noProof/>
        </w:rPr>
        <w:t xml:space="preserve"> </w:t>
      </w:r>
    </w:p>
    <w:p w14:paraId="26A7D245" w14:textId="77777777" w:rsidR="00E93971" w:rsidRPr="00622B76" w:rsidRDefault="00E93971" w:rsidP="00845C55">
      <w:pPr>
        <w:ind w:firstLine="748"/>
        <w:jc w:val="both"/>
        <w:rPr>
          <w:noProof/>
        </w:rPr>
      </w:pPr>
    </w:p>
    <w:p w14:paraId="0F3A60E9" w14:textId="086BBDE7" w:rsidR="00845C55" w:rsidRPr="00622B76" w:rsidRDefault="00845C55" w:rsidP="00641CFF">
      <w:pPr>
        <w:tabs>
          <w:tab w:val="left" w:pos="3735"/>
        </w:tabs>
        <w:ind w:firstLine="748"/>
        <w:jc w:val="both"/>
        <w:rPr>
          <w:noProof/>
        </w:rPr>
      </w:pPr>
      <w:r w:rsidRPr="00622B76">
        <w:rPr>
          <w:noProof/>
        </w:rPr>
        <w:t xml:space="preserve"> </w:t>
      </w:r>
      <w:r w:rsidR="00942ED9" w:rsidRPr="00622B76">
        <w:rPr>
          <w:noProof/>
        </w:rPr>
        <w:t>7</w:t>
      </w:r>
      <w:r w:rsidRPr="00622B76">
        <w:rPr>
          <w:noProof/>
        </w:rPr>
        <w:t xml:space="preserve"> diagrama. Tiesioginių užsienio investicijų dinamika Panevėžio mieste</w:t>
      </w:r>
      <w:r w:rsidR="00DB173E" w:rsidRPr="00622B76">
        <w:rPr>
          <w:noProof/>
        </w:rPr>
        <w:t xml:space="preserve">, </w:t>
      </w:r>
      <w:r w:rsidR="00764FFB" w:rsidRPr="00622B76">
        <w:rPr>
          <w:noProof/>
        </w:rPr>
        <w:t>mln</w:t>
      </w:r>
      <w:r w:rsidR="00DB173E" w:rsidRPr="00622B76">
        <w:rPr>
          <w:noProof/>
        </w:rPr>
        <w:t>.</w:t>
      </w:r>
      <w:r w:rsidR="00AD6A01" w:rsidRPr="00622B76">
        <w:rPr>
          <w:noProof/>
        </w:rPr>
        <w:t xml:space="preserve"> </w:t>
      </w:r>
      <w:r w:rsidR="004C2AB4" w:rsidRPr="00622B76">
        <w:rPr>
          <w:noProof/>
        </w:rPr>
        <w:t>E</w:t>
      </w:r>
      <w:r w:rsidR="009A3B2B">
        <w:rPr>
          <w:noProof/>
        </w:rPr>
        <w:t>ur</w:t>
      </w:r>
    </w:p>
    <w:p w14:paraId="4DA474D4" w14:textId="77777777" w:rsidR="004F564C" w:rsidRPr="007E6B38" w:rsidRDefault="00AC1A07" w:rsidP="00641CFF">
      <w:pPr>
        <w:tabs>
          <w:tab w:val="left" w:pos="3735"/>
        </w:tabs>
        <w:ind w:firstLine="748"/>
        <w:jc w:val="both"/>
        <w:rPr>
          <w:noProof/>
          <w:color w:val="FF0000"/>
        </w:rPr>
      </w:pPr>
      <w:r w:rsidRPr="007E6B38">
        <w:rPr>
          <w:noProof/>
          <w:color w:val="FF0000"/>
        </w:rPr>
        <w:drawing>
          <wp:inline distT="0" distB="0" distL="0" distR="0" wp14:anchorId="5DD500B3" wp14:editId="4CC4D877">
            <wp:extent cx="5486400" cy="2148840"/>
            <wp:effectExtent l="0" t="0" r="0" b="3810"/>
            <wp:docPr id="16" name="Diagra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22CCF9" w14:textId="77777777" w:rsidR="004F564C" w:rsidRPr="007E6B38" w:rsidRDefault="004F564C" w:rsidP="00641CFF">
      <w:pPr>
        <w:tabs>
          <w:tab w:val="left" w:pos="3735"/>
        </w:tabs>
        <w:ind w:firstLine="748"/>
        <w:jc w:val="both"/>
        <w:rPr>
          <w:noProof/>
          <w:color w:val="FF0000"/>
        </w:rPr>
      </w:pPr>
    </w:p>
    <w:p w14:paraId="071E2BC6" w14:textId="77777777" w:rsidR="00845C55" w:rsidRPr="007E6B38" w:rsidRDefault="00845C55" w:rsidP="00845C55">
      <w:pPr>
        <w:ind w:firstLine="748"/>
        <w:jc w:val="both"/>
        <w:rPr>
          <w:noProof/>
          <w:color w:val="FF0000"/>
        </w:rPr>
      </w:pPr>
    </w:p>
    <w:p w14:paraId="2B821110" w14:textId="77777777" w:rsidR="008F5F9F" w:rsidRPr="007E6B38" w:rsidRDefault="008F5F9F" w:rsidP="00AF428B">
      <w:pPr>
        <w:ind w:firstLine="748"/>
        <w:jc w:val="both"/>
        <w:rPr>
          <w:color w:val="FF0000"/>
        </w:rPr>
      </w:pPr>
    </w:p>
    <w:p w14:paraId="37D56D40" w14:textId="11937FA8" w:rsidR="00AF428B" w:rsidRPr="00AE4DC6" w:rsidRDefault="008F5F9F" w:rsidP="00AF428B">
      <w:pPr>
        <w:ind w:firstLine="748"/>
        <w:jc w:val="both"/>
      </w:pPr>
      <w:r w:rsidRPr="00AE4DC6">
        <w:t>Nagrinėjant TUI  bendrai pagal užsienio investicijų pasiskirstymą, Panevėžio apskrityje 201</w:t>
      </w:r>
      <w:r w:rsidR="00AE4DC6" w:rsidRPr="00AE4DC6">
        <w:t>9</w:t>
      </w:r>
      <w:r w:rsidRPr="00AE4DC6">
        <w:t xml:space="preserve"> m. </w:t>
      </w:r>
      <w:r w:rsidR="00AE4DC6">
        <w:t xml:space="preserve">pradžioje </w:t>
      </w:r>
      <w:r w:rsidRPr="00AE4DC6">
        <w:t xml:space="preserve">didžiausios investuotojos buvo: Danija (investuota 87,88 mln. Eur), Prancūzija (investuota 61,9 mln. Eur), Vokietija (investuota 41,96 mln. Eur), Norvegija (investuota 28,44 mln. Eur), Estija (investuota 42,52 mln. Eur), Šveicarija (investuota 52,46 mln. Eur).  Šie skaičiai rodo, jog Europos valstybės palankiai žiūri į galimybę investuoti Panevėžio apskrityje. </w:t>
      </w:r>
      <w:r w:rsidR="00AF428B" w:rsidRPr="00AE4DC6">
        <w:t>(8 diagrama).</w:t>
      </w:r>
    </w:p>
    <w:p w14:paraId="11CD134F" w14:textId="77777777" w:rsidR="00E056B7" w:rsidRPr="007E6B38" w:rsidRDefault="00E056B7" w:rsidP="00AF428B">
      <w:pPr>
        <w:ind w:firstLine="748"/>
        <w:jc w:val="both"/>
        <w:rPr>
          <w:color w:val="FF0000"/>
        </w:rPr>
      </w:pPr>
    </w:p>
    <w:p w14:paraId="036A7620" w14:textId="77777777" w:rsidR="00496461" w:rsidRPr="007E6B38" w:rsidRDefault="009B33EA" w:rsidP="00AF428B">
      <w:pPr>
        <w:ind w:firstLine="748"/>
        <w:jc w:val="both"/>
        <w:rPr>
          <w:color w:val="FF0000"/>
        </w:rPr>
      </w:pPr>
      <w:r w:rsidRPr="007E6B38">
        <w:rPr>
          <w:noProof/>
          <w:color w:val="FF0000"/>
        </w:rPr>
        <w:drawing>
          <wp:inline distT="0" distB="0" distL="0" distR="0" wp14:anchorId="4BC0D6C6" wp14:editId="24E9586E">
            <wp:extent cx="5486400" cy="3200400"/>
            <wp:effectExtent l="0" t="0" r="0" b="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42547C" w14:textId="77777777" w:rsidR="006959A6" w:rsidRPr="007E6B38" w:rsidRDefault="00E056B7" w:rsidP="00E056B7">
      <w:pPr>
        <w:jc w:val="both"/>
        <w:rPr>
          <w:color w:val="FF0000"/>
        </w:rPr>
      </w:pPr>
      <w:r w:rsidRPr="007E6B38">
        <w:rPr>
          <w:color w:val="FF0000"/>
        </w:rPr>
        <w:t xml:space="preserve">     </w:t>
      </w:r>
    </w:p>
    <w:p w14:paraId="59AFEEFD" w14:textId="77777777" w:rsidR="00102296" w:rsidRPr="00AE4DC6" w:rsidRDefault="00102296" w:rsidP="00102296">
      <w:pPr>
        <w:ind w:firstLine="748"/>
        <w:jc w:val="both"/>
      </w:pPr>
      <w:r w:rsidRPr="00AE4DC6">
        <w:t>Materialinės investicijos (toliau – MI) yra puikus indikatorius nustatyti tikslinės teritorijos ekonominį auginimą, veiklos rūšių finansavimo pasiskirstymą, o taip pat ir regiono, šiuo atveju miesto pajėgumą pritraukti investicijų ir turėti ekonomikos augimo centrų. Ekonominės veiklos rūšių pasiskirstymas per MI gali parodyti miesto stiprybes, kurias galima plėtoti tampant lyderiais, bei trūkumus, kurie stabdo miesto augimą.</w:t>
      </w:r>
    </w:p>
    <w:p w14:paraId="4D7046DC" w14:textId="48C39E1F" w:rsidR="00102296" w:rsidRPr="004B2B67" w:rsidRDefault="00102296" w:rsidP="00102296">
      <w:pPr>
        <w:ind w:firstLine="748"/>
        <w:jc w:val="both"/>
      </w:pPr>
      <w:r w:rsidRPr="004B2B67">
        <w:t>201</w:t>
      </w:r>
      <w:r w:rsidR="004B2B67" w:rsidRPr="004B2B67">
        <w:t>9</w:t>
      </w:r>
      <w:r w:rsidRPr="004B2B67">
        <w:t xml:space="preserve"> m.</w:t>
      </w:r>
      <w:r w:rsidR="004B2B67" w:rsidRPr="004B2B67">
        <w:t xml:space="preserve"> </w:t>
      </w:r>
      <w:r w:rsidRPr="004B2B67">
        <w:t>Panevėžio miesto savivaldybėje MI dydis siekė 1</w:t>
      </w:r>
      <w:r w:rsidR="004B2B67" w:rsidRPr="004B2B67">
        <w:t>80,9 tūkst.</w:t>
      </w:r>
      <w:r w:rsidRPr="004B2B67">
        <w:t xml:space="preserve"> Eur</w:t>
      </w:r>
      <w:r w:rsidR="009A3B2B">
        <w:t>. Tai sudarė</w:t>
      </w:r>
      <w:r w:rsidRPr="004B2B67">
        <w:t xml:space="preserve"> 56,</w:t>
      </w:r>
      <w:r w:rsidR="004B2B67" w:rsidRPr="004B2B67">
        <w:t>7</w:t>
      </w:r>
      <w:r w:rsidRPr="004B2B67">
        <w:t xml:space="preserve"> proc. apskrities ir </w:t>
      </w:r>
      <w:r w:rsidR="004B2B67" w:rsidRPr="004B2B67">
        <w:t>1,9</w:t>
      </w:r>
      <w:r w:rsidRPr="004B2B67">
        <w:t xml:space="preserve"> proc. šalies MI. </w:t>
      </w:r>
    </w:p>
    <w:p w14:paraId="675B55CA" w14:textId="77777777" w:rsidR="00AF428B" w:rsidRPr="004B2B67" w:rsidRDefault="00AF428B" w:rsidP="00AF428B">
      <w:pPr>
        <w:ind w:firstLine="748"/>
      </w:pPr>
    </w:p>
    <w:p w14:paraId="35F7077E" w14:textId="312D69AF" w:rsidR="00C0558F" w:rsidRDefault="00C0558F" w:rsidP="00C0558F">
      <w:pPr>
        <w:ind w:firstLine="748"/>
        <w:rPr>
          <w:noProof/>
        </w:rPr>
      </w:pPr>
      <w:r w:rsidRPr="004B2B67">
        <w:rPr>
          <w:noProof/>
        </w:rPr>
        <w:t xml:space="preserve">Materialinių investicijų dinamika Panevėžio mieste, </w:t>
      </w:r>
      <w:r w:rsidR="00920098" w:rsidRPr="004B2B67">
        <w:rPr>
          <w:noProof/>
        </w:rPr>
        <w:t>mln.</w:t>
      </w:r>
      <w:r w:rsidR="00D1343F" w:rsidRPr="004B2B67">
        <w:rPr>
          <w:noProof/>
        </w:rPr>
        <w:t xml:space="preserve"> </w:t>
      </w:r>
      <w:r w:rsidR="00920098" w:rsidRPr="004B2B67">
        <w:rPr>
          <w:noProof/>
        </w:rPr>
        <w:t>E</w:t>
      </w:r>
      <w:r w:rsidR="009A3B2B">
        <w:rPr>
          <w:noProof/>
        </w:rPr>
        <w:t>ur</w:t>
      </w:r>
      <w:r w:rsidRPr="004B2B67">
        <w:rPr>
          <w:noProof/>
        </w:rPr>
        <w:t>.</w:t>
      </w:r>
    </w:p>
    <w:p w14:paraId="553BFB71" w14:textId="55727C41" w:rsidR="004B2B67" w:rsidRPr="004B2B67" w:rsidRDefault="004B2B67" w:rsidP="00C0558F">
      <w:pPr>
        <w:ind w:firstLine="748"/>
        <w:rPr>
          <w:noProof/>
        </w:rPr>
      </w:pPr>
      <w:r>
        <w:rPr>
          <w:noProof/>
        </w:rPr>
        <w:t>9 diagrama.</w:t>
      </w:r>
    </w:p>
    <w:p w14:paraId="60E72FD5" w14:textId="77777777" w:rsidR="00660122" w:rsidRPr="007E6B38" w:rsidRDefault="00660122" w:rsidP="00C0558F">
      <w:pPr>
        <w:ind w:firstLine="748"/>
        <w:rPr>
          <w:noProof/>
          <w:color w:val="FF0000"/>
        </w:rPr>
      </w:pPr>
      <w:r w:rsidRPr="007E6B38">
        <w:rPr>
          <w:noProof/>
          <w:color w:val="FF0000"/>
        </w:rPr>
        <w:drawing>
          <wp:inline distT="0" distB="0" distL="0" distR="0" wp14:anchorId="4C5EC720" wp14:editId="5C027ACC">
            <wp:extent cx="5486400" cy="2232660"/>
            <wp:effectExtent l="0" t="0" r="0" b="15240"/>
            <wp:docPr id="19" name="Diagra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022EE06" w14:textId="77777777" w:rsidR="00660122" w:rsidRPr="007E6B38" w:rsidRDefault="00660122" w:rsidP="00C0558F">
      <w:pPr>
        <w:ind w:firstLine="748"/>
        <w:rPr>
          <w:noProof/>
          <w:color w:val="FF0000"/>
        </w:rPr>
      </w:pPr>
    </w:p>
    <w:p w14:paraId="2F7536E3" w14:textId="77777777" w:rsidR="00473249" w:rsidRPr="007E6B38" w:rsidRDefault="00473249" w:rsidP="008F6506">
      <w:pPr>
        <w:ind w:firstLine="748"/>
        <w:jc w:val="both"/>
        <w:rPr>
          <w:noProof/>
          <w:color w:val="FF0000"/>
        </w:rPr>
      </w:pPr>
    </w:p>
    <w:p w14:paraId="26812457" w14:textId="77777777" w:rsidR="00AB0812" w:rsidRDefault="00AB0812" w:rsidP="008F6506">
      <w:pPr>
        <w:ind w:firstLine="748"/>
        <w:jc w:val="both"/>
        <w:rPr>
          <w:noProof/>
        </w:rPr>
      </w:pPr>
    </w:p>
    <w:p w14:paraId="38AC938C" w14:textId="77777777" w:rsidR="00AB0812" w:rsidRDefault="00AB0812" w:rsidP="008F6506">
      <w:pPr>
        <w:ind w:firstLine="748"/>
        <w:jc w:val="both"/>
        <w:rPr>
          <w:noProof/>
        </w:rPr>
      </w:pPr>
    </w:p>
    <w:p w14:paraId="0E01D575" w14:textId="77777777" w:rsidR="00AB0812" w:rsidRDefault="00AB0812" w:rsidP="008F6506">
      <w:pPr>
        <w:ind w:firstLine="748"/>
        <w:jc w:val="both"/>
        <w:rPr>
          <w:noProof/>
        </w:rPr>
      </w:pPr>
    </w:p>
    <w:p w14:paraId="36C6792D" w14:textId="77777777" w:rsidR="00AB0812" w:rsidRDefault="00AB0812" w:rsidP="008F6506">
      <w:pPr>
        <w:ind w:firstLine="748"/>
        <w:jc w:val="both"/>
        <w:rPr>
          <w:noProof/>
        </w:rPr>
      </w:pPr>
    </w:p>
    <w:p w14:paraId="27965703" w14:textId="77777777" w:rsidR="00AB0812" w:rsidRDefault="00AB0812" w:rsidP="008F6506">
      <w:pPr>
        <w:ind w:firstLine="748"/>
        <w:jc w:val="both"/>
        <w:rPr>
          <w:noProof/>
        </w:rPr>
      </w:pPr>
    </w:p>
    <w:p w14:paraId="60C1131A" w14:textId="77777777" w:rsidR="00AB0812" w:rsidRDefault="00AB0812" w:rsidP="008F6506">
      <w:pPr>
        <w:ind w:firstLine="748"/>
        <w:jc w:val="both"/>
        <w:rPr>
          <w:noProof/>
        </w:rPr>
      </w:pPr>
    </w:p>
    <w:p w14:paraId="1F172E4F" w14:textId="77777777" w:rsidR="00AB0812" w:rsidRDefault="00AB0812" w:rsidP="008F6506">
      <w:pPr>
        <w:ind w:firstLine="748"/>
        <w:jc w:val="both"/>
        <w:rPr>
          <w:noProof/>
        </w:rPr>
      </w:pPr>
    </w:p>
    <w:p w14:paraId="747C9826" w14:textId="77777777" w:rsidR="00AB0812" w:rsidRDefault="00AB0812" w:rsidP="008F6506">
      <w:pPr>
        <w:ind w:firstLine="748"/>
        <w:jc w:val="both"/>
        <w:rPr>
          <w:noProof/>
        </w:rPr>
      </w:pPr>
    </w:p>
    <w:p w14:paraId="0EE7FC27" w14:textId="77777777" w:rsidR="00AB0812" w:rsidRDefault="00AB0812" w:rsidP="008F6506">
      <w:pPr>
        <w:ind w:firstLine="748"/>
        <w:jc w:val="both"/>
        <w:rPr>
          <w:noProof/>
        </w:rPr>
      </w:pPr>
    </w:p>
    <w:p w14:paraId="3EC7763C" w14:textId="6AE5D9F8" w:rsidR="008F6506" w:rsidRPr="004B2B67" w:rsidRDefault="004B2B67" w:rsidP="008F6506">
      <w:pPr>
        <w:ind w:firstLine="748"/>
        <w:jc w:val="both"/>
        <w:rPr>
          <w:noProof/>
        </w:rPr>
      </w:pPr>
      <w:r w:rsidRPr="004B2B67">
        <w:rPr>
          <w:noProof/>
        </w:rPr>
        <w:t>10</w:t>
      </w:r>
      <w:r w:rsidR="008F6506" w:rsidRPr="004B2B67">
        <w:rPr>
          <w:noProof/>
        </w:rPr>
        <w:t xml:space="preserve"> diagrama. Nedarbo lygis</w:t>
      </w:r>
      <w:r w:rsidR="00F31CB6" w:rsidRPr="004B2B67">
        <w:rPr>
          <w:noProof/>
        </w:rPr>
        <w:t xml:space="preserve"> (registruotų bedarbių ir darbingo amžiaus gyventojų santykis)</w:t>
      </w:r>
      <w:r w:rsidR="008F6506" w:rsidRPr="004B2B67">
        <w:rPr>
          <w:noProof/>
        </w:rPr>
        <w:t xml:space="preserve"> Panevėžio mieste, </w:t>
      </w:r>
      <w:r w:rsidR="00D1343F" w:rsidRPr="004B2B67">
        <w:rPr>
          <w:noProof/>
        </w:rPr>
        <w:t>procentai</w:t>
      </w:r>
    </w:p>
    <w:p w14:paraId="050FB87D" w14:textId="77777777" w:rsidR="00C14E9A" w:rsidRPr="007E6B38" w:rsidRDefault="00C14E9A" w:rsidP="008F6506">
      <w:pPr>
        <w:ind w:firstLine="748"/>
        <w:jc w:val="both"/>
        <w:rPr>
          <w:color w:val="FF0000"/>
        </w:rPr>
      </w:pPr>
    </w:p>
    <w:p w14:paraId="47253AF9" w14:textId="77777777" w:rsidR="00C14E9A" w:rsidRPr="007E6B38" w:rsidRDefault="00C14E9A" w:rsidP="00C14E9A">
      <w:pPr>
        <w:ind w:firstLine="748"/>
        <w:jc w:val="both"/>
        <w:rPr>
          <w:color w:val="FF0000"/>
        </w:rPr>
      </w:pPr>
      <w:r w:rsidRPr="007E6B38">
        <w:rPr>
          <w:noProof/>
          <w:color w:val="FF0000"/>
        </w:rPr>
        <w:drawing>
          <wp:inline distT="0" distB="0" distL="0" distR="0" wp14:anchorId="77D0B199" wp14:editId="225A95CC">
            <wp:extent cx="5486400" cy="1653540"/>
            <wp:effectExtent l="0" t="0" r="0" b="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A5438B2" w14:textId="77777777" w:rsidR="00C14E9A" w:rsidRPr="007E6B38" w:rsidRDefault="00C14E9A" w:rsidP="00C14E9A">
      <w:pPr>
        <w:ind w:firstLine="748"/>
        <w:jc w:val="both"/>
        <w:rPr>
          <w:color w:val="FF0000"/>
        </w:rPr>
      </w:pPr>
    </w:p>
    <w:p w14:paraId="0C10077E" w14:textId="77777777" w:rsidR="00C14E9A" w:rsidRPr="007E6B38" w:rsidRDefault="00C14E9A" w:rsidP="008F6506">
      <w:pPr>
        <w:ind w:firstLine="748"/>
        <w:jc w:val="both"/>
        <w:rPr>
          <w:color w:val="FF0000"/>
        </w:rPr>
      </w:pPr>
    </w:p>
    <w:p w14:paraId="5DFC25F1" w14:textId="702FD0C1" w:rsidR="00432D97" w:rsidRPr="00FE117D" w:rsidRDefault="00432D97" w:rsidP="00432D97">
      <w:pPr>
        <w:ind w:firstLine="748"/>
        <w:jc w:val="both"/>
      </w:pPr>
      <w:r w:rsidRPr="00FE117D">
        <w:t>Veikiančių ūkio subjektų skaičius, tenkantis tūkstančiui gyventojų Panevėžio mieste 20</w:t>
      </w:r>
      <w:r w:rsidR="00290612">
        <w:t>20</w:t>
      </w:r>
      <w:r w:rsidRPr="00FE117D">
        <w:t xml:space="preserve"> m. siekė</w:t>
      </w:r>
      <w:r w:rsidR="00F062A2">
        <w:t xml:space="preserve"> </w:t>
      </w:r>
      <w:r w:rsidR="00F062A2" w:rsidRPr="00F062A2">
        <w:t>–</w:t>
      </w:r>
      <w:r w:rsidR="00F062A2">
        <w:t xml:space="preserve"> </w:t>
      </w:r>
      <w:r w:rsidRPr="00FE117D">
        <w:t xml:space="preserve"> 4</w:t>
      </w:r>
      <w:r w:rsidR="00FE117D" w:rsidRPr="00FE117D">
        <w:t>1,2</w:t>
      </w:r>
      <w:r w:rsidR="00F062A2">
        <w:t>;</w:t>
      </w:r>
      <w:r w:rsidRPr="00FE117D">
        <w:t xml:space="preserve"> šalyje </w:t>
      </w:r>
      <w:r w:rsidR="00F062A2" w:rsidRPr="00F062A2">
        <w:t>–</w:t>
      </w:r>
      <w:r w:rsidR="00F062A2">
        <w:t xml:space="preserve"> </w:t>
      </w:r>
      <w:r w:rsidRPr="00FE117D">
        <w:t>37,6</w:t>
      </w:r>
      <w:r w:rsidR="00F062A2">
        <w:t>;</w:t>
      </w:r>
      <w:r w:rsidRPr="00FE117D">
        <w:t xml:space="preserve"> apskrityje</w:t>
      </w:r>
      <w:r w:rsidR="00F062A2">
        <w:t xml:space="preserve"> </w:t>
      </w:r>
      <w:r w:rsidR="00F062A2" w:rsidRPr="00F062A2">
        <w:t>–</w:t>
      </w:r>
      <w:r w:rsidR="00F062A2">
        <w:t xml:space="preserve"> </w:t>
      </w:r>
      <w:r w:rsidRPr="00FE117D">
        <w:t>29,8</w:t>
      </w:r>
      <w:r w:rsidR="00F062A2">
        <w:t>. T</w:t>
      </w:r>
      <w:r w:rsidRPr="00FE117D">
        <w:t xml:space="preserve">ačiau </w:t>
      </w:r>
      <w:r w:rsidR="00F062A2">
        <w:t xml:space="preserve">mieste buvo </w:t>
      </w:r>
      <w:r w:rsidRPr="00FE117D">
        <w:t xml:space="preserve">mažesnis nei didžiuosiuose </w:t>
      </w:r>
      <w:r w:rsidR="00F062A2">
        <w:t xml:space="preserve">Lietuvos </w:t>
      </w:r>
      <w:r w:rsidRPr="00FE117D">
        <w:t>miestuose.</w:t>
      </w:r>
    </w:p>
    <w:p w14:paraId="2D487F18" w14:textId="77777777" w:rsidR="00432D97" w:rsidRPr="00FE117D" w:rsidRDefault="00432D97" w:rsidP="008F6506">
      <w:pPr>
        <w:ind w:firstLine="748"/>
        <w:jc w:val="both"/>
      </w:pPr>
    </w:p>
    <w:p w14:paraId="51408ED0" w14:textId="52EEE602" w:rsidR="008F6506" w:rsidRPr="00FE117D" w:rsidRDefault="008F6506" w:rsidP="008F6506">
      <w:pPr>
        <w:ind w:firstLine="748"/>
        <w:jc w:val="both"/>
        <w:rPr>
          <w:noProof/>
        </w:rPr>
      </w:pPr>
      <w:r w:rsidRPr="00FE117D">
        <w:t>20</w:t>
      </w:r>
      <w:r w:rsidR="00FE117D" w:rsidRPr="00FE117D">
        <w:t>20</w:t>
      </w:r>
      <w:r w:rsidRPr="00FE117D">
        <w:t xml:space="preserve"> m. Panevėžyje veikė </w:t>
      </w:r>
      <w:r w:rsidR="00474648" w:rsidRPr="00FE117D">
        <w:t>35</w:t>
      </w:r>
      <w:r w:rsidR="00FE117D" w:rsidRPr="00FE117D">
        <w:t>38</w:t>
      </w:r>
      <w:r w:rsidRPr="00FE117D">
        <w:t xml:space="preserve"> ūkio subjekta</w:t>
      </w:r>
      <w:r w:rsidR="00FD43B1" w:rsidRPr="00FE117D">
        <w:t>i</w:t>
      </w:r>
      <w:r w:rsidRPr="00FE117D">
        <w:t xml:space="preserve"> ir </w:t>
      </w:r>
      <w:r w:rsidR="00F45903" w:rsidRPr="00FE117D">
        <w:t xml:space="preserve">per </w:t>
      </w:r>
      <w:r w:rsidR="00FE117D" w:rsidRPr="00FE117D">
        <w:t>7</w:t>
      </w:r>
      <w:r w:rsidR="00F45903" w:rsidRPr="00FE117D">
        <w:t xml:space="preserve"> metus </w:t>
      </w:r>
      <w:r w:rsidR="00B178F9" w:rsidRPr="00FE117D">
        <w:t>išaugo</w:t>
      </w:r>
      <w:r w:rsidR="00F45903" w:rsidRPr="00FE117D">
        <w:t xml:space="preserve"> </w:t>
      </w:r>
      <w:r w:rsidR="00FE117D" w:rsidRPr="00FE117D">
        <w:t xml:space="preserve">6,5 </w:t>
      </w:r>
      <w:r w:rsidR="00F45903" w:rsidRPr="00FE117D">
        <w:t>p</w:t>
      </w:r>
      <w:r w:rsidRPr="00FE117D">
        <w:t xml:space="preserve">roc. </w:t>
      </w:r>
      <w:r w:rsidRPr="00FE117D">
        <w:rPr>
          <w:noProof/>
        </w:rPr>
        <w:t>(žr.</w:t>
      </w:r>
      <w:r w:rsidR="00031224" w:rsidRPr="00FE117D">
        <w:rPr>
          <w:noProof/>
        </w:rPr>
        <w:t>1</w:t>
      </w:r>
      <w:r w:rsidR="00FE117D" w:rsidRPr="00FE117D">
        <w:rPr>
          <w:noProof/>
        </w:rPr>
        <w:t>1</w:t>
      </w:r>
      <w:r w:rsidRPr="00FE117D">
        <w:rPr>
          <w:noProof/>
        </w:rPr>
        <w:t xml:space="preserve"> diagramą). Mieste dominuoja įmonės, kuriose dirba 1-9 dirbantieji.</w:t>
      </w:r>
    </w:p>
    <w:p w14:paraId="34B3AC43" w14:textId="77777777" w:rsidR="00473249" w:rsidRPr="00FE117D" w:rsidRDefault="00473249" w:rsidP="008F6506">
      <w:pPr>
        <w:ind w:firstLine="748"/>
        <w:jc w:val="both"/>
        <w:rPr>
          <w:noProof/>
        </w:rPr>
      </w:pPr>
    </w:p>
    <w:p w14:paraId="6BE452FD" w14:textId="6B6CEC53" w:rsidR="008F6506" w:rsidRPr="00FE117D" w:rsidRDefault="00031224" w:rsidP="008F6506">
      <w:pPr>
        <w:ind w:firstLine="748"/>
        <w:jc w:val="both"/>
        <w:rPr>
          <w:noProof/>
        </w:rPr>
      </w:pPr>
      <w:r w:rsidRPr="00FE117D">
        <w:rPr>
          <w:noProof/>
        </w:rPr>
        <w:t>1</w:t>
      </w:r>
      <w:r w:rsidR="00FE117D" w:rsidRPr="00FE117D">
        <w:rPr>
          <w:noProof/>
        </w:rPr>
        <w:t>1</w:t>
      </w:r>
      <w:r w:rsidR="008F6506" w:rsidRPr="00FE117D">
        <w:rPr>
          <w:noProof/>
        </w:rPr>
        <w:t xml:space="preserve"> diagrama. Veikiantys ūkio subjektai Panevėžio mieste, vnt.</w:t>
      </w:r>
    </w:p>
    <w:p w14:paraId="3150AD25" w14:textId="77777777" w:rsidR="00432D97" w:rsidRPr="007E6B38" w:rsidRDefault="00432D97" w:rsidP="008F6506">
      <w:pPr>
        <w:ind w:firstLine="748"/>
        <w:jc w:val="both"/>
        <w:rPr>
          <w:noProof/>
          <w:color w:val="FF0000"/>
        </w:rPr>
      </w:pPr>
    </w:p>
    <w:p w14:paraId="7F0F3A61" w14:textId="77777777" w:rsidR="00DE3076" w:rsidRPr="007E6B38" w:rsidRDefault="00DE3076" w:rsidP="008F6506">
      <w:pPr>
        <w:ind w:firstLine="748"/>
        <w:jc w:val="both"/>
        <w:rPr>
          <w:noProof/>
          <w:color w:val="FF0000"/>
        </w:rPr>
      </w:pPr>
    </w:p>
    <w:p w14:paraId="063FA88F" w14:textId="77777777" w:rsidR="00DD7F0A" w:rsidRPr="007E6B38" w:rsidRDefault="00DE3076" w:rsidP="008F6506">
      <w:pPr>
        <w:ind w:firstLine="748"/>
        <w:jc w:val="both"/>
        <w:rPr>
          <w:noProof/>
          <w:color w:val="FF0000"/>
        </w:rPr>
      </w:pPr>
      <w:r w:rsidRPr="007E6B38">
        <w:rPr>
          <w:noProof/>
          <w:color w:val="FF0000"/>
        </w:rPr>
        <w:drawing>
          <wp:inline distT="0" distB="0" distL="0" distR="0" wp14:anchorId="7E8C9E2E" wp14:editId="20F3EC34">
            <wp:extent cx="5486400" cy="1539240"/>
            <wp:effectExtent l="0" t="0" r="0" b="3810"/>
            <wp:docPr id="34" name="Diagrama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332193D" w14:textId="77777777" w:rsidR="008F6506" w:rsidRPr="007E6B38" w:rsidRDefault="008F6506" w:rsidP="008F6506">
      <w:pPr>
        <w:ind w:firstLine="748"/>
        <w:jc w:val="both"/>
        <w:rPr>
          <w:color w:val="FF0000"/>
        </w:rPr>
      </w:pPr>
    </w:p>
    <w:p w14:paraId="43FF2834" w14:textId="77777777" w:rsidR="006B59A5" w:rsidRPr="007E6B38" w:rsidRDefault="006B59A5" w:rsidP="00845C55">
      <w:pPr>
        <w:tabs>
          <w:tab w:val="left" w:pos="748"/>
        </w:tabs>
        <w:ind w:left="187" w:firstLine="561"/>
        <w:jc w:val="both"/>
        <w:rPr>
          <w:b/>
          <w:noProof/>
          <w:color w:val="FF0000"/>
        </w:rPr>
      </w:pPr>
    </w:p>
    <w:p w14:paraId="2EB63413" w14:textId="77777777" w:rsidR="00432D97" w:rsidRPr="007E6B38" w:rsidRDefault="00432D97" w:rsidP="00845C55">
      <w:pPr>
        <w:tabs>
          <w:tab w:val="left" w:pos="748"/>
        </w:tabs>
        <w:ind w:left="187" w:firstLine="561"/>
        <w:jc w:val="both"/>
        <w:rPr>
          <w:color w:val="FF0000"/>
        </w:rPr>
      </w:pPr>
    </w:p>
    <w:p w14:paraId="1EF886EF" w14:textId="26DC2FAE" w:rsidR="00F45903" w:rsidRPr="00A57F9A" w:rsidRDefault="00F45903" w:rsidP="00845C55">
      <w:pPr>
        <w:tabs>
          <w:tab w:val="left" w:pos="748"/>
        </w:tabs>
        <w:ind w:left="187" w:firstLine="561"/>
        <w:jc w:val="both"/>
      </w:pPr>
      <w:r w:rsidRPr="00A57F9A">
        <w:t xml:space="preserve">Įmonių skaičius, tenkantis tūkstančiui gyventojų, parodo verslumo lygį. Lietuvos verslumo lygis </w:t>
      </w:r>
      <w:r w:rsidR="00D77C7E" w:rsidRPr="00A57F9A">
        <w:t>1,5</w:t>
      </w:r>
      <w:r w:rsidR="00D235B9" w:rsidRPr="00A57F9A">
        <w:t xml:space="preserve"> </w:t>
      </w:r>
      <w:r w:rsidRPr="00A57F9A">
        <w:t xml:space="preserve"> kart</w:t>
      </w:r>
      <w:r w:rsidR="00D77C7E" w:rsidRPr="00A57F9A">
        <w:t>o</w:t>
      </w:r>
      <w:r w:rsidRPr="00A57F9A">
        <w:t xml:space="preserve"> mažesnis nei ES</w:t>
      </w:r>
      <w:r w:rsidR="00D235B9" w:rsidRPr="00A57F9A">
        <w:t xml:space="preserve"> (tūkstančiui gyventojų tenka maždaug </w:t>
      </w:r>
      <w:r w:rsidR="00D77C7E" w:rsidRPr="00A57F9A">
        <w:t>60 įmonių</w:t>
      </w:r>
      <w:r w:rsidR="00D235B9" w:rsidRPr="00A57F9A">
        <w:t>)</w:t>
      </w:r>
      <w:r w:rsidR="00A57F9A" w:rsidRPr="00A57F9A">
        <w:t xml:space="preserve">. </w:t>
      </w:r>
      <w:r w:rsidR="00922756" w:rsidRPr="00A57F9A">
        <w:t>Pagal šį rodiklį Panevėžys yra beveik tapatus šalies rodikliui.</w:t>
      </w:r>
    </w:p>
    <w:p w14:paraId="3F5D43FC" w14:textId="77777777" w:rsidR="00F45903" w:rsidRPr="00A57F9A" w:rsidRDefault="00F45903" w:rsidP="00845C55">
      <w:pPr>
        <w:tabs>
          <w:tab w:val="left" w:pos="748"/>
        </w:tabs>
        <w:ind w:left="187" w:firstLine="561"/>
        <w:jc w:val="both"/>
        <w:rPr>
          <w:b/>
          <w:noProof/>
        </w:rPr>
      </w:pPr>
    </w:p>
    <w:p w14:paraId="7805E71F" w14:textId="77777777" w:rsidR="00845C55" w:rsidRPr="00A57F9A" w:rsidRDefault="006E14D9" w:rsidP="00845C55">
      <w:pPr>
        <w:tabs>
          <w:tab w:val="left" w:pos="748"/>
        </w:tabs>
        <w:ind w:left="187" w:firstLine="561"/>
        <w:jc w:val="both"/>
      </w:pPr>
      <w:r w:rsidRPr="00A57F9A">
        <w:rPr>
          <w:b/>
          <w:noProof/>
        </w:rPr>
        <w:t>II PRIORITETAS.</w:t>
      </w:r>
      <w:r w:rsidR="000072D9" w:rsidRPr="00A57F9A">
        <w:rPr>
          <w:b/>
          <w:noProof/>
        </w:rPr>
        <w:t xml:space="preserve"> </w:t>
      </w:r>
      <w:r w:rsidR="000072D9" w:rsidRPr="00A57F9A">
        <w:t>Kokybiškų gyvenimo sąlygų ir aukštos socialinės gerovės kūrimas</w:t>
      </w:r>
      <w:r w:rsidR="005251A3" w:rsidRPr="00A57F9A">
        <w:t>.</w:t>
      </w:r>
    </w:p>
    <w:p w14:paraId="15808288" w14:textId="77777777" w:rsidR="00013AFD" w:rsidRPr="00A57F9A" w:rsidRDefault="00013AFD" w:rsidP="00845C55">
      <w:pPr>
        <w:tabs>
          <w:tab w:val="left" w:pos="748"/>
        </w:tabs>
        <w:ind w:left="187" w:firstLine="561"/>
        <w:jc w:val="both"/>
      </w:pPr>
    </w:p>
    <w:p w14:paraId="7E1C4F07" w14:textId="77777777" w:rsidR="00031224" w:rsidRPr="00A57F9A" w:rsidRDefault="00BD0A9A" w:rsidP="00845C55">
      <w:pPr>
        <w:tabs>
          <w:tab w:val="left" w:pos="748"/>
        </w:tabs>
        <w:ind w:left="187" w:firstLine="561"/>
        <w:jc w:val="both"/>
        <w:rPr>
          <w:noProof/>
        </w:rPr>
      </w:pPr>
      <w:r w:rsidRPr="00A57F9A">
        <w:rPr>
          <w:noProof/>
        </w:rPr>
        <w:t xml:space="preserve">II prioritete nurodytos priemonės </w:t>
      </w:r>
      <w:r w:rsidR="00044667" w:rsidRPr="00A57F9A">
        <w:rPr>
          <w:noProof/>
        </w:rPr>
        <w:t>apima švietimą, sveikatos, socialinę apsaugą, kultūrą ir meną</w:t>
      </w:r>
      <w:r w:rsidR="005E7A56" w:rsidRPr="00A57F9A">
        <w:rPr>
          <w:noProof/>
        </w:rPr>
        <w:t xml:space="preserve">, </w:t>
      </w:r>
      <w:r w:rsidR="00044667" w:rsidRPr="00A57F9A">
        <w:rPr>
          <w:noProof/>
        </w:rPr>
        <w:t>kūno kultūrą ir sportą, viešąjį saugumą.</w:t>
      </w:r>
    </w:p>
    <w:p w14:paraId="1F10C584" w14:textId="22E92AA0" w:rsidR="00845C55" w:rsidRPr="00A57F9A" w:rsidRDefault="00845C55" w:rsidP="00845C55">
      <w:pPr>
        <w:ind w:firstLine="748"/>
        <w:jc w:val="both"/>
        <w:rPr>
          <w:noProof/>
        </w:rPr>
      </w:pPr>
      <w:r w:rsidRPr="00A57F9A">
        <w:rPr>
          <w:noProof/>
        </w:rPr>
        <w:t xml:space="preserve">Strateginio plano II-o prioriteto priemonių vykdymas pavaizduotas </w:t>
      </w:r>
      <w:r w:rsidR="00031224" w:rsidRPr="00A57F9A">
        <w:rPr>
          <w:noProof/>
        </w:rPr>
        <w:t>1</w:t>
      </w:r>
      <w:r w:rsidR="00A57F9A" w:rsidRPr="00A57F9A">
        <w:rPr>
          <w:noProof/>
        </w:rPr>
        <w:t>2</w:t>
      </w:r>
      <w:r w:rsidRPr="00A57F9A">
        <w:rPr>
          <w:noProof/>
        </w:rPr>
        <w:t xml:space="preserve"> diagramoje.</w:t>
      </w:r>
    </w:p>
    <w:p w14:paraId="61762A19" w14:textId="77777777" w:rsidR="00845C55" w:rsidRPr="00A57F9A" w:rsidRDefault="00845C55" w:rsidP="00845C55">
      <w:pPr>
        <w:ind w:firstLine="748"/>
        <w:jc w:val="both"/>
        <w:rPr>
          <w:noProof/>
        </w:rPr>
      </w:pPr>
    </w:p>
    <w:p w14:paraId="0D39F66C" w14:textId="77777777" w:rsidR="00641CFF" w:rsidRPr="007E6B38" w:rsidRDefault="00B178F9" w:rsidP="00845C55">
      <w:pPr>
        <w:ind w:firstLine="748"/>
        <w:jc w:val="both"/>
        <w:rPr>
          <w:noProof/>
          <w:color w:val="FF0000"/>
        </w:rPr>
      </w:pPr>
      <w:r w:rsidRPr="007E6B38">
        <w:rPr>
          <w:i/>
          <w:noProof/>
          <w:color w:val="FF0000"/>
        </w:rPr>
        <w:drawing>
          <wp:inline distT="0" distB="0" distL="0" distR="0" wp14:anchorId="73FC6894" wp14:editId="11C3045F">
            <wp:extent cx="5554980" cy="2423160"/>
            <wp:effectExtent l="0" t="0" r="7620" b="1524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3AF51F3" w14:textId="77777777" w:rsidR="00641CFF" w:rsidRPr="007E6B38" w:rsidRDefault="00641CFF" w:rsidP="00845C55">
      <w:pPr>
        <w:ind w:firstLine="748"/>
        <w:jc w:val="both"/>
        <w:rPr>
          <w:noProof/>
          <w:color w:val="FF0000"/>
        </w:rPr>
      </w:pPr>
    </w:p>
    <w:p w14:paraId="299E5AF9" w14:textId="77777777" w:rsidR="003A697F" w:rsidRPr="006D60FA" w:rsidRDefault="003A697F" w:rsidP="00641CFF">
      <w:pPr>
        <w:ind w:firstLine="748"/>
        <w:jc w:val="both"/>
        <w:rPr>
          <w:noProof/>
        </w:rPr>
      </w:pPr>
    </w:p>
    <w:p w14:paraId="3B14BFF9" w14:textId="12D6ABB3" w:rsidR="00641CFF" w:rsidRPr="00B95ED0" w:rsidRDefault="00641CFF" w:rsidP="00641CFF">
      <w:pPr>
        <w:ind w:firstLine="748"/>
        <w:jc w:val="both"/>
        <w:rPr>
          <w:noProof/>
        </w:rPr>
      </w:pPr>
      <w:r w:rsidRPr="00B95ED0">
        <w:rPr>
          <w:noProof/>
        </w:rPr>
        <w:t>Statistikos departamento duomenimis vidutinis metinis gyventojų skaičius 20</w:t>
      </w:r>
      <w:r w:rsidR="00B95ED0" w:rsidRPr="00B95ED0">
        <w:rPr>
          <w:noProof/>
        </w:rPr>
        <w:t>20 m. pradžioje</w:t>
      </w:r>
      <w:r w:rsidR="009F0CFF" w:rsidRPr="00B95ED0">
        <w:rPr>
          <w:noProof/>
        </w:rPr>
        <w:t xml:space="preserve"> </w:t>
      </w:r>
      <w:r w:rsidRPr="00B95ED0">
        <w:rPr>
          <w:noProof/>
        </w:rPr>
        <w:t xml:space="preserve">Panevėžio mieste buvo </w:t>
      </w:r>
      <w:r w:rsidR="009F0CFF" w:rsidRPr="00B95ED0">
        <w:rPr>
          <w:noProof/>
        </w:rPr>
        <w:t>8</w:t>
      </w:r>
      <w:r w:rsidR="00B95ED0" w:rsidRPr="00B95ED0">
        <w:rPr>
          <w:noProof/>
        </w:rPr>
        <w:t>5</w:t>
      </w:r>
      <w:r w:rsidRPr="00B95ED0">
        <w:rPr>
          <w:noProof/>
        </w:rPr>
        <w:t xml:space="preserve"> </w:t>
      </w:r>
      <w:r w:rsidR="00B95ED0" w:rsidRPr="00B95ED0">
        <w:rPr>
          <w:noProof/>
        </w:rPr>
        <w:t>885</w:t>
      </w:r>
      <w:r w:rsidRPr="00B95ED0">
        <w:rPr>
          <w:noProof/>
        </w:rPr>
        <w:t xml:space="preserve">  ir palyginus su 20</w:t>
      </w:r>
      <w:r w:rsidR="00B95ED0" w:rsidRPr="00B95ED0">
        <w:rPr>
          <w:noProof/>
        </w:rPr>
        <w:t>14</w:t>
      </w:r>
      <w:r w:rsidRPr="00B95ED0">
        <w:rPr>
          <w:noProof/>
        </w:rPr>
        <w:t xml:space="preserve"> m. (</w:t>
      </w:r>
      <w:r w:rsidR="00B95ED0" w:rsidRPr="00B95ED0">
        <w:rPr>
          <w:noProof/>
        </w:rPr>
        <w:t>95</w:t>
      </w:r>
      <w:r w:rsidRPr="00B95ED0">
        <w:rPr>
          <w:noProof/>
        </w:rPr>
        <w:t xml:space="preserve"> </w:t>
      </w:r>
      <w:r w:rsidR="00B95ED0" w:rsidRPr="00B95ED0">
        <w:rPr>
          <w:noProof/>
        </w:rPr>
        <w:t>765</w:t>
      </w:r>
      <w:r w:rsidR="00953B68" w:rsidRPr="00B95ED0">
        <w:rPr>
          <w:noProof/>
        </w:rPr>
        <w:t xml:space="preserve">), sumažėjo </w:t>
      </w:r>
      <w:r w:rsidR="00B95ED0" w:rsidRPr="00B95ED0">
        <w:rPr>
          <w:noProof/>
        </w:rPr>
        <w:t>8</w:t>
      </w:r>
      <w:r w:rsidR="009F0CFF" w:rsidRPr="00B95ED0">
        <w:rPr>
          <w:noProof/>
        </w:rPr>
        <w:t>,</w:t>
      </w:r>
      <w:r w:rsidR="00B95ED0" w:rsidRPr="00B95ED0">
        <w:rPr>
          <w:noProof/>
        </w:rPr>
        <w:t>9</w:t>
      </w:r>
      <w:r w:rsidRPr="00B95ED0">
        <w:rPr>
          <w:noProof/>
        </w:rPr>
        <w:t xml:space="preserve"> proc. (žr.1</w:t>
      </w:r>
      <w:r w:rsidR="006D60FA" w:rsidRPr="00B95ED0">
        <w:rPr>
          <w:noProof/>
        </w:rPr>
        <w:t>3</w:t>
      </w:r>
      <w:r w:rsidRPr="00B95ED0">
        <w:rPr>
          <w:noProof/>
        </w:rPr>
        <w:t xml:space="preserve"> diagramą)</w:t>
      </w:r>
      <w:r w:rsidR="00953B68" w:rsidRPr="00B95ED0">
        <w:rPr>
          <w:noProof/>
        </w:rPr>
        <w:t>.</w:t>
      </w:r>
    </w:p>
    <w:p w14:paraId="2615922B" w14:textId="77777777" w:rsidR="00641CFF" w:rsidRPr="00B95ED0" w:rsidRDefault="00641CFF" w:rsidP="00641CFF">
      <w:pPr>
        <w:ind w:firstLine="748"/>
        <w:jc w:val="both"/>
        <w:rPr>
          <w:noProof/>
        </w:rPr>
      </w:pPr>
    </w:p>
    <w:p w14:paraId="249545E1" w14:textId="09E32F45" w:rsidR="00641CFF" w:rsidRPr="00FC6CC0" w:rsidRDefault="00641CFF" w:rsidP="00641CFF">
      <w:pPr>
        <w:ind w:firstLine="748"/>
        <w:jc w:val="both"/>
        <w:rPr>
          <w:noProof/>
        </w:rPr>
      </w:pPr>
      <w:r w:rsidRPr="00B95ED0">
        <w:rPr>
          <w:noProof/>
        </w:rPr>
        <w:t>1</w:t>
      </w:r>
      <w:r w:rsidR="006D60FA" w:rsidRPr="00B95ED0">
        <w:rPr>
          <w:noProof/>
        </w:rPr>
        <w:t>3</w:t>
      </w:r>
      <w:r w:rsidRPr="00B95ED0">
        <w:rPr>
          <w:noProof/>
        </w:rPr>
        <w:t xml:space="preserve"> diagrama. </w:t>
      </w:r>
      <w:r w:rsidRPr="00FC6CC0">
        <w:rPr>
          <w:noProof/>
        </w:rPr>
        <w:t>Gyventojų skaičiaus kaita Panevėžio mieste</w:t>
      </w:r>
    </w:p>
    <w:p w14:paraId="0DA67C71" w14:textId="77777777" w:rsidR="008A6B67" w:rsidRPr="007E6B38" w:rsidRDefault="008A6B67" w:rsidP="00641CFF">
      <w:pPr>
        <w:ind w:firstLine="748"/>
        <w:jc w:val="both"/>
        <w:rPr>
          <w:noProof/>
          <w:color w:val="FF0000"/>
        </w:rPr>
      </w:pPr>
      <w:r w:rsidRPr="007E6B38">
        <w:rPr>
          <w:noProof/>
          <w:color w:val="FF0000"/>
        </w:rPr>
        <w:drawing>
          <wp:inline distT="0" distB="0" distL="0" distR="0" wp14:anchorId="2E8F2005" wp14:editId="7490A3D9">
            <wp:extent cx="5486400" cy="2346960"/>
            <wp:effectExtent l="0" t="0" r="0" b="15240"/>
            <wp:docPr id="35" name="Diagrama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AB29149" w14:textId="2047F49A" w:rsidR="003A69D4" w:rsidRPr="009526DA" w:rsidRDefault="003A69D4" w:rsidP="00641CFF">
      <w:pPr>
        <w:ind w:firstLine="748"/>
        <w:jc w:val="both"/>
        <w:rPr>
          <w:noProof/>
        </w:rPr>
      </w:pPr>
      <w:r w:rsidRPr="009526DA">
        <w:rPr>
          <w:noProof/>
        </w:rPr>
        <w:t>Mažėjantis demografinis Panevėžio miesto potencialas rodo, kad miesto vidinė plėtra yra labai ribota. Gana sparčiai mažėjantis miesto gyventojų skaičius kelia nemažai socialinių ir ekonominių problemų, turinčių neigiamos įtakos ir miesto plėtrai</w:t>
      </w:r>
      <w:r w:rsidR="009526DA" w:rsidRPr="009526DA">
        <w:rPr>
          <w:noProof/>
        </w:rPr>
        <w:t>. Gyventojų skaičiaus mažėjimas susijęs su bendra šalies gyventojų skaičiaus mažėjimo tendencija. Didieji miestai pastaruoju metu praranda gyventojus ir dėl miesto driekos į priemiesčius. Dažnai didmiesčių gyventojai išsikelia gyventi į žiedinių savivaldybių teritorijas, esančias netoliese didžiųjų miestų teritorijos ribos, dėl didesnės ten esančių žemės sklypų pasiūlos ir pigesnių jų įsigijimo kaštų, bei noro gyventi individualiuose namuose.</w:t>
      </w:r>
    </w:p>
    <w:p w14:paraId="1F7C5EB6" w14:textId="6ABB4325" w:rsidR="003A69D4" w:rsidRDefault="003A69D4" w:rsidP="003A69D4">
      <w:pPr>
        <w:ind w:firstLine="748"/>
        <w:jc w:val="both"/>
        <w:rPr>
          <w:noProof/>
        </w:rPr>
      </w:pPr>
      <w:r w:rsidRPr="009526DA">
        <w:rPr>
          <w:noProof/>
        </w:rPr>
        <w:t>Gyventojų skaičiaus pokyčiams įtakos turi kelios priežastys: 1) visuomenės amžiaus pokyčiai; 2) natūrali gyventojų kaita</w:t>
      </w:r>
      <w:r w:rsidR="009526DA" w:rsidRPr="009526DA">
        <w:rPr>
          <w:noProof/>
        </w:rPr>
        <w:t xml:space="preserve"> (14 diagrama)</w:t>
      </w:r>
      <w:r w:rsidRPr="009526DA">
        <w:rPr>
          <w:noProof/>
        </w:rPr>
        <w:t>; 3) gyventojų migracija</w:t>
      </w:r>
      <w:r w:rsidR="009526DA" w:rsidRPr="009526DA">
        <w:rPr>
          <w:noProof/>
        </w:rPr>
        <w:t xml:space="preserve"> (15 diagrama)</w:t>
      </w:r>
      <w:r w:rsidRPr="009526DA">
        <w:rPr>
          <w:noProof/>
        </w:rPr>
        <w:t>.</w:t>
      </w:r>
    </w:p>
    <w:p w14:paraId="2D0BE38B" w14:textId="74C11DC9" w:rsidR="009526DA" w:rsidRDefault="009526DA" w:rsidP="003A69D4">
      <w:pPr>
        <w:ind w:firstLine="748"/>
        <w:jc w:val="both"/>
        <w:rPr>
          <w:noProof/>
        </w:rPr>
      </w:pPr>
    </w:p>
    <w:p w14:paraId="2FA09C03" w14:textId="3F8DD976" w:rsidR="00AB0812" w:rsidRDefault="00AB0812" w:rsidP="003A69D4">
      <w:pPr>
        <w:ind w:firstLine="748"/>
        <w:jc w:val="both"/>
        <w:rPr>
          <w:noProof/>
        </w:rPr>
      </w:pPr>
    </w:p>
    <w:p w14:paraId="3FDC4A73" w14:textId="0120FBAB" w:rsidR="00AB0812" w:rsidRDefault="00AB0812" w:rsidP="003A69D4">
      <w:pPr>
        <w:ind w:firstLine="748"/>
        <w:jc w:val="both"/>
        <w:rPr>
          <w:noProof/>
        </w:rPr>
      </w:pPr>
    </w:p>
    <w:p w14:paraId="69637316" w14:textId="2742F407" w:rsidR="00AB0812" w:rsidRDefault="00AB0812" w:rsidP="003A69D4">
      <w:pPr>
        <w:ind w:firstLine="748"/>
        <w:jc w:val="both"/>
        <w:rPr>
          <w:noProof/>
        </w:rPr>
      </w:pPr>
    </w:p>
    <w:p w14:paraId="4E987819" w14:textId="4A4442D4" w:rsidR="00AB0812" w:rsidRDefault="00AB0812" w:rsidP="003A69D4">
      <w:pPr>
        <w:ind w:firstLine="748"/>
        <w:jc w:val="both"/>
        <w:rPr>
          <w:noProof/>
        </w:rPr>
      </w:pPr>
    </w:p>
    <w:p w14:paraId="37C4A080" w14:textId="0D4E0E0B" w:rsidR="00AB0812" w:rsidRDefault="00AB0812" w:rsidP="003A69D4">
      <w:pPr>
        <w:ind w:firstLine="748"/>
        <w:jc w:val="both"/>
        <w:rPr>
          <w:noProof/>
        </w:rPr>
      </w:pPr>
    </w:p>
    <w:p w14:paraId="067D70AD" w14:textId="15584490" w:rsidR="00AB0812" w:rsidRDefault="00AB0812" w:rsidP="003A69D4">
      <w:pPr>
        <w:ind w:firstLine="748"/>
        <w:jc w:val="both"/>
        <w:rPr>
          <w:noProof/>
        </w:rPr>
      </w:pPr>
    </w:p>
    <w:p w14:paraId="764B0620" w14:textId="3736F435" w:rsidR="00AB0812" w:rsidRDefault="00AB0812" w:rsidP="003A69D4">
      <w:pPr>
        <w:ind w:firstLine="748"/>
        <w:jc w:val="both"/>
        <w:rPr>
          <w:noProof/>
        </w:rPr>
      </w:pPr>
    </w:p>
    <w:p w14:paraId="52437563" w14:textId="00FB3288" w:rsidR="00AB0812" w:rsidRDefault="00AB0812" w:rsidP="003A69D4">
      <w:pPr>
        <w:ind w:firstLine="748"/>
        <w:jc w:val="both"/>
        <w:rPr>
          <w:noProof/>
        </w:rPr>
      </w:pPr>
    </w:p>
    <w:p w14:paraId="3FCE3D89" w14:textId="77777777" w:rsidR="00AB0812" w:rsidRPr="009526DA" w:rsidRDefault="00AB0812" w:rsidP="003A69D4">
      <w:pPr>
        <w:ind w:firstLine="748"/>
        <w:jc w:val="both"/>
        <w:rPr>
          <w:noProof/>
        </w:rPr>
      </w:pPr>
    </w:p>
    <w:p w14:paraId="1B87E5E6" w14:textId="0F9625BE" w:rsidR="009526DA" w:rsidRPr="009526DA" w:rsidRDefault="009526DA" w:rsidP="003A69D4">
      <w:pPr>
        <w:ind w:firstLine="748"/>
        <w:jc w:val="both"/>
        <w:rPr>
          <w:noProof/>
        </w:rPr>
      </w:pPr>
      <w:r w:rsidRPr="009526DA">
        <w:rPr>
          <w:noProof/>
        </w:rPr>
        <w:t>14 diagrama. Natūrali gyventojų kaita.</w:t>
      </w:r>
    </w:p>
    <w:p w14:paraId="0E329E8D" w14:textId="23D98F8C" w:rsidR="009526DA" w:rsidRDefault="003E785A" w:rsidP="003A69D4">
      <w:pPr>
        <w:ind w:firstLine="748"/>
        <w:jc w:val="both"/>
        <w:rPr>
          <w:noProof/>
          <w:color w:val="FF0000"/>
        </w:rPr>
      </w:pPr>
      <w:r w:rsidRPr="007E6B38">
        <w:rPr>
          <w:noProof/>
          <w:color w:val="FF0000"/>
        </w:rPr>
        <w:drawing>
          <wp:inline distT="0" distB="0" distL="0" distR="0" wp14:anchorId="6C64C346" wp14:editId="7E842AE6">
            <wp:extent cx="5486400" cy="1539240"/>
            <wp:effectExtent l="0" t="0" r="0" b="3810"/>
            <wp:docPr id="18" name="Diagrama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43380D7" w14:textId="26E2B1F1" w:rsidR="009526DA" w:rsidRDefault="009526DA" w:rsidP="003A69D4">
      <w:pPr>
        <w:ind w:firstLine="748"/>
        <w:jc w:val="both"/>
        <w:rPr>
          <w:noProof/>
          <w:color w:val="FF0000"/>
        </w:rPr>
      </w:pPr>
    </w:p>
    <w:p w14:paraId="61D12B5D" w14:textId="046EBFC2" w:rsidR="009526DA" w:rsidRDefault="009526DA" w:rsidP="003A69D4">
      <w:pPr>
        <w:ind w:firstLine="748"/>
        <w:jc w:val="both"/>
        <w:rPr>
          <w:noProof/>
          <w:color w:val="FF0000"/>
        </w:rPr>
      </w:pPr>
    </w:p>
    <w:p w14:paraId="27BF1759" w14:textId="350B3742" w:rsidR="003E785A" w:rsidRPr="003E785A" w:rsidRDefault="003E785A" w:rsidP="003A69D4">
      <w:pPr>
        <w:ind w:firstLine="748"/>
        <w:jc w:val="both"/>
        <w:rPr>
          <w:noProof/>
        </w:rPr>
      </w:pPr>
      <w:r w:rsidRPr="003E785A">
        <w:rPr>
          <w:noProof/>
        </w:rPr>
        <w:t>15 diagrama. Migracijos saldo.</w:t>
      </w:r>
    </w:p>
    <w:p w14:paraId="0A53B646" w14:textId="68751EA2" w:rsidR="003E785A" w:rsidRDefault="003E785A" w:rsidP="003A69D4">
      <w:pPr>
        <w:ind w:firstLine="748"/>
        <w:jc w:val="both"/>
        <w:rPr>
          <w:noProof/>
          <w:color w:val="FF0000"/>
        </w:rPr>
      </w:pPr>
      <w:r w:rsidRPr="007E6B38">
        <w:rPr>
          <w:noProof/>
          <w:color w:val="FF0000"/>
        </w:rPr>
        <w:drawing>
          <wp:inline distT="0" distB="0" distL="0" distR="0" wp14:anchorId="7025208A" wp14:editId="5A1FF31D">
            <wp:extent cx="5486400" cy="1539240"/>
            <wp:effectExtent l="0" t="0" r="0" b="3810"/>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14A37A6" w14:textId="2CE3DB12" w:rsidR="003A69D4" w:rsidRPr="00D30B34" w:rsidRDefault="003A69D4" w:rsidP="003A69D4">
      <w:pPr>
        <w:ind w:firstLine="748"/>
        <w:jc w:val="both"/>
        <w:rPr>
          <w:noProof/>
        </w:rPr>
      </w:pPr>
      <w:r w:rsidRPr="00D30B34">
        <w:rPr>
          <w:noProof/>
        </w:rPr>
        <w:t>Panevėžio miesto savivaldybėje, kaip ir daugelyje kitų Europos miestų, pastebimos populiacijos senėjimo tendencijos. 20</w:t>
      </w:r>
      <w:r w:rsidR="00D30B34" w:rsidRPr="00D30B34">
        <w:rPr>
          <w:noProof/>
        </w:rPr>
        <w:t>21</w:t>
      </w:r>
      <w:r w:rsidRPr="00D30B34">
        <w:rPr>
          <w:noProof/>
        </w:rPr>
        <w:t xml:space="preserve"> m. pradžioje </w:t>
      </w:r>
      <w:r w:rsidRPr="00D30B34">
        <w:rPr>
          <w:iCs/>
          <w:noProof/>
        </w:rPr>
        <w:t>medianinis (vidurinis) gyventojų amžius</w:t>
      </w:r>
      <w:r w:rsidRPr="00D30B34">
        <w:rPr>
          <w:noProof/>
        </w:rPr>
        <w:t xml:space="preserve"> siekė 47 metus. Tai didžiausias rodiklis tarp penkių didžiausių savivaldybių, išskyrus Panevėžio apskritį, kur šis rodiklis siekė 48 metus.  </w:t>
      </w:r>
    </w:p>
    <w:p w14:paraId="17459261" w14:textId="03231E1B" w:rsidR="003C0319" w:rsidRPr="00D30B34" w:rsidRDefault="003A69D4" w:rsidP="00E96B62">
      <w:pPr>
        <w:ind w:firstLine="748"/>
        <w:jc w:val="both"/>
      </w:pPr>
      <w:r w:rsidRPr="00D30B34">
        <w:rPr>
          <w:noProof/>
        </w:rPr>
        <w:t xml:space="preserve">Panevėžio miesto savivaldybės </w:t>
      </w:r>
      <w:r w:rsidRPr="00D30B34">
        <w:rPr>
          <w:bCs/>
          <w:iCs/>
          <w:noProof/>
        </w:rPr>
        <w:t>demografinis senatvės koeficientas</w:t>
      </w:r>
      <w:r w:rsidR="00E96B62">
        <w:rPr>
          <w:bCs/>
          <w:iCs/>
          <w:noProof/>
        </w:rPr>
        <w:t xml:space="preserve"> (d</w:t>
      </w:r>
      <w:r w:rsidR="00E96B62" w:rsidRPr="00E96B62">
        <w:rPr>
          <w:bCs/>
          <w:iCs/>
          <w:noProof/>
        </w:rPr>
        <w:t>emografinės senatvės koeficientas - pagyvenusių žmonių (65 metų ir vyresnio amžiaus) žmonių skaičius, tenkantis šimtui vaikų iki 15 metų amžiaus</w:t>
      </w:r>
      <w:r w:rsidR="00E96B62">
        <w:rPr>
          <w:bCs/>
          <w:iCs/>
          <w:noProof/>
        </w:rPr>
        <w:t>)</w:t>
      </w:r>
      <w:r w:rsidRPr="00D30B34">
        <w:rPr>
          <w:bCs/>
          <w:i/>
          <w:noProof/>
        </w:rPr>
        <w:t xml:space="preserve"> </w:t>
      </w:r>
      <w:r w:rsidRPr="00D30B34">
        <w:rPr>
          <w:bCs/>
          <w:noProof/>
        </w:rPr>
        <w:t>20</w:t>
      </w:r>
      <w:r w:rsidR="00D30B34" w:rsidRPr="00D30B34">
        <w:rPr>
          <w:bCs/>
          <w:noProof/>
        </w:rPr>
        <w:t>2</w:t>
      </w:r>
      <w:r w:rsidR="00D30B34">
        <w:rPr>
          <w:bCs/>
          <w:noProof/>
        </w:rPr>
        <w:t>1</w:t>
      </w:r>
      <w:r w:rsidRPr="00D30B34">
        <w:rPr>
          <w:bCs/>
          <w:noProof/>
        </w:rPr>
        <w:t xml:space="preserve"> m. pradžioje siekė</w:t>
      </w:r>
      <w:r w:rsidRPr="00D30B34">
        <w:rPr>
          <w:noProof/>
        </w:rPr>
        <w:t xml:space="preserve"> 16</w:t>
      </w:r>
      <w:r w:rsidR="00D30B34" w:rsidRPr="00D30B34">
        <w:rPr>
          <w:noProof/>
        </w:rPr>
        <w:t>8</w:t>
      </w:r>
      <w:r w:rsidRPr="00D30B34">
        <w:rPr>
          <w:noProof/>
        </w:rPr>
        <w:t xml:space="preserve"> (šimtui vaikų teko 16</w:t>
      </w:r>
      <w:r w:rsidR="00D30B34" w:rsidRPr="00D30B34">
        <w:rPr>
          <w:noProof/>
        </w:rPr>
        <w:t>8</w:t>
      </w:r>
      <w:r w:rsidRPr="00D30B34">
        <w:rPr>
          <w:noProof/>
        </w:rPr>
        <w:t xml:space="preserve"> šešiasdešim</w:t>
      </w:r>
      <w:r w:rsidR="00644608">
        <w:rPr>
          <w:noProof/>
        </w:rPr>
        <w:t>t penkių</w:t>
      </w:r>
      <w:r w:rsidRPr="00D30B34">
        <w:rPr>
          <w:noProof/>
        </w:rPr>
        <w:t xml:space="preserve"> metų ir vyresnių asmenų), šalyje – 13</w:t>
      </w:r>
      <w:r w:rsidR="00D30B34" w:rsidRPr="00D30B34">
        <w:rPr>
          <w:noProof/>
        </w:rPr>
        <w:t>2</w:t>
      </w:r>
      <w:r w:rsidRPr="00D30B34">
        <w:rPr>
          <w:noProof/>
        </w:rPr>
        <w:t xml:space="preserve">. Tai didžiausias rodiklis tarp 5 </w:t>
      </w:r>
      <w:r w:rsidR="00E96B62">
        <w:rPr>
          <w:noProof/>
        </w:rPr>
        <w:t>apskričių savivaldybių,</w:t>
      </w:r>
      <w:r w:rsidRPr="00D30B34">
        <w:rPr>
          <w:noProof/>
        </w:rPr>
        <w:t xml:space="preserve"> išskyrus Panevėžio apskritį, kur šis rodiklis buvo </w:t>
      </w:r>
      <w:r w:rsidR="00D30B34" w:rsidRPr="00D30B34">
        <w:rPr>
          <w:noProof/>
        </w:rPr>
        <w:t>175</w:t>
      </w:r>
      <w:r w:rsidRPr="00D30B34">
        <w:rPr>
          <w:noProof/>
        </w:rPr>
        <w:t>.  Pagal demografinės senatvės koeficientą į Lietuvos apskričių I-ą trejetą</w:t>
      </w:r>
      <w:r w:rsidR="00E96B62">
        <w:rPr>
          <w:noProof/>
        </w:rPr>
        <w:t xml:space="preserve"> patenka Panevėžio apskritis. </w:t>
      </w:r>
      <w:r w:rsidRPr="00D30B34">
        <w:rPr>
          <w:noProof/>
        </w:rPr>
        <w:t xml:space="preserve"> 20</w:t>
      </w:r>
      <w:r w:rsidR="00D30B34" w:rsidRPr="00D30B34">
        <w:rPr>
          <w:noProof/>
        </w:rPr>
        <w:t>20</w:t>
      </w:r>
      <w:r w:rsidRPr="00D30B34">
        <w:rPr>
          <w:noProof/>
        </w:rPr>
        <w:t xml:space="preserve"> m. pradžioje „seniausios“ buvo Utenos, Alytaus ir Panevėžio apskritys, kur pagyvenę žmonės sudarė apie 23 proc. bendro apskrities nuolatinių gyventojų skaičiaus.</w:t>
      </w:r>
      <w:r w:rsidR="00794754" w:rsidRPr="00D30B34">
        <w:rPr>
          <w:noProof/>
        </w:rPr>
        <w:t xml:space="preserve"> Augant</w:t>
      </w:r>
      <w:r w:rsidR="003C0319" w:rsidRPr="00D30B34">
        <w:t xml:space="preserve"> demografinės senatvės koeficiento reikšmei svarbu miesto infrastruktūrą bei viešąsias paslaugas pritaikyti besikeičiančiai visuomenės struktūrai.</w:t>
      </w:r>
    </w:p>
    <w:p w14:paraId="630D5A1F" w14:textId="77777777" w:rsidR="000C2A1C" w:rsidRPr="00D30B34" w:rsidRDefault="000C2A1C" w:rsidP="00E96B62">
      <w:pPr>
        <w:pStyle w:val="Porat"/>
        <w:tabs>
          <w:tab w:val="clear" w:pos="4153"/>
          <w:tab w:val="clear" w:pos="8306"/>
        </w:tabs>
        <w:ind w:firstLine="748"/>
        <w:jc w:val="both"/>
        <w:outlineLvl w:val="0"/>
        <w:rPr>
          <w:rFonts w:ascii="Ubuntu" w:hAnsi="Ubuntu"/>
        </w:rPr>
      </w:pPr>
      <w:r w:rsidRPr="00D30B34">
        <w:rPr>
          <w:rFonts w:ascii="Ubuntu" w:hAnsi="Ubuntu"/>
        </w:rPr>
        <w:t>Demografinės problemos – gimstamumo mažėjimas, emigracija, visuomenės senėjimas – ne tik mažina bendrą gyventojų skaičių, bet moksleivių, studentų,  mokyklų skaičių.</w:t>
      </w:r>
    </w:p>
    <w:p w14:paraId="12473629" w14:textId="77777777" w:rsidR="000C2A1C" w:rsidRPr="00D30B34" w:rsidRDefault="000C2A1C" w:rsidP="000C2A1C">
      <w:pPr>
        <w:pStyle w:val="Porat"/>
        <w:tabs>
          <w:tab w:val="clear" w:pos="4153"/>
          <w:tab w:val="clear" w:pos="8306"/>
        </w:tabs>
        <w:ind w:firstLine="748"/>
        <w:jc w:val="both"/>
        <w:outlineLvl w:val="0"/>
        <w:rPr>
          <w:rFonts w:ascii="Ubuntu" w:hAnsi="Ubuntu"/>
        </w:rPr>
      </w:pPr>
    </w:p>
    <w:p w14:paraId="50F58B6D" w14:textId="4E6F144D" w:rsidR="000C2A1C" w:rsidRPr="00D30B34" w:rsidRDefault="000C2A1C" w:rsidP="000C2A1C">
      <w:pPr>
        <w:pStyle w:val="Porat"/>
        <w:tabs>
          <w:tab w:val="clear" w:pos="4153"/>
          <w:tab w:val="clear" w:pos="8306"/>
        </w:tabs>
        <w:ind w:firstLine="748"/>
        <w:jc w:val="both"/>
        <w:outlineLvl w:val="0"/>
      </w:pPr>
      <w:r w:rsidRPr="00D30B34">
        <w:t>Švietimas ir mokslas.</w:t>
      </w:r>
      <w:r w:rsidRPr="00D30B34">
        <w:rPr>
          <w:b/>
        </w:rPr>
        <w:t xml:space="preserve"> </w:t>
      </w:r>
      <w:r w:rsidRPr="00D30B34">
        <w:t>Savivaldybės ir valstybės biudžeto išlaidų švietimui dinamika pavaizduota  1</w:t>
      </w:r>
      <w:r w:rsidR="00D30B34" w:rsidRPr="00D30B34">
        <w:t>6</w:t>
      </w:r>
      <w:r w:rsidRPr="00D30B34">
        <w:t xml:space="preserve"> diagramoje.</w:t>
      </w:r>
      <w:r w:rsidR="003801E5" w:rsidRPr="00D30B34">
        <w:t xml:space="preserve"> </w:t>
      </w:r>
    </w:p>
    <w:p w14:paraId="76F2A7D7" w14:textId="77777777" w:rsidR="000C2A1C" w:rsidRPr="00D30B34" w:rsidRDefault="000C2A1C" w:rsidP="000C2A1C">
      <w:pPr>
        <w:rPr>
          <w:szCs w:val="20"/>
        </w:rPr>
      </w:pPr>
    </w:p>
    <w:p w14:paraId="561DDBBD" w14:textId="6B5D45EF" w:rsidR="000C2A1C" w:rsidRPr="00D30B34" w:rsidRDefault="000C2A1C" w:rsidP="000C2A1C">
      <w:pPr>
        <w:ind w:firstLine="748"/>
        <w:rPr>
          <w:szCs w:val="20"/>
        </w:rPr>
      </w:pPr>
      <w:r w:rsidRPr="00D30B34">
        <w:rPr>
          <w:szCs w:val="20"/>
        </w:rPr>
        <w:t>1</w:t>
      </w:r>
      <w:r w:rsidR="00D30B34" w:rsidRPr="00D30B34">
        <w:rPr>
          <w:szCs w:val="20"/>
        </w:rPr>
        <w:t>6</w:t>
      </w:r>
      <w:r w:rsidRPr="00D30B34">
        <w:rPr>
          <w:szCs w:val="20"/>
        </w:rPr>
        <w:t xml:space="preserve"> diagrama. Savivaldybės ir valstybės biudžeto išlaidos švietimui, tūkst. E</w:t>
      </w:r>
      <w:r w:rsidR="00E96B62">
        <w:rPr>
          <w:szCs w:val="20"/>
        </w:rPr>
        <w:t>ur</w:t>
      </w:r>
    </w:p>
    <w:p w14:paraId="5283CC95" w14:textId="77777777" w:rsidR="007C55AF" w:rsidRPr="00D30B34" w:rsidRDefault="007C55AF" w:rsidP="00BD0A9A">
      <w:pPr>
        <w:pStyle w:val="Porat"/>
        <w:tabs>
          <w:tab w:val="clear" w:pos="4153"/>
          <w:tab w:val="clear" w:pos="8306"/>
        </w:tabs>
        <w:ind w:firstLine="748"/>
        <w:jc w:val="both"/>
        <w:outlineLvl w:val="0"/>
      </w:pPr>
    </w:p>
    <w:p w14:paraId="254C51B0" w14:textId="77777777" w:rsidR="00506B0B" w:rsidRPr="007E6B38" w:rsidRDefault="00506B0B" w:rsidP="00BD0A9A">
      <w:pPr>
        <w:pStyle w:val="Porat"/>
        <w:tabs>
          <w:tab w:val="clear" w:pos="4153"/>
          <w:tab w:val="clear" w:pos="8306"/>
        </w:tabs>
        <w:ind w:firstLine="748"/>
        <w:jc w:val="both"/>
        <w:outlineLvl w:val="0"/>
        <w:rPr>
          <w:color w:val="FF0000"/>
        </w:rPr>
      </w:pPr>
      <w:r w:rsidRPr="007E6B38">
        <w:rPr>
          <w:noProof/>
          <w:color w:val="FF0000"/>
        </w:rPr>
        <w:drawing>
          <wp:inline distT="0" distB="0" distL="0" distR="0" wp14:anchorId="0948FC30" wp14:editId="4A497DF4">
            <wp:extent cx="5486400" cy="1493520"/>
            <wp:effectExtent l="0" t="0" r="0" b="11430"/>
            <wp:docPr id="36" name="Diagrama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F911172" w14:textId="77777777" w:rsidR="00BD0A9A" w:rsidRPr="007E6B38" w:rsidRDefault="00BD0A9A" w:rsidP="00BD0A9A">
      <w:pPr>
        <w:ind w:firstLine="748"/>
        <w:jc w:val="both"/>
        <w:rPr>
          <w:color w:val="FF0000"/>
        </w:rPr>
      </w:pPr>
    </w:p>
    <w:p w14:paraId="5B5739B3" w14:textId="7EF1CD79" w:rsidR="00BD0A9A" w:rsidRPr="00644608" w:rsidRDefault="00BD0A9A" w:rsidP="00BD0A9A">
      <w:pPr>
        <w:ind w:firstLine="748"/>
        <w:jc w:val="both"/>
      </w:pPr>
      <w:r w:rsidRPr="00644608">
        <w:t xml:space="preserve">Bendrojo </w:t>
      </w:r>
      <w:r w:rsidR="001C595B" w:rsidRPr="00644608">
        <w:t>ugdymo įstaigas lankančių mokinių</w:t>
      </w:r>
      <w:r w:rsidRPr="00644608">
        <w:t xml:space="preserve"> skaičius per paskutinius </w:t>
      </w:r>
      <w:r w:rsidR="00644608">
        <w:t>šešis</w:t>
      </w:r>
      <w:r w:rsidRPr="00644608">
        <w:t xml:space="preserve"> metus sumažėjo </w:t>
      </w:r>
      <w:r w:rsidR="001C595B" w:rsidRPr="00644608">
        <w:t>1</w:t>
      </w:r>
      <w:r w:rsidR="00644608">
        <w:t>6</w:t>
      </w:r>
      <w:r w:rsidRPr="00644608">
        <w:t xml:space="preserve"> proc. Žiūrėti 1</w:t>
      </w:r>
      <w:r w:rsidR="00644608" w:rsidRPr="00644608">
        <w:t>7</w:t>
      </w:r>
      <w:r w:rsidRPr="00644608">
        <w:t xml:space="preserve"> diagramą.</w:t>
      </w:r>
    </w:p>
    <w:p w14:paraId="3C4D6876" w14:textId="77777777" w:rsidR="00B778BF" w:rsidRPr="00644608" w:rsidRDefault="00B778BF" w:rsidP="00BD0A9A">
      <w:pPr>
        <w:ind w:firstLine="748"/>
        <w:jc w:val="both"/>
      </w:pPr>
    </w:p>
    <w:p w14:paraId="00AD47F2" w14:textId="77777777" w:rsidR="00B778BF" w:rsidRPr="007E6B38" w:rsidRDefault="00B778BF" w:rsidP="00BD0A9A">
      <w:pPr>
        <w:ind w:firstLine="748"/>
        <w:jc w:val="both"/>
        <w:rPr>
          <w:color w:val="FF0000"/>
        </w:rPr>
      </w:pPr>
      <w:r w:rsidRPr="007E6B38">
        <w:rPr>
          <w:noProof/>
          <w:color w:val="FF0000"/>
        </w:rPr>
        <w:drawing>
          <wp:inline distT="0" distB="0" distL="0" distR="0" wp14:anchorId="135F8C6B" wp14:editId="326BB14B">
            <wp:extent cx="5486400" cy="1775460"/>
            <wp:effectExtent l="0" t="0" r="0" b="1524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D5D8D75" w14:textId="77777777" w:rsidR="0041468D" w:rsidRPr="007E6B38" w:rsidRDefault="0041468D" w:rsidP="0041468D">
      <w:pPr>
        <w:pStyle w:val="Porat"/>
        <w:ind w:firstLine="748"/>
        <w:jc w:val="both"/>
        <w:outlineLvl w:val="0"/>
        <w:rPr>
          <w:color w:val="FF0000"/>
        </w:rPr>
      </w:pPr>
    </w:p>
    <w:p w14:paraId="2908949A" w14:textId="057FEEA0" w:rsidR="00BD0A9A" w:rsidRPr="00644608" w:rsidRDefault="00BD0A9A" w:rsidP="00BD0A9A">
      <w:pPr>
        <w:pStyle w:val="Porat"/>
        <w:tabs>
          <w:tab w:val="clear" w:pos="4153"/>
          <w:tab w:val="clear" w:pos="8306"/>
        </w:tabs>
        <w:ind w:firstLine="748"/>
        <w:jc w:val="both"/>
        <w:outlineLvl w:val="0"/>
      </w:pPr>
      <w:r w:rsidRPr="00644608">
        <w:t xml:space="preserve">Savivaldybės biudžeto išlaidų kultūrai dinamika pavaizduota  </w:t>
      </w:r>
      <w:r w:rsidR="005568D5" w:rsidRPr="00644608">
        <w:t>1</w:t>
      </w:r>
      <w:r w:rsidR="00644608" w:rsidRPr="00644608">
        <w:t>8</w:t>
      </w:r>
      <w:r w:rsidRPr="00644608">
        <w:t xml:space="preserve"> diagramoje.</w:t>
      </w:r>
    </w:p>
    <w:p w14:paraId="49399C48" w14:textId="77777777" w:rsidR="00341E52" w:rsidRPr="007E6B38" w:rsidRDefault="00341E52" w:rsidP="00BD0A9A">
      <w:pPr>
        <w:pStyle w:val="Porat"/>
        <w:tabs>
          <w:tab w:val="clear" w:pos="4153"/>
          <w:tab w:val="clear" w:pos="8306"/>
        </w:tabs>
        <w:ind w:firstLine="748"/>
        <w:jc w:val="both"/>
        <w:outlineLvl w:val="0"/>
        <w:rPr>
          <w:color w:val="FF0000"/>
        </w:rPr>
      </w:pPr>
    </w:p>
    <w:p w14:paraId="422D42CF" w14:textId="77777777" w:rsidR="00BD0A9A" w:rsidRPr="007E6B38" w:rsidRDefault="003801E5" w:rsidP="00BD0A9A">
      <w:pPr>
        <w:pStyle w:val="Porat"/>
        <w:tabs>
          <w:tab w:val="clear" w:pos="4153"/>
          <w:tab w:val="clear" w:pos="8306"/>
        </w:tabs>
        <w:ind w:firstLine="748"/>
        <w:jc w:val="both"/>
        <w:outlineLvl w:val="0"/>
        <w:rPr>
          <w:noProof/>
          <w:color w:val="FF0000"/>
        </w:rPr>
      </w:pPr>
      <w:r w:rsidRPr="007E6B38">
        <w:rPr>
          <w:noProof/>
          <w:color w:val="FF0000"/>
        </w:rPr>
        <w:drawing>
          <wp:inline distT="0" distB="0" distL="0" distR="0" wp14:anchorId="6EECE7D1" wp14:editId="28E267C5">
            <wp:extent cx="5486400" cy="1821180"/>
            <wp:effectExtent l="0" t="0" r="0" b="762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D68D212" w14:textId="77777777" w:rsidR="000C7F35" w:rsidRPr="007E6B38" w:rsidRDefault="000C7F35" w:rsidP="00BD0A9A">
      <w:pPr>
        <w:pStyle w:val="Porat"/>
        <w:tabs>
          <w:tab w:val="clear" w:pos="4153"/>
          <w:tab w:val="clear" w:pos="8306"/>
        </w:tabs>
        <w:ind w:firstLine="748"/>
        <w:jc w:val="both"/>
        <w:outlineLvl w:val="0"/>
        <w:rPr>
          <w:color w:val="FF0000"/>
        </w:rPr>
      </w:pPr>
    </w:p>
    <w:p w14:paraId="194FD256" w14:textId="43D74F30" w:rsidR="00BD0A9A" w:rsidRPr="00B35A9C" w:rsidRDefault="00BD0A9A" w:rsidP="00BD0A9A">
      <w:pPr>
        <w:pStyle w:val="Porat"/>
        <w:tabs>
          <w:tab w:val="clear" w:pos="4153"/>
          <w:tab w:val="clear" w:pos="8306"/>
        </w:tabs>
        <w:ind w:firstLine="748"/>
        <w:jc w:val="both"/>
        <w:outlineLvl w:val="0"/>
      </w:pPr>
      <w:r w:rsidRPr="00B35A9C">
        <w:t xml:space="preserve">Savivaldybės biudžeto išlaidų kūno kultūrai ir sportui dinamika pavaizduota  </w:t>
      </w:r>
      <w:r w:rsidR="005568D5" w:rsidRPr="00B35A9C">
        <w:t>1</w:t>
      </w:r>
      <w:r w:rsidR="00B35A9C" w:rsidRPr="00B35A9C">
        <w:t>9</w:t>
      </w:r>
      <w:r w:rsidRPr="00B35A9C">
        <w:t xml:space="preserve"> diagramoje.</w:t>
      </w:r>
    </w:p>
    <w:p w14:paraId="2644DFE5" w14:textId="77777777" w:rsidR="00341E52" w:rsidRPr="007E6B38" w:rsidRDefault="00341E52" w:rsidP="00BD0A9A">
      <w:pPr>
        <w:pStyle w:val="Porat"/>
        <w:tabs>
          <w:tab w:val="clear" w:pos="4153"/>
          <w:tab w:val="clear" w:pos="8306"/>
        </w:tabs>
        <w:ind w:firstLine="748"/>
        <w:jc w:val="both"/>
        <w:outlineLvl w:val="0"/>
        <w:rPr>
          <w:color w:val="FF0000"/>
        </w:rPr>
      </w:pPr>
    </w:p>
    <w:p w14:paraId="3B4E25F0" w14:textId="77777777" w:rsidR="00341E52" w:rsidRPr="007E6B38" w:rsidRDefault="00341E52" w:rsidP="00BD0A9A">
      <w:pPr>
        <w:pStyle w:val="Porat"/>
        <w:tabs>
          <w:tab w:val="clear" w:pos="4153"/>
          <w:tab w:val="clear" w:pos="8306"/>
        </w:tabs>
        <w:ind w:firstLine="748"/>
        <w:jc w:val="both"/>
        <w:outlineLvl w:val="0"/>
        <w:rPr>
          <w:color w:val="FF0000"/>
        </w:rPr>
      </w:pPr>
      <w:r w:rsidRPr="007E6B38">
        <w:rPr>
          <w:noProof/>
          <w:color w:val="FF0000"/>
        </w:rPr>
        <w:drawing>
          <wp:inline distT="0" distB="0" distL="0" distR="0" wp14:anchorId="65515341" wp14:editId="1872A169">
            <wp:extent cx="5562600" cy="1889760"/>
            <wp:effectExtent l="0" t="0" r="0" b="1524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012488C" w14:textId="77777777" w:rsidR="00BD0A9A" w:rsidRPr="007E6B38" w:rsidRDefault="00BD0A9A" w:rsidP="00BD0A9A">
      <w:pPr>
        <w:pStyle w:val="Porat"/>
        <w:tabs>
          <w:tab w:val="clear" w:pos="4153"/>
          <w:tab w:val="clear" w:pos="8306"/>
        </w:tabs>
        <w:ind w:firstLine="748"/>
        <w:jc w:val="both"/>
        <w:outlineLvl w:val="0"/>
        <w:rPr>
          <w:color w:val="FF0000"/>
        </w:rPr>
      </w:pPr>
    </w:p>
    <w:p w14:paraId="1875ECF7" w14:textId="22BB7376" w:rsidR="005E7A56" w:rsidRPr="00B35A9C" w:rsidRDefault="005E7A56" w:rsidP="005E7A56">
      <w:pPr>
        <w:ind w:left="113"/>
        <w:jc w:val="both"/>
        <w:rPr>
          <w:rFonts w:eastAsia="Arial Unicode MS"/>
        </w:rPr>
      </w:pPr>
      <w:r w:rsidRPr="007E6B38">
        <w:rPr>
          <w:color w:val="FF0000"/>
        </w:rPr>
        <w:tab/>
      </w:r>
      <w:r w:rsidRPr="00B35A9C">
        <w:rPr>
          <w:rFonts w:eastAsia="Arial Unicode MS"/>
        </w:rPr>
        <w:t xml:space="preserve">Savivaldybės biudžeto </w:t>
      </w:r>
      <w:r w:rsidR="006A7B40" w:rsidRPr="00B35A9C">
        <w:rPr>
          <w:rFonts w:eastAsia="Arial Unicode MS"/>
        </w:rPr>
        <w:t xml:space="preserve">išlaidų socialinėms pašalpoms Panevėžio mieste (tūkst. EUR)  ir socialinės pašalpos gavėjų skaičiaus </w:t>
      </w:r>
      <w:r w:rsidRPr="00B35A9C">
        <w:rPr>
          <w:rFonts w:eastAsia="Arial Unicode MS"/>
        </w:rPr>
        <w:t>dinamiką 20</w:t>
      </w:r>
      <w:r w:rsidR="004121E0" w:rsidRPr="00B35A9C">
        <w:rPr>
          <w:rFonts w:eastAsia="Arial Unicode MS"/>
        </w:rPr>
        <w:t>1</w:t>
      </w:r>
      <w:r w:rsidR="00227AA0" w:rsidRPr="00B35A9C">
        <w:rPr>
          <w:rFonts w:eastAsia="Arial Unicode MS"/>
        </w:rPr>
        <w:t>5</w:t>
      </w:r>
      <w:r w:rsidRPr="00B35A9C">
        <w:rPr>
          <w:rFonts w:eastAsia="Arial Unicode MS"/>
        </w:rPr>
        <w:t>-20</w:t>
      </w:r>
      <w:r w:rsidR="00B35A9C" w:rsidRPr="00B35A9C">
        <w:rPr>
          <w:rFonts w:eastAsia="Arial Unicode MS"/>
        </w:rPr>
        <w:t>20</w:t>
      </w:r>
      <w:r w:rsidR="000C7F35" w:rsidRPr="00B35A9C">
        <w:rPr>
          <w:rFonts w:eastAsia="Arial Unicode MS"/>
        </w:rPr>
        <w:t xml:space="preserve"> </w:t>
      </w:r>
      <w:r w:rsidRPr="00B35A9C">
        <w:rPr>
          <w:rFonts w:eastAsia="Arial Unicode MS"/>
        </w:rPr>
        <w:t>m</w:t>
      </w:r>
      <w:r w:rsidR="000C7F35" w:rsidRPr="00B35A9C">
        <w:rPr>
          <w:rFonts w:eastAsia="Arial Unicode MS"/>
        </w:rPr>
        <w:t>.</w:t>
      </w:r>
      <w:r w:rsidRPr="00B35A9C">
        <w:rPr>
          <w:rFonts w:eastAsia="Arial Unicode MS"/>
        </w:rPr>
        <w:t xml:space="preserve"> galima matyti </w:t>
      </w:r>
      <w:r w:rsidR="00B35A9C" w:rsidRPr="00B35A9C">
        <w:rPr>
          <w:rFonts w:eastAsia="Arial Unicode MS"/>
        </w:rPr>
        <w:t>20</w:t>
      </w:r>
      <w:r w:rsidRPr="00B35A9C">
        <w:rPr>
          <w:rFonts w:eastAsia="Arial Unicode MS"/>
        </w:rPr>
        <w:t xml:space="preserve"> diagramoje.</w:t>
      </w:r>
    </w:p>
    <w:p w14:paraId="7F108BDB" w14:textId="77777777" w:rsidR="005E7A56" w:rsidRPr="00B35A9C" w:rsidRDefault="005E7A56" w:rsidP="005E7A56">
      <w:pPr>
        <w:ind w:left="113" w:firstLine="1183"/>
        <w:jc w:val="both"/>
        <w:rPr>
          <w:rFonts w:eastAsia="Arial Unicode MS"/>
        </w:rPr>
      </w:pPr>
    </w:p>
    <w:p w14:paraId="46DB5FC0" w14:textId="77777777" w:rsidR="00AB0812" w:rsidRDefault="00AB0812" w:rsidP="005E7A56">
      <w:pPr>
        <w:ind w:left="113" w:firstLine="1183"/>
        <w:jc w:val="both"/>
        <w:rPr>
          <w:rFonts w:eastAsia="Arial Unicode MS"/>
        </w:rPr>
      </w:pPr>
    </w:p>
    <w:p w14:paraId="2108B7D6" w14:textId="77777777" w:rsidR="00AB0812" w:rsidRDefault="00AB0812" w:rsidP="005E7A56">
      <w:pPr>
        <w:ind w:left="113" w:firstLine="1183"/>
        <w:jc w:val="both"/>
        <w:rPr>
          <w:rFonts w:eastAsia="Arial Unicode MS"/>
        </w:rPr>
      </w:pPr>
    </w:p>
    <w:p w14:paraId="0C2400FF" w14:textId="77777777" w:rsidR="00AB0812" w:rsidRDefault="00AB0812" w:rsidP="005E7A56">
      <w:pPr>
        <w:ind w:left="113" w:firstLine="1183"/>
        <w:jc w:val="both"/>
        <w:rPr>
          <w:rFonts w:eastAsia="Arial Unicode MS"/>
        </w:rPr>
      </w:pPr>
    </w:p>
    <w:p w14:paraId="273FAFD4" w14:textId="77777777" w:rsidR="00AB0812" w:rsidRDefault="00AB0812" w:rsidP="005E7A56">
      <w:pPr>
        <w:ind w:left="113" w:firstLine="1183"/>
        <w:jc w:val="both"/>
        <w:rPr>
          <w:rFonts w:eastAsia="Arial Unicode MS"/>
        </w:rPr>
      </w:pPr>
    </w:p>
    <w:p w14:paraId="0004B07E" w14:textId="77777777" w:rsidR="00AB0812" w:rsidRDefault="00AB0812" w:rsidP="005E7A56">
      <w:pPr>
        <w:ind w:left="113" w:firstLine="1183"/>
        <w:jc w:val="both"/>
        <w:rPr>
          <w:rFonts w:eastAsia="Arial Unicode MS"/>
        </w:rPr>
      </w:pPr>
    </w:p>
    <w:p w14:paraId="7076AC79" w14:textId="77777777" w:rsidR="00AB0812" w:rsidRDefault="00AB0812" w:rsidP="005E7A56">
      <w:pPr>
        <w:ind w:left="113" w:firstLine="1183"/>
        <w:jc w:val="both"/>
        <w:rPr>
          <w:rFonts w:eastAsia="Arial Unicode MS"/>
        </w:rPr>
      </w:pPr>
    </w:p>
    <w:p w14:paraId="4DDD3329" w14:textId="77777777" w:rsidR="00AB0812" w:rsidRDefault="00AB0812" w:rsidP="005E7A56">
      <w:pPr>
        <w:ind w:left="113" w:firstLine="1183"/>
        <w:jc w:val="both"/>
        <w:rPr>
          <w:rFonts w:eastAsia="Arial Unicode MS"/>
        </w:rPr>
      </w:pPr>
    </w:p>
    <w:p w14:paraId="38D23F61" w14:textId="13C37E9E" w:rsidR="005E7A56" w:rsidRPr="00B35A9C" w:rsidRDefault="00B35A9C" w:rsidP="005E7A56">
      <w:pPr>
        <w:ind w:left="113" w:firstLine="1183"/>
        <w:jc w:val="both"/>
        <w:rPr>
          <w:rFonts w:eastAsia="Arial Unicode MS"/>
        </w:rPr>
      </w:pPr>
      <w:r w:rsidRPr="00B35A9C">
        <w:rPr>
          <w:rFonts w:eastAsia="Arial Unicode MS"/>
        </w:rPr>
        <w:t>20</w:t>
      </w:r>
      <w:r w:rsidR="005E7A56" w:rsidRPr="00B35A9C">
        <w:rPr>
          <w:rFonts w:eastAsia="Arial Unicode MS"/>
        </w:rPr>
        <w:t xml:space="preserve"> diagrama. Savivaldybės biudžeto išlaidos </w:t>
      </w:r>
      <w:r w:rsidR="004713E7" w:rsidRPr="00B35A9C">
        <w:rPr>
          <w:rFonts w:eastAsia="Arial Unicode MS"/>
        </w:rPr>
        <w:t>socialinėms pašalpoms</w:t>
      </w:r>
      <w:r w:rsidR="005E7A56" w:rsidRPr="00B35A9C">
        <w:rPr>
          <w:rFonts w:eastAsia="Arial Unicode MS"/>
        </w:rPr>
        <w:t xml:space="preserve"> Panevėžio mieste</w:t>
      </w:r>
      <w:r w:rsidR="009C0A83" w:rsidRPr="00B35A9C">
        <w:rPr>
          <w:rFonts w:eastAsia="Arial Unicode MS"/>
        </w:rPr>
        <w:t xml:space="preserve"> </w:t>
      </w:r>
      <w:r w:rsidR="006A7B40" w:rsidRPr="00B35A9C">
        <w:rPr>
          <w:rFonts w:eastAsia="Arial Unicode MS"/>
        </w:rPr>
        <w:t>(tūkst. E</w:t>
      </w:r>
      <w:r w:rsidR="00D61464" w:rsidRPr="00B35A9C">
        <w:rPr>
          <w:rFonts w:eastAsia="Arial Unicode MS"/>
        </w:rPr>
        <w:t>ur</w:t>
      </w:r>
      <w:r w:rsidR="006A7B40" w:rsidRPr="00B35A9C">
        <w:rPr>
          <w:rFonts w:eastAsia="Arial Unicode MS"/>
        </w:rPr>
        <w:t xml:space="preserve">)  </w:t>
      </w:r>
      <w:r w:rsidR="009C0A83" w:rsidRPr="00B35A9C">
        <w:rPr>
          <w:rFonts w:eastAsia="Arial Unicode MS"/>
        </w:rPr>
        <w:t>ir socialinės pašalpos gavėjų skaičius</w:t>
      </w:r>
      <w:r w:rsidR="00970B6E" w:rsidRPr="00B35A9C">
        <w:rPr>
          <w:rFonts w:eastAsia="Arial Unicode MS"/>
        </w:rPr>
        <w:t>, vnt.</w:t>
      </w:r>
    </w:p>
    <w:p w14:paraId="74D63896" w14:textId="77777777" w:rsidR="005E7A56" w:rsidRPr="007E6B38" w:rsidRDefault="00596A16" w:rsidP="005E7A56">
      <w:pPr>
        <w:ind w:left="113"/>
        <w:jc w:val="both"/>
        <w:rPr>
          <w:rFonts w:eastAsia="Arial Unicode MS"/>
          <w:color w:val="FF0000"/>
        </w:rPr>
      </w:pPr>
      <w:r w:rsidRPr="007E6B38">
        <w:rPr>
          <w:rFonts w:eastAsia="Arial Unicode MS"/>
          <w:noProof/>
          <w:color w:val="FF0000"/>
        </w:rPr>
        <w:drawing>
          <wp:inline distT="0" distB="0" distL="0" distR="0" wp14:anchorId="538D3AE7" wp14:editId="2E74BEED">
            <wp:extent cx="5486400" cy="1828800"/>
            <wp:effectExtent l="0" t="0" r="0" b="0"/>
            <wp:docPr id="42" name="Diagrama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945D637" w14:textId="77777777" w:rsidR="00A901D2" w:rsidRPr="007E6B38" w:rsidRDefault="00A901D2" w:rsidP="005E7A56">
      <w:pPr>
        <w:ind w:left="113"/>
        <w:jc w:val="both"/>
        <w:rPr>
          <w:noProof/>
          <w:color w:val="FF0000"/>
        </w:rPr>
      </w:pPr>
    </w:p>
    <w:p w14:paraId="6737E268" w14:textId="77777777" w:rsidR="0078626B" w:rsidRPr="002D4003" w:rsidRDefault="00EB25F3" w:rsidP="0078626B">
      <w:pPr>
        <w:rPr>
          <w:b/>
          <w:caps/>
          <w:sz w:val="20"/>
        </w:rPr>
      </w:pPr>
      <w:smartTag w:uri="urn:schemas-microsoft-com:office:smarttags" w:element="stockticker">
        <w:r w:rsidRPr="002D4003">
          <w:rPr>
            <w:b/>
            <w:noProof/>
          </w:rPr>
          <w:t>III</w:t>
        </w:r>
      </w:smartTag>
      <w:r w:rsidRPr="002D4003">
        <w:rPr>
          <w:b/>
          <w:noProof/>
        </w:rPr>
        <w:t xml:space="preserve"> prioritetas.</w:t>
      </w:r>
      <w:r w:rsidR="00641CFF" w:rsidRPr="002D4003">
        <w:rPr>
          <w:b/>
          <w:noProof/>
        </w:rPr>
        <w:t xml:space="preserve"> </w:t>
      </w:r>
      <w:r w:rsidR="00641CFF" w:rsidRPr="002D4003">
        <w:rPr>
          <w:i/>
        </w:rPr>
        <w:t>Darni miesto teritorijų ir infrastruktūros plėtra</w:t>
      </w:r>
      <w:r w:rsidR="0078626B" w:rsidRPr="002D4003">
        <w:rPr>
          <w:b/>
          <w:caps/>
          <w:sz w:val="20"/>
        </w:rPr>
        <w:t>.</w:t>
      </w:r>
    </w:p>
    <w:p w14:paraId="65F5953B" w14:textId="77777777" w:rsidR="000C08DF" w:rsidRPr="002D4003" w:rsidRDefault="000C08DF" w:rsidP="000C08DF">
      <w:pPr>
        <w:pStyle w:val="Porat"/>
        <w:tabs>
          <w:tab w:val="clear" w:pos="4153"/>
          <w:tab w:val="clear" w:pos="8306"/>
        </w:tabs>
        <w:jc w:val="both"/>
        <w:outlineLvl w:val="0"/>
      </w:pPr>
    </w:p>
    <w:p w14:paraId="196AF664" w14:textId="77777777" w:rsidR="00CE35F6" w:rsidRPr="002D4003" w:rsidRDefault="00CE35F6" w:rsidP="000C08DF">
      <w:pPr>
        <w:pStyle w:val="Porat"/>
        <w:tabs>
          <w:tab w:val="clear" w:pos="4153"/>
          <w:tab w:val="clear" w:pos="8306"/>
        </w:tabs>
        <w:ind w:firstLine="748"/>
        <w:jc w:val="both"/>
        <w:outlineLvl w:val="0"/>
      </w:pPr>
      <w:smartTag w:uri="urn:schemas-microsoft-com:office:smarttags" w:element="stockticker">
        <w:r w:rsidRPr="002D4003">
          <w:t>III</w:t>
        </w:r>
      </w:smartTag>
      <w:r w:rsidRPr="002D4003">
        <w:t xml:space="preserve"> prioritet</w:t>
      </w:r>
      <w:r w:rsidR="000C08DF" w:rsidRPr="002D4003">
        <w:t>o priemonės</w:t>
      </w:r>
      <w:r w:rsidRPr="002D4003">
        <w:t xml:space="preserve"> apima </w:t>
      </w:r>
      <w:r w:rsidR="000C08DF" w:rsidRPr="002D4003">
        <w:t>inžinerinę infrastruktūrą, ekologiją, susisiekimo infrastruktūrą, viešąjį transportą, miesto viešųjų erdvių kompleksinį sutvarkymą</w:t>
      </w:r>
      <w:r w:rsidRPr="002D4003">
        <w:t xml:space="preserve">. </w:t>
      </w:r>
    </w:p>
    <w:p w14:paraId="377B1AC4" w14:textId="4133928D" w:rsidR="00845C55" w:rsidRPr="002D4003" w:rsidRDefault="00845C55" w:rsidP="00845C55">
      <w:pPr>
        <w:ind w:firstLine="748"/>
        <w:jc w:val="both"/>
        <w:rPr>
          <w:noProof/>
        </w:rPr>
      </w:pPr>
      <w:r w:rsidRPr="002D4003">
        <w:rPr>
          <w:noProof/>
        </w:rPr>
        <w:t xml:space="preserve">Strateginio plano </w:t>
      </w:r>
      <w:smartTag w:uri="urn:schemas-microsoft-com:office:smarttags" w:element="stockticker">
        <w:r w:rsidRPr="002D4003">
          <w:rPr>
            <w:noProof/>
          </w:rPr>
          <w:t>I</w:t>
        </w:r>
        <w:r w:rsidR="0078626B" w:rsidRPr="002D4003">
          <w:rPr>
            <w:noProof/>
          </w:rPr>
          <w:t>II</w:t>
        </w:r>
      </w:smartTag>
      <w:r w:rsidRPr="002D4003">
        <w:rPr>
          <w:noProof/>
        </w:rPr>
        <w:t>-</w:t>
      </w:r>
      <w:r w:rsidR="001778D6" w:rsidRPr="002D4003">
        <w:rPr>
          <w:noProof/>
        </w:rPr>
        <w:t>i</w:t>
      </w:r>
      <w:r w:rsidRPr="002D4003">
        <w:rPr>
          <w:noProof/>
        </w:rPr>
        <w:t xml:space="preserve">o prioriteto priemonių vykdymas pavaizduotas </w:t>
      </w:r>
      <w:r w:rsidR="002D4003" w:rsidRPr="002D4003">
        <w:rPr>
          <w:noProof/>
        </w:rPr>
        <w:t>21</w:t>
      </w:r>
      <w:r w:rsidRPr="002D4003">
        <w:rPr>
          <w:noProof/>
        </w:rPr>
        <w:t xml:space="preserve"> diagramoje.</w:t>
      </w:r>
    </w:p>
    <w:p w14:paraId="08BEB323" w14:textId="77777777" w:rsidR="00991FBF" w:rsidRPr="002D4003" w:rsidRDefault="00991FBF" w:rsidP="00845C55">
      <w:pPr>
        <w:ind w:firstLine="748"/>
        <w:jc w:val="both"/>
        <w:rPr>
          <w:noProof/>
        </w:rPr>
      </w:pPr>
    </w:p>
    <w:p w14:paraId="16EB08B4" w14:textId="77777777" w:rsidR="0082215F" w:rsidRPr="007E6B38" w:rsidRDefault="0033345D" w:rsidP="00845C55">
      <w:pPr>
        <w:ind w:firstLine="748"/>
        <w:jc w:val="both"/>
        <w:rPr>
          <w:noProof/>
          <w:color w:val="FF0000"/>
        </w:rPr>
      </w:pPr>
      <w:r w:rsidRPr="007E6B38">
        <w:rPr>
          <w:noProof/>
          <w:color w:val="FF0000"/>
        </w:rPr>
        <w:drawing>
          <wp:inline distT="0" distB="0" distL="0" distR="0" wp14:anchorId="2C985433" wp14:editId="576A2440">
            <wp:extent cx="5486400" cy="2423160"/>
            <wp:effectExtent l="0" t="0" r="0" b="1524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58A3B88" w14:textId="77777777" w:rsidR="00991FBF" w:rsidRPr="007E6B38" w:rsidRDefault="00991FBF" w:rsidP="00845C55">
      <w:pPr>
        <w:pStyle w:val="Porat"/>
        <w:tabs>
          <w:tab w:val="clear" w:pos="4153"/>
          <w:tab w:val="clear" w:pos="8306"/>
        </w:tabs>
        <w:ind w:firstLine="748"/>
        <w:jc w:val="both"/>
        <w:outlineLvl w:val="0"/>
        <w:rPr>
          <w:color w:val="FF0000"/>
        </w:rPr>
      </w:pPr>
    </w:p>
    <w:p w14:paraId="7423FF81" w14:textId="3B1886F1" w:rsidR="00FD69B3" w:rsidRPr="009619CD" w:rsidRDefault="00FD69B3" w:rsidP="007F24CE">
      <w:pPr>
        <w:ind w:firstLine="720"/>
        <w:jc w:val="both"/>
        <w:rPr>
          <w:noProof/>
        </w:rPr>
      </w:pPr>
      <w:r w:rsidRPr="00FA508E">
        <w:rPr>
          <w:noProof/>
        </w:rPr>
        <w:t xml:space="preserve">Susisiekimo sąlygos priklauso nuo automobilizacijos lygio bei tokių urbanistinių faktorių, kaip gyventojų ir gatvių infrastruktūros tankis, darbo ir gyvenamosios vietos balanso. Kaip matome </w:t>
      </w:r>
      <w:r w:rsidR="00FA508E" w:rsidRPr="00FA508E">
        <w:rPr>
          <w:noProof/>
        </w:rPr>
        <w:t>22</w:t>
      </w:r>
      <w:r w:rsidRPr="00FA508E">
        <w:rPr>
          <w:noProof/>
        </w:rPr>
        <w:t xml:space="preserve"> diagramoje, automobilizacijos lygis Panevėžio mieste 20</w:t>
      </w:r>
      <w:r w:rsidR="00E4377D" w:rsidRPr="00FA508E">
        <w:rPr>
          <w:noProof/>
        </w:rPr>
        <w:t>1</w:t>
      </w:r>
      <w:r w:rsidR="003B28FA" w:rsidRPr="00FA508E">
        <w:rPr>
          <w:noProof/>
        </w:rPr>
        <w:t>5</w:t>
      </w:r>
      <w:r w:rsidRPr="00FA508E">
        <w:rPr>
          <w:noProof/>
        </w:rPr>
        <w:t>-20</w:t>
      </w:r>
      <w:r w:rsidR="00FA508E" w:rsidRPr="00FA508E">
        <w:rPr>
          <w:noProof/>
        </w:rPr>
        <w:t>20</w:t>
      </w:r>
      <w:r w:rsidRPr="00FA508E">
        <w:rPr>
          <w:noProof/>
        </w:rPr>
        <w:t xml:space="preserve"> metais </w:t>
      </w:r>
      <w:r w:rsidR="00511E54" w:rsidRPr="009619CD">
        <w:rPr>
          <w:noProof/>
        </w:rPr>
        <w:t>augo</w:t>
      </w:r>
      <w:r w:rsidRPr="009619CD">
        <w:rPr>
          <w:noProof/>
        </w:rPr>
        <w:t xml:space="preserve"> </w:t>
      </w:r>
      <w:r w:rsidR="003B28FA" w:rsidRPr="009619CD">
        <w:rPr>
          <w:noProof/>
        </w:rPr>
        <w:t>2</w:t>
      </w:r>
      <w:r w:rsidR="009619CD" w:rsidRPr="009619CD">
        <w:rPr>
          <w:noProof/>
        </w:rPr>
        <w:t>5</w:t>
      </w:r>
      <w:r w:rsidRPr="009619CD">
        <w:rPr>
          <w:noProof/>
        </w:rPr>
        <w:t xml:space="preserve"> proc. ir yra lygus Lietuvos vidurkiui (</w:t>
      </w:r>
      <w:r w:rsidR="00DB586C" w:rsidRPr="009619CD">
        <w:rPr>
          <w:noProof/>
        </w:rPr>
        <w:t>4</w:t>
      </w:r>
      <w:r w:rsidR="009619CD" w:rsidRPr="009619CD">
        <w:rPr>
          <w:noProof/>
        </w:rPr>
        <w:t>8</w:t>
      </w:r>
      <w:r w:rsidR="003B28FA" w:rsidRPr="009619CD">
        <w:rPr>
          <w:noProof/>
        </w:rPr>
        <w:t>6</w:t>
      </w:r>
      <w:r w:rsidRPr="009619CD">
        <w:rPr>
          <w:noProof/>
        </w:rPr>
        <w:t xml:space="preserve">). </w:t>
      </w:r>
    </w:p>
    <w:p w14:paraId="240DEFFA" w14:textId="2E14B75F" w:rsidR="00FD69B3" w:rsidRPr="00FA508E" w:rsidRDefault="00FD69B3" w:rsidP="00FD69B3">
      <w:pPr>
        <w:jc w:val="both"/>
        <w:rPr>
          <w:noProof/>
        </w:rPr>
      </w:pPr>
      <w:r w:rsidRPr="007E6B38">
        <w:rPr>
          <w:noProof/>
          <w:color w:val="FF0000"/>
        </w:rPr>
        <w:tab/>
      </w:r>
      <w:r w:rsidR="00FA508E" w:rsidRPr="00FA508E">
        <w:rPr>
          <w:noProof/>
        </w:rPr>
        <w:t>22</w:t>
      </w:r>
      <w:r w:rsidRPr="00FA508E">
        <w:rPr>
          <w:noProof/>
        </w:rPr>
        <w:t xml:space="preserve"> diagrama. Automobilizacijos lygis (individualių automobilių skaičius /1000-</w:t>
      </w:r>
      <w:r w:rsidR="00DB586C" w:rsidRPr="00FA508E">
        <w:rPr>
          <w:noProof/>
        </w:rPr>
        <w:t>iui gyventojų) Panevėžio mieste.</w:t>
      </w:r>
    </w:p>
    <w:p w14:paraId="45BC03E4" w14:textId="77777777" w:rsidR="00FD69B3" w:rsidRPr="007E6B38" w:rsidRDefault="00FD69B3" w:rsidP="00FD69B3">
      <w:pPr>
        <w:jc w:val="both"/>
        <w:rPr>
          <w:noProof/>
          <w:color w:val="FF0000"/>
        </w:rPr>
      </w:pPr>
      <w:r w:rsidRPr="007E6B38">
        <w:rPr>
          <w:noProof/>
          <w:color w:val="FF0000"/>
        </w:rPr>
        <w:drawing>
          <wp:inline distT="0" distB="0" distL="0" distR="0" wp14:anchorId="1F7D3D3D" wp14:editId="700C96E7">
            <wp:extent cx="5200650" cy="1638300"/>
            <wp:effectExtent l="0" t="0" r="0" b="0"/>
            <wp:docPr id="22" name="Objec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8EE12E6" w14:textId="34624243" w:rsidR="00FD69B3" w:rsidRPr="007E6B38" w:rsidRDefault="00FD69B3" w:rsidP="00FD69B3">
      <w:pPr>
        <w:jc w:val="both"/>
        <w:rPr>
          <w:noProof/>
          <w:color w:val="FF0000"/>
        </w:rPr>
      </w:pPr>
      <w:r w:rsidRPr="007E6B38">
        <w:rPr>
          <w:noProof/>
          <w:color w:val="FF0000"/>
        </w:rPr>
        <w:tab/>
      </w:r>
      <w:r w:rsidRPr="009619CD">
        <w:rPr>
          <w:noProof/>
        </w:rPr>
        <w:t>Dviračių takų ilgis Panevėžyje</w:t>
      </w:r>
      <w:r w:rsidR="00BE57B4" w:rsidRPr="009619CD">
        <w:rPr>
          <w:noProof/>
        </w:rPr>
        <w:t xml:space="preserve"> yra </w:t>
      </w:r>
      <w:r w:rsidR="00347DFA" w:rsidRPr="009619CD">
        <w:rPr>
          <w:noProof/>
        </w:rPr>
        <w:t>85,6</w:t>
      </w:r>
      <w:r w:rsidR="00BE57B4" w:rsidRPr="009619CD">
        <w:rPr>
          <w:noProof/>
        </w:rPr>
        <w:t xml:space="preserve"> km ir</w:t>
      </w:r>
      <w:r w:rsidRPr="009619CD">
        <w:rPr>
          <w:noProof/>
        </w:rPr>
        <w:t xml:space="preserve"> per paskutinius </w:t>
      </w:r>
      <w:r w:rsidR="00B90C29">
        <w:rPr>
          <w:noProof/>
        </w:rPr>
        <w:t>7</w:t>
      </w:r>
      <w:r w:rsidRPr="009619CD">
        <w:rPr>
          <w:noProof/>
        </w:rPr>
        <w:t xml:space="preserve"> metus </w:t>
      </w:r>
      <w:r w:rsidR="00BE57B4" w:rsidRPr="009619CD">
        <w:rPr>
          <w:noProof/>
        </w:rPr>
        <w:t>kito nežymiai</w:t>
      </w:r>
      <w:r w:rsidRPr="009619CD">
        <w:rPr>
          <w:noProof/>
        </w:rPr>
        <w:t xml:space="preserve">. </w:t>
      </w:r>
    </w:p>
    <w:p w14:paraId="4057EFED" w14:textId="77777777" w:rsidR="00FD69B3" w:rsidRPr="007E6B38" w:rsidRDefault="00FD69B3" w:rsidP="00FD69B3">
      <w:pPr>
        <w:jc w:val="both"/>
        <w:rPr>
          <w:noProof/>
          <w:color w:val="FF0000"/>
        </w:rPr>
      </w:pPr>
      <w:r w:rsidRPr="007E6B38">
        <w:rPr>
          <w:noProof/>
          <w:color w:val="FF0000"/>
        </w:rPr>
        <w:tab/>
      </w:r>
    </w:p>
    <w:p w14:paraId="0FA0E800" w14:textId="77777777" w:rsidR="00AB0812" w:rsidRDefault="00DB586C" w:rsidP="00FD69B3">
      <w:pPr>
        <w:jc w:val="both"/>
        <w:rPr>
          <w:noProof/>
          <w:color w:val="FF0000"/>
        </w:rPr>
      </w:pPr>
      <w:r w:rsidRPr="007E6B38">
        <w:rPr>
          <w:noProof/>
          <w:color w:val="FF0000"/>
        </w:rPr>
        <w:tab/>
      </w:r>
    </w:p>
    <w:p w14:paraId="7C592D0E" w14:textId="77777777" w:rsidR="00AB0812" w:rsidRDefault="00AB0812" w:rsidP="00FD69B3">
      <w:pPr>
        <w:jc w:val="both"/>
        <w:rPr>
          <w:noProof/>
          <w:color w:val="FF0000"/>
        </w:rPr>
      </w:pPr>
    </w:p>
    <w:p w14:paraId="089C1FEF" w14:textId="2AF10BA9" w:rsidR="00DB586C" w:rsidRPr="009619CD" w:rsidRDefault="00DB586C" w:rsidP="00FD69B3">
      <w:pPr>
        <w:jc w:val="both"/>
        <w:rPr>
          <w:noProof/>
        </w:rPr>
      </w:pPr>
      <w:r w:rsidRPr="009619CD">
        <w:rPr>
          <w:noProof/>
        </w:rPr>
        <w:t>Gatvių su patobulinta danga ilgis</w:t>
      </w:r>
      <w:r w:rsidR="00F12C42">
        <w:rPr>
          <w:noProof/>
        </w:rPr>
        <w:t xml:space="preserve">, </w:t>
      </w:r>
      <w:r w:rsidRPr="009619CD">
        <w:rPr>
          <w:noProof/>
        </w:rPr>
        <w:t xml:space="preserve">bendras gatvių tankis ir jų </w:t>
      </w:r>
      <w:r w:rsidR="00D4542E">
        <w:rPr>
          <w:noProof/>
        </w:rPr>
        <w:t xml:space="preserve">kitimo </w:t>
      </w:r>
      <w:r w:rsidRPr="009619CD">
        <w:rPr>
          <w:noProof/>
        </w:rPr>
        <w:t>dinamika yra pavaizduota 2</w:t>
      </w:r>
      <w:r w:rsidR="009619CD" w:rsidRPr="009619CD">
        <w:rPr>
          <w:noProof/>
        </w:rPr>
        <w:t>3</w:t>
      </w:r>
      <w:r w:rsidRPr="009619CD">
        <w:rPr>
          <w:noProof/>
        </w:rPr>
        <w:t xml:space="preserve"> diagramoje</w:t>
      </w:r>
      <w:r w:rsidR="00347DFA" w:rsidRPr="009619CD">
        <w:rPr>
          <w:noProof/>
          <w:lang w:val="en-US"/>
        </w:rPr>
        <w:t>*</w:t>
      </w:r>
      <w:r w:rsidRPr="009619CD">
        <w:rPr>
          <w:noProof/>
        </w:rPr>
        <w:t>.</w:t>
      </w:r>
    </w:p>
    <w:p w14:paraId="6881B637" w14:textId="77777777" w:rsidR="00DB586C" w:rsidRPr="007E6B38" w:rsidRDefault="00DB586C" w:rsidP="00FD69B3">
      <w:pPr>
        <w:jc w:val="both"/>
        <w:rPr>
          <w:noProof/>
          <w:color w:val="FF0000"/>
        </w:rPr>
      </w:pPr>
      <w:r w:rsidRPr="007E6B38">
        <w:rPr>
          <w:noProof/>
          <w:color w:val="FF0000"/>
        </w:rPr>
        <w:t xml:space="preserve"> </w:t>
      </w:r>
      <w:r w:rsidRPr="007E6B38">
        <w:rPr>
          <w:noProof/>
          <w:color w:val="FF0000"/>
        </w:rPr>
        <w:tab/>
      </w:r>
      <w:r w:rsidR="00E05145" w:rsidRPr="007E6B38">
        <w:rPr>
          <w:noProof/>
          <w:color w:val="FF0000"/>
        </w:rPr>
        <w:drawing>
          <wp:inline distT="0" distB="0" distL="0" distR="0" wp14:anchorId="66C30C30" wp14:editId="5FD6724F">
            <wp:extent cx="5486400" cy="2141220"/>
            <wp:effectExtent l="0" t="0" r="0" b="11430"/>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3384421" w14:textId="77777777" w:rsidR="00347DFA" w:rsidRPr="009619CD" w:rsidRDefault="00347DFA" w:rsidP="00FD69B3">
      <w:pPr>
        <w:ind w:firstLine="1296"/>
        <w:jc w:val="both"/>
        <w:rPr>
          <w:noProof/>
          <w:sz w:val="20"/>
          <w:szCs w:val="20"/>
          <w:lang w:val="en-US"/>
        </w:rPr>
      </w:pPr>
      <w:r w:rsidRPr="009619CD">
        <w:rPr>
          <w:noProof/>
          <w:sz w:val="20"/>
          <w:szCs w:val="20"/>
          <w:lang w:val="en-US"/>
        </w:rPr>
        <w:t>* Duomenys už 2019 metus įvertinti pasikeitus naujai skačiavimo metodikai.</w:t>
      </w:r>
    </w:p>
    <w:p w14:paraId="309A9243" w14:textId="77777777" w:rsidR="00347DFA" w:rsidRPr="009619CD" w:rsidRDefault="00347DFA" w:rsidP="00FD69B3">
      <w:pPr>
        <w:ind w:firstLine="1296"/>
        <w:jc w:val="both"/>
        <w:rPr>
          <w:noProof/>
          <w:sz w:val="20"/>
          <w:szCs w:val="20"/>
          <w:lang w:val="en-US"/>
        </w:rPr>
      </w:pPr>
    </w:p>
    <w:p w14:paraId="34E9D9E0" w14:textId="47E60167" w:rsidR="00FD69B3" w:rsidRPr="00B90C29" w:rsidRDefault="001C209A" w:rsidP="00FD69B3">
      <w:pPr>
        <w:ind w:firstLine="1296"/>
        <w:jc w:val="both"/>
        <w:rPr>
          <w:noProof/>
        </w:rPr>
      </w:pPr>
      <w:r w:rsidRPr="00B90C29">
        <w:rPr>
          <w:noProof/>
        </w:rPr>
        <w:t>Miesto viešojo transporto maršrutų skaičius ir vidutinis autobusų parko autobuso amžius pavaizduotas</w:t>
      </w:r>
      <w:r w:rsidR="00FD69B3" w:rsidRPr="00B90C29">
        <w:rPr>
          <w:noProof/>
        </w:rPr>
        <w:t xml:space="preserve"> </w:t>
      </w:r>
      <w:r w:rsidR="00E4377D" w:rsidRPr="00B90C29">
        <w:rPr>
          <w:noProof/>
        </w:rPr>
        <w:t>2</w:t>
      </w:r>
      <w:r w:rsidR="00B90C29" w:rsidRPr="00B90C29">
        <w:rPr>
          <w:noProof/>
        </w:rPr>
        <w:t>4</w:t>
      </w:r>
      <w:r w:rsidR="00FD69B3" w:rsidRPr="00B90C29">
        <w:rPr>
          <w:noProof/>
        </w:rPr>
        <w:t xml:space="preserve"> diagramoje.</w:t>
      </w:r>
    </w:p>
    <w:p w14:paraId="0A582F6F" w14:textId="1AA422CB" w:rsidR="00FD69B3" w:rsidRPr="00B90C29" w:rsidRDefault="00E4377D" w:rsidP="001C209A">
      <w:pPr>
        <w:ind w:firstLine="1296"/>
        <w:jc w:val="both"/>
        <w:rPr>
          <w:noProof/>
        </w:rPr>
      </w:pPr>
      <w:r w:rsidRPr="00B90C29">
        <w:rPr>
          <w:noProof/>
        </w:rPr>
        <w:t>2</w:t>
      </w:r>
      <w:r w:rsidR="00B90C29" w:rsidRPr="00B90C29">
        <w:rPr>
          <w:noProof/>
        </w:rPr>
        <w:t>4</w:t>
      </w:r>
      <w:r w:rsidR="00FD69B3" w:rsidRPr="00B90C29">
        <w:rPr>
          <w:noProof/>
        </w:rPr>
        <w:t xml:space="preserve"> diagrama.</w:t>
      </w:r>
      <w:r w:rsidR="001C209A" w:rsidRPr="00B90C29">
        <w:rPr>
          <w:noProof/>
        </w:rPr>
        <w:t xml:space="preserve"> Miesto viešojo transporto maršrutų skaičius ir vidutinis autobusų parko autobuso amžius (gamybos m.)</w:t>
      </w:r>
      <w:r w:rsidR="00F66F3A">
        <w:rPr>
          <w:noProof/>
        </w:rPr>
        <w:t xml:space="preserve"> </w:t>
      </w:r>
    </w:p>
    <w:p w14:paraId="74206C9E" w14:textId="77777777" w:rsidR="00D34D5A" w:rsidRPr="007E6B38" w:rsidRDefault="00FD69B3" w:rsidP="00E4377D">
      <w:pPr>
        <w:ind w:firstLine="748"/>
        <w:jc w:val="both"/>
        <w:rPr>
          <w:rFonts w:eastAsia="Arial Unicode MS"/>
          <w:b/>
          <w:color w:val="FF0000"/>
        </w:rPr>
      </w:pPr>
      <w:r w:rsidRPr="007E6B38">
        <w:rPr>
          <w:noProof/>
          <w:color w:val="FF0000"/>
        </w:rPr>
        <w:tab/>
      </w:r>
      <w:r w:rsidR="00861016" w:rsidRPr="007E6B38">
        <w:rPr>
          <w:noProof/>
          <w:color w:val="FF0000"/>
        </w:rPr>
        <w:drawing>
          <wp:inline distT="0" distB="0" distL="0" distR="0" wp14:anchorId="130F6645" wp14:editId="38843CB5">
            <wp:extent cx="5486400" cy="2423160"/>
            <wp:effectExtent l="0" t="0" r="0" b="15240"/>
            <wp:docPr id="44" name="Diagrama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AF3EB8D" w14:textId="0683DBF9" w:rsidR="00845C55" w:rsidRPr="004045EA" w:rsidRDefault="00845C55" w:rsidP="00845C55">
      <w:pPr>
        <w:pStyle w:val="Porat"/>
        <w:tabs>
          <w:tab w:val="clear" w:pos="4153"/>
          <w:tab w:val="clear" w:pos="8306"/>
        </w:tabs>
        <w:ind w:firstLine="748"/>
        <w:jc w:val="both"/>
        <w:outlineLvl w:val="0"/>
        <w:rPr>
          <w:rFonts w:eastAsia="Arial Unicode MS"/>
          <w:b/>
        </w:rPr>
      </w:pPr>
      <w:r w:rsidRPr="004045EA">
        <w:rPr>
          <w:rFonts w:eastAsia="Arial Unicode MS"/>
          <w:b/>
        </w:rPr>
        <w:t>IŠVADOS</w:t>
      </w:r>
    </w:p>
    <w:p w14:paraId="61C40223" w14:textId="77777777" w:rsidR="00E972EC" w:rsidRPr="00E972EC" w:rsidRDefault="00E972EC" w:rsidP="00E972EC">
      <w:pPr>
        <w:ind w:firstLine="748"/>
        <w:jc w:val="both"/>
        <w:rPr>
          <w:bCs/>
        </w:rPr>
      </w:pPr>
      <w:r w:rsidRPr="00E972EC">
        <w:rPr>
          <w:bCs/>
        </w:rPr>
        <w:t xml:space="preserve">1) 2013 m. spalio 10 d. Panevėžio miesto tarybos sprendimu Nr. 1-280 (su vėlesniais pakeitimais) buvo patvirtintas Panevėžio miesto plėtros 2014–2020 metų strateginis. Dokumentas buvo išdėstytas nauja redakcija 2 kartus – 2016 m. vasario 22 d. PMS tarybos sprendimu Nr. 1-41 ir 2017 m. sausio 26 d. </w:t>
      </w:r>
      <w:r w:rsidRPr="00E972EC">
        <w:t>PMS tarybos sprendimu Nr. 1-8.</w:t>
      </w:r>
    </w:p>
    <w:p w14:paraId="3792E656" w14:textId="2800A2D5" w:rsidR="00E972EC" w:rsidRPr="00E972EC" w:rsidRDefault="00E972EC" w:rsidP="00E972EC">
      <w:pPr>
        <w:ind w:firstLine="748"/>
        <w:jc w:val="both"/>
        <w:rPr>
          <w:bCs/>
        </w:rPr>
      </w:pPr>
      <w:r w:rsidRPr="00E972EC">
        <w:rPr>
          <w:bCs/>
        </w:rPr>
        <w:t xml:space="preserve">2) </w:t>
      </w:r>
      <w:r w:rsidRPr="00E972EC">
        <w:t>Panevėžio SPP 2014–2020 buvo suformuota:</w:t>
      </w:r>
      <w:r>
        <w:t xml:space="preserve"> </w:t>
      </w:r>
      <w:r w:rsidRPr="00E972EC">
        <w:t>1</w:t>
      </w:r>
      <w:r>
        <w:t xml:space="preserve"> </w:t>
      </w:r>
      <w:r w:rsidRPr="00E972EC">
        <w:t>vizija, 3 prioritetai, 14 tikslų, 35 uždaviniai, 146 priemonės.</w:t>
      </w:r>
    </w:p>
    <w:p w14:paraId="199B411E" w14:textId="77777777" w:rsidR="00E972EC" w:rsidRPr="00E972EC" w:rsidRDefault="00E972EC" w:rsidP="00E972EC">
      <w:pPr>
        <w:ind w:firstLine="748"/>
        <w:jc w:val="both"/>
      </w:pPr>
      <w:r w:rsidRPr="00E972EC">
        <w:t>3) Panevėžio miesto plėtros 2014 - 2020 metų strateginio plano įgyvendinimas už 2020 m. siekia 94 procentus. Dauguma priemonių yra vykdomos arba vykdomos iš dalies. Strateginio plano vizijos ir prioritetų rodiklių stebėsena parodė, kad dauguma kokybinių rodiklių gerėjo, išskyrus demografinius rodiklius. Išlaidos verslo skatinimui, kultūrai, sportui, švietimui per paskutinius penkerius metus augo. Išlaidos socialinėms pašalpoms ir išmokoms sumažėjo daugiau nei dvigubai.</w:t>
      </w:r>
    </w:p>
    <w:p w14:paraId="741DE780" w14:textId="77777777" w:rsidR="00E972EC" w:rsidRPr="00E972EC" w:rsidRDefault="00E972EC" w:rsidP="00E972EC">
      <w:pPr>
        <w:ind w:firstLine="748"/>
        <w:jc w:val="both"/>
      </w:pPr>
      <w:r w:rsidRPr="00E972EC">
        <w:t>4) Stebėseną apsunkino tai, kad Strateginio plano vizijos ir prioritetų rodiklių palyginimo su didžiaisiais Lietuvos miestais ir šalies vidurkiu analizei reikalingi duomenys kitų miestų savivaldybėse nerenkami, nes viešojo administravimo įstaigos neturi vieningos matavimo rodiklių sistemos. Strateginio plano rodiklių palyginimas su didžiaisiais Lietuvos miestais ir šalies vidurkiu buvo atliktas pateikiant tik Statistikos departamento duomenis. Be to, Savivaldybės administracijai sunku įtakoti kai kurių veiksmų įgyvendinimo procesus ir rezultatus, kai vykdytojai nėra Savivaldybės administracijos skyriai.</w:t>
      </w:r>
    </w:p>
    <w:p w14:paraId="3A46FDE8" w14:textId="77777777" w:rsidR="00E972EC" w:rsidRPr="00E972EC" w:rsidRDefault="00E972EC" w:rsidP="00E972EC">
      <w:pPr>
        <w:ind w:firstLine="748"/>
        <w:jc w:val="both"/>
      </w:pPr>
      <w:r w:rsidRPr="00E972EC">
        <w:t xml:space="preserve">Išsamesnė analizė pateikiama prieduose. </w:t>
      </w:r>
    </w:p>
    <w:p w14:paraId="64D247CF" w14:textId="77777777" w:rsidR="00E972EC" w:rsidRPr="009A3B2B" w:rsidRDefault="00E972EC" w:rsidP="007F1F84">
      <w:pPr>
        <w:ind w:firstLine="748"/>
        <w:jc w:val="both"/>
      </w:pPr>
    </w:p>
    <w:sectPr w:rsidR="00E972EC" w:rsidRPr="009A3B2B" w:rsidSect="00F66F3A">
      <w:footerReference w:type="even" r:id="rId32"/>
      <w:footerReference w:type="default" r:id="rId33"/>
      <w:pgSz w:w="11906" w:h="16838"/>
      <w:pgMar w:top="896" w:right="890" w:bottom="567" w:left="1701" w:header="561" w:footer="56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5731D" w14:textId="77777777" w:rsidR="004C688C" w:rsidRDefault="004C688C">
      <w:r>
        <w:separator/>
      </w:r>
    </w:p>
  </w:endnote>
  <w:endnote w:type="continuationSeparator" w:id="0">
    <w:p w14:paraId="6640548A" w14:textId="77777777" w:rsidR="004C688C" w:rsidRDefault="004C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Ubuntu">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B02D2" w14:textId="77777777" w:rsidR="00795E2D" w:rsidRDefault="002312EA" w:rsidP="00E31BA3">
    <w:pPr>
      <w:pStyle w:val="Porat"/>
      <w:framePr w:wrap="around" w:vAnchor="text" w:hAnchor="margin" w:xAlign="right" w:y="1"/>
      <w:rPr>
        <w:rStyle w:val="Puslapionumeris"/>
      </w:rPr>
    </w:pPr>
    <w:r>
      <w:rPr>
        <w:rStyle w:val="Puslapionumeris"/>
      </w:rPr>
      <w:fldChar w:fldCharType="begin"/>
    </w:r>
    <w:r w:rsidR="00795E2D">
      <w:rPr>
        <w:rStyle w:val="Puslapionumeris"/>
      </w:rPr>
      <w:instrText xml:space="preserve">PAGE  </w:instrText>
    </w:r>
    <w:r>
      <w:rPr>
        <w:rStyle w:val="Puslapionumeris"/>
      </w:rPr>
      <w:fldChar w:fldCharType="separate"/>
    </w:r>
    <w:r w:rsidR="00D77BA4">
      <w:rPr>
        <w:rStyle w:val="Puslapionumeris"/>
        <w:noProof/>
      </w:rPr>
      <w:t>8</w:t>
    </w:r>
    <w:r>
      <w:rPr>
        <w:rStyle w:val="Puslapionumeris"/>
      </w:rPr>
      <w:fldChar w:fldCharType="end"/>
    </w:r>
  </w:p>
  <w:p w14:paraId="1E27F49A" w14:textId="77777777" w:rsidR="00795E2D" w:rsidRDefault="00795E2D" w:rsidP="0050419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B8E1F" w14:textId="77777777" w:rsidR="00795E2D" w:rsidRDefault="002312EA" w:rsidP="00E31BA3">
    <w:pPr>
      <w:pStyle w:val="Porat"/>
      <w:framePr w:wrap="around" w:vAnchor="text" w:hAnchor="margin" w:xAlign="right" w:y="1"/>
      <w:rPr>
        <w:rStyle w:val="Puslapionumeris"/>
      </w:rPr>
    </w:pPr>
    <w:r>
      <w:rPr>
        <w:rStyle w:val="Puslapionumeris"/>
      </w:rPr>
      <w:fldChar w:fldCharType="begin"/>
    </w:r>
    <w:r w:rsidR="00795E2D">
      <w:rPr>
        <w:rStyle w:val="Puslapionumeris"/>
      </w:rPr>
      <w:instrText xml:space="preserve">PAGE  </w:instrText>
    </w:r>
    <w:r>
      <w:rPr>
        <w:rStyle w:val="Puslapionumeris"/>
      </w:rPr>
      <w:fldChar w:fldCharType="separate"/>
    </w:r>
    <w:r w:rsidR="00E332B4">
      <w:rPr>
        <w:rStyle w:val="Puslapionumeris"/>
        <w:noProof/>
      </w:rPr>
      <w:t>2</w:t>
    </w:r>
    <w:r>
      <w:rPr>
        <w:rStyle w:val="Puslapionumeris"/>
      </w:rPr>
      <w:fldChar w:fldCharType="end"/>
    </w:r>
  </w:p>
  <w:p w14:paraId="3607E0A7" w14:textId="77777777" w:rsidR="00795E2D" w:rsidRDefault="00795E2D" w:rsidP="0050419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1E662" w14:textId="77777777" w:rsidR="004C688C" w:rsidRDefault="004C688C">
      <w:r>
        <w:separator/>
      </w:r>
    </w:p>
  </w:footnote>
  <w:footnote w:type="continuationSeparator" w:id="0">
    <w:p w14:paraId="75B3DB4B" w14:textId="77777777" w:rsidR="004C688C" w:rsidRDefault="004C68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7E34"/>
    <w:multiLevelType w:val="hybridMultilevel"/>
    <w:tmpl w:val="7046AC7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A8408C2"/>
    <w:multiLevelType w:val="hybridMultilevel"/>
    <w:tmpl w:val="659CA380"/>
    <w:lvl w:ilvl="0" w:tplc="B58C4910">
      <w:start w:val="14"/>
      <w:numFmt w:val="bullet"/>
      <w:lvlText w:val=""/>
      <w:lvlJc w:val="left"/>
      <w:pPr>
        <w:ind w:left="1108" w:hanging="360"/>
      </w:pPr>
      <w:rPr>
        <w:rFonts w:ascii="Symbol" w:eastAsia="Times New Roman" w:hAnsi="Symbol" w:cs="Times New Roman"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71"/>
  <w:drawingGridVerticalSpacing w:val="29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72D9"/>
    <w:rsid w:val="00011331"/>
    <w:rsid w:val="000130D9"/>
    <w:rsid w:val="000139A5"/>
    <w:rsid w:val="00013AFD"/>
    <w:rsid w:val="00013DF2"/>
    <w:rsid w:val="00021FF3"/>
    <w:rsid w:val="000231E1"/>
    <w:rsid w:val="00023C5E"/>
    <w:rsid w:val="00024720"/>
    <w:rsid w:val="00026912"/>
    <w:rsid w:val="00031224"/>
    <w:rsid w:val="000338AF"/>
    <w:rsid w:val="00033FD3"/>
    <w:rsid w:val="000426DA"/>
    <w:rsid w:val="00044667"/>
    <w:rsid w:val="00045C3E"/>
    <w:rsid w:val="0005269C"/>
    <w:rsid w:val="00057D3F"/>
    <w:rsid w:val="0006597D"/>
    <w:rsid w:val="00080DEA"/>
    <w:rsid w:val="00083811"/>
    <w:rsid w:val="00083CE3"/>
    <w:rsid w:val="00085D88"/>
    <w:rsid w:val="00086A22"/>
    <w:rsid w:val="00086EA1"/>
    <w:rsid w:val="00091129"/>
    <w:rsid w:val="00091B86"/>
    <w:rsid w:val="00094E46"/>
    <w:rsid w:val="0009750E"/>
    <w:rsid w:val="000A40C9"/>
    <w:rsid w:val="000A7F1A"/>
    <w:rsid w:val="000B057D"/>
    <w:rsid w:val="000B1A72"/>
    <w:rsid w:val="000B1CE9"/>
    <w:rsid w:val="000B73AC"/>
    <w:rsid w:val="000C08DF"/>
    <w:rsid w:val="000C2A1C"/>
    <w:rsid w:val="000C38D1"/>
    <w:rsid w:val="000C7F35"/>
    <w:rsid w:val="000D1313"/>
    <w:rsid w:val="000E23CE"/>
    <w:rsid w:val="000E3FC9"/>
    <w:rsid w:val="000E45C1"/>
    <w:rsid w:val="000E774B"/>
    <w:rsid w:val="000F02EB"/>
    <w:rsid w:val="000F0745"/>
    <w:rsid w:val="000F13B7"/>
    <w:rsid w:val="000F1F57"/>
    <w:rsid w:val="000F24CC"/>
    <w:rsid w:val="00102296"/>
    <w:rsid w:val="00113443"/>
    <w:rsid w:val="0011455A"/>
    <w:rsid w:val="0011554D"/>
    <w:rsid w:val="001232DD"/>
    <w:rsid w:val="00125B60"/>
    <w:rsid w:val="00143838"/>
    <w:rsid w:val="001457E6"/>
    <w:rsid w:val="0015114B"/>
    <w:rsid w:val="001519AA"/>
    <w:rsid w:val="00155B71"/>
    <w:rsid w:val="00164E07"/>
    <w:rsid w:val="00166550"/>
    <w:rsid w:val="00176A07"/>
    <w:rsid w:val="001778D6"/>
    <w:rsid w:val="00180A40"/>
    <w:rsid w:val="00181488"/>
    <w:rsid w:val="001860F7"/>
    <w:rsid w:val="00192CC2"/>
    <w:rsid w:val="001973A3"/>
    <w:rsid w:val="001A202A"/>
    <w:rsid w:val="001A334B"/>
    <w:rsid w:val="001A5D0F"/>
    <w:rsid w:val="001A5E2C"/>
    <w:rsid w:val="001A7B89"/>
    <w:rsid w:val="001A7CBD"/>
    <w:rsid w:val="001B40EC"/>
    <w:rsid w:val="001B6E90"/>
    <w:rsid w:val="001B7524"/>
    <w:rsid w:val="001B7F10"/>
    <w:rsid w:val="001C0136"/>
    <w:rsid w:val="001C209A"/>
    <w:rsid w:val="001C5115"/>
    <w:rsid w:val="001C595B"/>
    <w:rsid w:val="001D0A44"/>
    <w:rsid w:val="001E2930"/>
    <w:rsid w:val="001E5EA1"/>
    <w:rsid w:val="001E7BEF"/>
    <w:rsid w:val="001F06A8"/>
    <w:rsid w:val="001F090D"/>
    <w:rsid w:val="001F1AFD"/>
    <w:rsid w:val="001F6918"/>
    <w:rsid w:val="002022F4"/>
    <w:rsid w:val="00202FCE"/>
    <w:rsid w:val="0020318A"/>
    <w:rsid w:val="00204244"/>
    <w:rsid w:val="002101C4"/>
    <w:rsid w:val="002152CE"/>
    <w:rsid w:val="00217217"/>
    <w:rsid w:val="00223209"/>
    <w:rsid w:val="00224F66"/>
    <w:rsid w:val="00225C73"/>
    <w:rsid w:val="00227AA0"/>
    <w:rsid w:val="002312EA"/>
    <w:rsid w:val="00232E52"/>
    <w:rsid w:val="00234FE0"/>
    <w:rsid w:val="002355BA"/>
    <w:rsid w:val="002372F4"/>
    <w:rsid w:val="00241C53"/>
    <w:rsid w:val="002435C1"/>
    <w:rsid w:val="00244E40"/>
    <w:rsid w:val="00244FEE"/>
    <w:rsid w:val="002462BA"/>
    <w:rsid w:val="0024790C"/>
    <w:rsid w:val="00253A3F"/>
    <w:rsid w:val="002545A8"/>
    <w:rsid w:val="002551C3"/>
    <w:rsid w:val="002573D1"/>
    <w:rsid w:val="002577FE"/>
    <w:rsid w:val="0026430C"/>
    <w:rsid w:val="002648D3"/>
    <w:rsid w:val="002708C4"/>
    <w:rsid w:val="0027484F"/>
    <w:rsid w:val="00276AAB"/>
    <w:rsid w:val="00282944"/>
    <w:rsid w:val="00290612"/>
    <w:rsid w:val="00291678"/>
    <w:rsid w:val="00291ECB"/>
    <w:rsid w:val="00296DCE"/>
    <w:rsid w:val="002A5368"/>
    <w:rsid w:val="002A59B6"/>
    <w:rsid w:val="002B0555"/>
    <w:rsid w:val="002B0BCC"/>
    <w:rsid w:val="002B0E6A"/>
    <w:rsid w:val="002B36BD"/>
    <w:rsid w:val="002B5021"/>
    <w:rsid w:val="002C131C"/>
    <w:rsid w:val="002C206A"/>
    <w:rsid w:val="002D1894"/>
    <w:rsid w:val="002D3D2F"/>
    <w:rsid w:val="002D4003"/>
    <w:rsid w:val="002E014A"/>
    <w:rsid w:val="002F1930"/>
    <w:rsid w:val="002F19A8"/>
    <w:rsid w:val="002F31C8"/>
    <w:rsid w:val="002F3FF7"/>
    <w:rsid w:val="002F4FAE"/>
    <w:rsid w:val="002F6EC3"/>
    <w:rsid w:val="003059CD"/>
    <w:rsid w:val="00306DF8"/>
    <w:rsid w:val="0030700E"/>
    <w:rsid w:val="003102E5"/>
    <w:rsid w:val="00310A5C"/>
    <w:rsid w:val="00314203"/>
    <w:rsid w:val="003167B7"/>
    <w:rsid w:val="00323714"/>
    <w:rsid w:val="00324CC1"/>
    <w:rsid w:val="00333352"/>
    <w:rsid w:val="0033345D"/>
    <w:rsid w:val="00334357"/>
    <w:rsid w:val="00336C7E"/>
    <w:rsid w:val="003406BE"/>
    <w:rsid w:val="00340DC0"/>
    <w:rsid w:val="00341E52"/>
    <w:rsid w:val="00343D0A"/>
    <w:rsid w:val="00347DFA"/>
    <w:rsid w:val="0035744B"/>
    <w:rsid w:val="00357B23"/>
    <w:rsid w:val="00357ECA"/>
    <w:rsid w:val="0036036D"/>
    <w:rsid w:val="00360C47"/>
    <w:rsid w:val="00363E07"/>
    <w:rsid w:val="00367EA4"/>
    <w:rsid w:val="0037113A"/>
    <w:rsid w:val="00375970"/>
    <w:rsid w:val="0037732F"/>
    <w:rsid w:val="003801E5"/>
    <w:rsid w:val="00381054"/>
    <w:rsid w:val="00390A85"/>
    <w:rsid w:val="00392404"/>
    <w:rsid w:val="00393EA4"/>
    <w:rsid w:val="00394661"/>
    <w:rsid w:val="003A024E"/>
    <w:rsid w:val="003A2581"/>
    <w:rsid w:val="003A33DF"/>
    <w:rsid w:val="003A3710"/>
    <w:rsid w:val="003A614B"/>
    <w:rsid w:val="003A697F"/>
    <w:rsid w:val="003A69D4"/>
    <w:rsid w:val="003A7DD7"/>
    <w:rsid w:val="003B28FA"/>
    <w:rsid w:val="003B3264"/>
    <w:rsid w:val="003B3532"/>
    <w:rsid w:val="003B3954"/>
    <w:rsid w:val="003B3DFF"/>
    <w:rsid w:val="003B4082"/>
    <w:rsid w:val="003B4253"/>
    <w:rsid w:val="003B797D"/>
    <w:rsid w:val="003C0319"/>
    <w:rsid w:val="003C6845"/>
    <w:rsid w:val="003D0780"/>
    <w:rsid w:val="003D57F9"/>
    <w:rsid w:val="003E03D1"/>
    <w:rsid w:val="003E0837"/>
    <w:rsid w:val="003E2C31"/>
    <w:rsid w:val="003E64CE"/>
    <w:rsid w:val="003E67E4"/>
    <w:rsid w:val="003E75D3"/>
    <w:rsid w:val="003E75F3"/>
    <w:rsid w:val="003E785A"/>
    <w:rsid w:val="003F64FB"/>
    <w:rsid w:val="00403FC2"/>
    <w:rsid w:val="004045EA"/>
    <w:rsid w:val="00410F66"/>
    <w:rsid w:val="00411399"/>
    <w:rsid w:val="004121E0"/>
    <w:rsid w:val="0041468D"/>
    <w:rsid w:val="00416AA3"/>
    <w:rsid w:val="004177CB"/>
    <w:rsid w:val="0042195F"/>
    <w:rsid w:val="0042650F"/>
    <w:rsid w:val="00426688"/>
    <w:rsid w:val="00432D97"/>
    <w:rsid w:val="00434210"/>
    <w:rsid w:val="00434C18"/>
    <w:rsid w:val="00436158"/>
    <w:rsid w:val="00450B19"/>
    <w:rsid w:val="00460499"/>
    <w:rsid w:val="00460F97"/>
    <w:rsid w:val="00465149"/>
    <w:rsid w:val="00471357"/>
    <w:rsid w:val="004713E7"/>
    <w:rsid w:val="00471E27"/>
    <w:rsid w:val="00471FC2"/>
    <w:rsid w:val="004726D4"/>
    <w:rsid w:val="00473249"/>
    <w:rsid w:val="00473376"/>
    <w:rsid w:val="0047414B"/>
    <w:rsid w:val="00474648"/>
    <w:rsid w:val="00474C90"/>
    <w:rsid w:val="00482BAE"/>
    <w:rsid w:val="0048550B"/>
    <w:rsid w:val="00486DC6"/>
    <w:rsid w:val="004918B7"/>
    <w:rsid w:val="00493EFC"/>
    <w:rsid w:val="004946CC"/>
    <w:rsid w:val="00495476"/>
    <w:rsid w:val="004958B1"/>
    <w:rsid w:val="00496461"/>
    <w:rsid w:val="004965AF"/>
    <w:rsid w:val="00496BA8"/>
    <w:rsid w:val="004975CA"/>
    <w:rsid w:val="004979C2"/>
    <w:rsid w:val="004A14F1"/>
    <w:rsid w:val="004A22A8"/>
    <w:rsid w:val="004A4F35"/>
    <w:rsid w:val="004B2B67"/>
    <w:rsid w:val="004B7778"/>
    <w:rsid w:val="004C18E9"/>
    <w:rsid w:val="004C2AB4"/>
    <w:rsid w:val="004C688C"/>
    <w:rsid w:val="004D6AFF"/>
    <w:rsid w:val="004E181C"/>
    <w:rsid w:val="004E2B0F"/>
    <w:rsid w:val="004E4AA4"/>
    <w:rsid w:val="004F1A34"/>
    <w:rsid w:val="004F2870"/>
    <w:rsid w:val="004F4360"/>
    <w:rsid w:val="004F564C"/>
    <w:rsid w:val="00500EEB"/>
    <w:rsid w:val="0050419E"/>
    <w:rsid w:val="00506B0B"/>
    <w:rsid w:val="00506DE9"/>
    <w:rsid w:val="00510325"/>
    <w:rsid w:val="005103D4"/>
    <w:rsid w:val="00511274"/>
    <w:rsid w:val="00511E54"/>
    <w:rsid w:val="00511F94"/>
    <w:rsid w:val="00512CE5"/>
    <w:rsid w:val="005134FA"/>
    <w:rsid w:val="005251A3"/>
    <w:rsid w:val="0053110D"/>
    <w:rsid w:val="00533471"/>
    <w:rsid w:val="00535195"/>
    <w:rsid w:val="00544F6A"/>
    <w:rsid w:val="00545EF9"/>
    <w:rsid w:val="0054611F"/>
    <w:rsid w:val="00550F20"/>
    <w:rsid w:val="0055270D"/>
    <w:rsid w:val="00554EF8"/>
    <w:rsid w:val="005568D5"/>
    <w:rsid w:val="00556F88"/>
    <w:rsid w:val="00560002"/>
    <w:rsid w:val="0056283E"/>
    <w:rsid w:val="0056718C"/>
    <w:rsid w:val="005675CB"/>
    <w:rsid w:val="005702BA"/>
    <w:rsid w:val="005724CF"/>
    <w:rsid w:val="00572929"/>
    <w:rsid w:val="00580BC4"/>
    <w:rsid w:val="00582E94"/>
    <w:rsid w:val="00583FF4"/>
    <w:rsid w:val="005842ED"/>
    <w:rsid w:val="005853DA"/>
    <w:rsid w:val="0058758D"/>
    <w:rsid w:val="005955DA"/>
    <w:rsid w:val="00596A16"/>
    <w:rsid w:val="005A0616"/>
    <w:rsid w:val="005A3C6A"/>
    <w:rsid w:val="005A43A5"/>
    <w:rsid w:val="005A7C18"/>
    <w:rsid w:val="005B0114"/>
    <w:rsid w:val="005B041F"/>
    <w:rsid w:val="005B5388"/>
    <w:rsid w:val="005B5689"/>
    <w:rsid w:val="005B5721"/>
    <w:rsid w:val="005C2893"/>
    <w:rsid w:val="005C3F11"/>
    <w:rsid w:val="005C4CCF"/>
    <w:rsid w:val="005D131F"/>
    <w:rsid w:val="005D5FCB"/>
    <w:rsid w:val="005D6099"/>
    <w:rsid w:val="005D71F9"/>
    <w:rsid w:val="005E042B"/>
    <w:rsid w:val="005E7A56"/>
    <w:rsid w:val="005F2CCA"/>
    <w:rsid w:val="005F67AF"/>
    <w:rsid w:val="006061FD"/>
    <w:rsid w:val="00616E08"/>
    <w:rsid w:val="00620E52"/>
    <w:rsid w:val="00620FA3"/>
    <w:rsid w:val="00622B76"/>
    <w:rsid w:val="00624355"/>
    <w:rsid w:val="00627494"/>
    <w:rsid w:val="00630314"/>
    <w:rsid w:val="00632E50"/>
    <w:rsid w:val="0063667E"/>
    <w:rsid w:val="00641CFF"/>
    <w:rsid w:val="00644608"/>
    <w:rsid w:val="00645669"/>
    <w:rsid w:val="00647CD5"/>
    <w:rsid w:val="00653F41"/>
    <w:rsid w:val="00657B4C"/>
    <w:rsid w:val="00660122"/>
    <w:rsid w:val="0066483B"/>
    <w:rsid w:val="00665FFD"/>
    <w:rsid w:val="006700D1"/>
    <w:rsid w:val="006770A7"/>
    <w:rsid w:val="00682708"/>
    <w:rsid w:val="006870CF"/>
    <w:rsid w:val="006875D5"/>
    <w:rsid w:val="00691AA0"/>
    <w:rsid w:val="006959A6"/>
    <w:rsid w:val="00697803"/>
    <w:rsid w:val="006A02EF"/>
    <w:rsid w:val="006A0A01"/>
    <w:rsid w:val="006A2429"/>
    <w:rsid w:val="006A3C04"/>
    <w:rsid w:val="006A6723"/>
    <w:rsid w:val="006A7B40"/>
    <w:rsid w:val="006A7E7E"/>
    <w:rsid w:val="006B3337"/>
    <w:rsid w:val="006B33D5"/>
    <w:rsid w:val="006B3C22"/>
    <w:rsid w:val="006B3EB9"/>
    <w:rsid w:val="006B59A5"/>
    <w:rsid w:val="006B766F"/>
    <w:rsid w:val="006C30E6"/>
    <w:rsid w:val="006C3671"/>
    <w:rsid w:val="006C3B7F"/>
    <w:rsid w:val="006D319E"/>
    <w:rsid w:val="006D4423"/>
    <w:rsid w:val="006D457C"/>
    <w:rsid w:val="006D4E42"/>
    <w:rsid w:val="006D60FA"/>
    <w:rsid w:val="006D7770"/>
    <w:rsid w:val="006E0520"/>
    <w:rsid w:val="006E14D9"/>
    <w:rsid w:val="006E1DF4"/>
    <w:rsid w:val="006E2DF9"/>
    <w:rsid w:val="006E4197"/>
    <w:rsid w:val="006E6567"/>
    <w:rsid w:val="006F1607"/>
    <w:rsid w:val="006F56DD"/>
    <w:rsid w:val="00700F2A"/>
    <w:rsid w:val="00710EBA"/>
    <w:rsid w:val="0071629E"/>
    <w:rsid w:val="007170B1"/>
    <w:rsid w:val="00717293"/>
    <w:rsid w:val="00724427"/>
    <w:rsid w:val="00727F4A"/>
    <w:rsid w:val="007306C8"/>
    <w:rsid w:val="00731204"/>
    <w:rsid w:val="007319AB"/>
    <w:rsid w:val="00731FE7"/>
    <w:rsid w:val="00734571"/>
    <w:rsid w:val="00737D39"/>
    <w:rsid w:val="00740910"/>
    <w:rsid w:val="007421B7"/>
    <w:rsid w:val="00742385"/>
    <w:rsid w:val="00746D57"/>
    <w:rsid w:val="00751189"/>
    <w:rsid w:val="00751C41"/>
    <w:rsid w:val="0075510E"/>
    <w:rsid w:val="00757DB4"/>
    <w:rsid w:val="0076181C"/>
    <w:rsid w:val="00761848"/>
    <w:rsid w:val="00764231"/>
    <w:rsid w:val="00764FFB"/>
    <w:rsid w:val="00765172"/>
    <w:rsid w:val="0076564F"/>
    <w:rsid w:val="0077421D"/>
    <w:rsid w:val="0077733C"/>
    <w:rsid w:val="00781E13"/>
    <w:rsid w:val="00785BD2"/>
    <w:rsid w:val="0078626B"/>
    <w:rsid w:val="00787E05"/>
    <w:rsid w:val="00790891"/>
    <w:rsid w:val="00792E95"/>
    <w:rsid w:val="00793711"/>
    <w:rsid w:val="00794571"/>
    <w:rsid w:val="00794754"/>
    <w:rsid w:val="00794767"/>
    <w:rsid w:val="00795E2D"/>
    <w:rsid w:val="00797F56"/>
    <w:rsid w:val="007A4F6B"/>
    <w:rsid w:val="007A61E9"/>
    <w:rsid w:val="007A6AF2"/>
    <w:rsid w:val="007A7173"/>
    <w:rsid w:val="007B0BC5"/>
    <w:rsid w:val="007C078C"/>
    <w:rsid w:val="007C55AF"/>
    <w:rsid w:val="007D1421"/>
    <w:rsid w:val="007D5D15"/>
    <w:rsid w:val="007D5F06"/>
    <w:rsid w:val="007D6261"/>
    <w:rsid w:val="007D7E44"/>
    <w:rsid w:val="007E6B38"/>
    <w:rsid w:val="007E7A96"/>
    <w:rsid w:val="007F0118"/>
    <w:rsid w:val="007F1F84"/>
    <w:rsid w:val="007F24CE"/>
    <w:rsid w:val="007F4AF1"/>
    <w:rsid w:val="00800C4F"/>
    <w:rsid w:val="00810A84"/>
    <w:rsid w:val="00810C3D"/>
    <w:rsid w:val="00811129"/>
    <w:rsid w:val="00811507"/>
    <w:rsid w:val="008214B9"/>
    <w:rsid w:val="0082215F"/>
    <w:rsid w:val="008263D0"/>
    <w:rsid w:val="008268EF"/>
    <w:rsid w:val="00831734"/>
    <w:rsid w:val="00831D17"/>
    <w:rsid w:val="00831D92"/>
    <w:rsid w:val="00831E03"/>
    <w:rsid w:val="00832A95"/>
    <w:rsid w:val="00845742"/>
    <w:rsid w:val="00845C55"/>
    <w:rsid w:val="0084631F"/>
    <w:rsid w:val="00850707"/>
    <w:rsid w:val="00851C9F"/>
    <w:rsid w:val="00852C04"/>
    <w:rsid w:val="00853117"/>
    <w:rsid w:val="008539AB"/>
    <w:rsid w:val="0085664F"/>
    <w:rsid w:val="00860AE2"/>
    <w:rsid w:val="00861016"/>
    <w:rsid w:val="00862931"/>
    <w:rsid w:val="0086595C"/>
    <w:rsid w:val="0086697F"/>
    <w:rsid w:val="00872905"/>
    <w:rsid w:val="008731C8"/>
    <w:rsid w:val="00880BE8"/>
    <w:rsid w:val="008812B0"/>
    <w:rsid w:val="008842D0"/>
    <w:rsid w:val="008842DE"/>
    <w:rsid w:val="00891874"/>
    <w:rsid w:val="008936BF"/>
    <w:rsid w:val="008A6B67"/>
    <w:rsid w:val="008B068B"/>
    <w:rsid w:val="008B1D34"/>
    <w:rsid w:val="008B36A8"/>
    <w:rsid w:val="008B3F27"/>
    <w:rsid w:val="008B541F"/>
    <w:rsid w:val="008B5E21"/>
    <w:rsid w:val="008B60C4"/>
    <w:rsid w:val="008B7C53"/>
    <w:rsid w:val="008D35A4"/>
    <w:rsid w:val="008D40CA"/>
    <w:rsid w:val="008D5979"/>
    <w:rsid w:val="008E1C27"/>
    <w:rsid w:val="008F5F9F"/>
    <w:rsid w:val="008F6506"/>
    <w:rsid w:val="00905876"/>
    <w:rsid w:val="0091161D"/>
    <w:rsid w:val="009125B1"/>
    <w:rsid w:val="0091627E"/>
    <w:rsid w:val="00920098"/>
    <w:rsid w:val="00920541"/>
    <w:rsid w:val="00922756"/>
    <w:rsid w:val="009340CF"/>
    <w:rsid w:val="00936D8B"/>
    <w:rsid w:val="0094079D"/>
    <w:rsid w:val="00942ED9"/>
    <w:rsid w:val="009526DA"/>
    <w:rsid w:val="00953B68"/>
    <w:rsid w:val="00955A2F"/>
    <w:rsid w:val="00960045"/>
    <w:rsid w:val="00960A2C"/>
    <w:rsid w:val="009619CD"/>
    <w:rsid w:val="00963956"/>
    <w:rsid w:val="00970B6E"/>
    <w:rsid w:val="00975F61"/>
    <w:rsid w:val="0097718A"/>
    <w:rsid w:val="009807B7"/>
    <w:rsid w:val="00982282"/>
    <w:rsid w:val="0098504A"/>
    <w:rsid w:val="00985741"/>
    <w:rsid w:val="009904E8"/>
    <w:rsid w:val="00991FBF"/>
    <w:rsid w:val="00993B2A"/>
    <w:rsid w:val="00995811"/>
    <w:rsid w:val="009A0F96"/>
    <w:rsid w:val="009A2957"/>
    <w:rsid w:val="009A3B2B"/>
    <w:rsid w:val="009A4E2B"/>
    <w:rsid w:val="009A6FB3"/>
    <w:rsid w:val="009B07C1"/>
    <w:rsid w:val="009B33EA"/>
    <w:rsid w:val="009B5856"/>
    <w:rsid w:val="009C0A83"/>
    <w:rsid w:val="009C527C"/>
    <w:rsid w:val="009C5934"/>
    <w:rsid w:val="009D0EEF"/>
    <w:rsid w:val="009D143B"/>
    <w:rsid w:val="009D1892"/>
    <w:rsid w:val="009D2F58"/>
    <w:rsid w:val="009E3206"/>
    <w:rsid w:val="009F0CFF"/>
    <w:rsid w:val="009F71FA"/>
    <w:rsid w:val="009F73FA"/>
    <w:rsid w:val="009F7D34"/>
    <w:rsid w:val="00A01F9B"/>
    <w:rsid w:val="00A04D89"/>
    <w:rsid w:val="00A04EA4"/>
    <w:rsid w:val="00A12687"/>
    <w:rsid w:val="00A15120"/>
    <w:rsid w:val="00A201FA"/>
    <w:rsid w:val="00A2596A"/>
    <w:rsid w:val="00A25B83"/>
    <w:rsid w:val="00A33112"/>
    <w:rsid w:val="00A34283"/>
    <w:rsid w:val="00A3762B"/>
    <w:rsid w:val="00A4344E"/>
    <w:rsid w:val="00A43B8D"/>
    <w:rsid w:val="00A44C6E"/>
    <w:rsid w:val="00A46FB8"/>
    <w:rsid w:val="00A537A9"/>
    <w:rsid w:val="00A562EB"/>
    <w:rsid w:val="00A56B47"/>
    <w:rsid w:val="00A57492"/>
    <w:rsid w:val="00A57F9A"/>
    <w:rsid w:val="00A60576"/>
    <w:rsid w:val="00A61199"/>
    <w:rsid w:val="00A637E4"/>
    <w:rsid w:val="00A64C35"/>
    <w:rsid w:val="00A71F2E"/>
    <w:rsid w:val="00A74300"/>
    <w:rsid w:val="00A7459D"/>
    <w:rsid w:val="00A76C14"/>
    <w:rsid w:val="00A770CB"/>
    <w:rsid w:val="00A8065C"/>
    <w:rsid w:val="00A824EA"/>
    <w:rsid w:val="00A840D4"/>
    <w:rsid w:val="00A901D2"/>
    <w:rsid w:val="00A90AD0"/>
    <w:rsid w:val="00A92666"/>
    <w:rsid w:val="00AA312E"/>
    <w:rsid w:val="00AA5C8D"/>
    <w:rsid w:val="00AA64E3"/>
    <w:rsid w:val="00AA75DA"/>
    <w:rsid w:val="00AA7F15"/>
    <w:rsid w:val="00AB0812"/>
    <w:rsid w:val="00AB1F25"/>
    <w:rsid w:val="00AB2D51"/>
    <w:rsid w:val="00AB57A9"/>
    <w:rsid w:val="00AB785E"/>
    <w:rsid w:val="00AC1A07"/>
    <w:rsid w:val="00AC5571"/>
    <w:rsid w:val="00AD20E5"/>
    <w:rsid w:val="00AD4196"/>
    <w:rsid w:val="00AD5F08"/>
    <w:rsid w:val="00AD6A01"/>
    <w:rsid w:val="00AD7F93"/>
    <w:rsid w:val="00AE4DC6"/>
    <w:rsid w:val="00AE58EF"/>
    <w:rsid w:val="00AE5C70"/>
    <w:rsid w:val="00AF0B15"/>
    <w:rsid w:val="00AF402B"/>
    <w:rsid w:val="00AF428B"/>
    <w:rsid w:val="00AF5D59"/>
    <w:rsid w:val="00AF644E"/>
    <w:rsid w:val="00B0041F"/>
    <w:rsid w:val="00B02F89"/>
    <w:rsid w:val="00B04F63"/>
    <w:rsid w:val="00B06312"/>
    <w:rsid w:val="00B074D7"/>
    <w:rsid w:val="00B07F74"/>
    <w:rsid w:val="00B11C77"/>
    <w:rsid w:val="00B1225B"/>
    <w:rsid w:val="00B123CD"/>
    <w:rsid w:val="00B13EE4"/>
    <w:rsid w:val="00B16089"/>
    <w:rsid w:val="00B178F9"/>
    <w:rsid w:val="00B26F0A"/>
    <w:rsid w:val="00B27777"/>
    <w:rsid w:val="00B306F3"/>
    <w:rsid w:val="00B33547"/>
    <w:rsid w:val="00B35A9C"/>
    <w:rsid w:val="00B40654"/>
    <w:rsid w:val="00B41146"/>
    <w:rsid w:val="00B463E2"/>
    <w:rsid w:val="00B46B15"/>
    <w:rsid w:val="00B46C6D"/>
    <w:rsid w:val="00B53C7F"/>
    <w:rsid w:val="00B5787A"/>
    <w:rsid w:val="00B622D8"/>
    <w:rsid w:val="00B63A2D"/>
    <w:rsid w:val="00B65BDE"/>
    <w:rsid w:val="00B738C6"/>
    <w:rsid w:val="00B76E45"/>
    <w:rsid w:val="00B778BF"/>
    <w:rsid w:val="00B77D35"/>
    <w:rsid w:val="00B77DE8"/>
    <w:rsid w:val="00B807C5"/>
    <w:rsid w:val="00B84874"/>
    <w:rsid w:val="00B87485"/>
    <w:rsid w:val="00B90C29"/>
    <w:rsid w:val="00B919FE"/>
    <w:rsid w:val="00B92823"/>
    <w:rsid w:val="00B93B1C"/>
    <w:rsid w:val="00B9412E"/>
    <w:rsid w:val="00B95ED0"/>
    <w:rsid w:val="00BA0AA7"/>
    <w:rsid w:val="00BA35F0"/>
    <w:rsid w:val="00BA67A5"/>
    <w:rsid w:val="00BB3DBB"/>
    <w:rsid w:val="00BB47B6"/>
    <w:rsid w:val="00BC089A"/>
    <w:rsid w:val="00BC31C5"/>
    <w:rsid w:val="00BD0123"/>
    <w:rsid w:val="00BD0A9A"/>
    <w:rsid w:val="00BD4526"/>
    <w:rsid w:val="00BD7130"/>
    <w:rsid w:val="00BE0B1A"/>
    <w:rsid w:val="00BE57B4"/>
    <w:rsid w:val="00BE5E0F"/>
    <w:rsid w:val="00BE79CC"/>
    <w:rsid w:val="00BF0D3F"/>
    <w:rsid w:val="00BF345A"/>
    <w:rsid w:val="00BF50F3"/>
    <w:rsid w:val="00BF6E5D"/>
    <w:rsid w:val="00C00C44"/>
    <w:rsid w:val="00C0558F"/>
    <w:rsid w:val="00C05D32"/>
    <w:rsid w:val="00C06126"/>
    <w:rsid w:val="00C11D76"/>
    <w:rsid w:val="00C12E66"/>
    <w:rsid w:val="00C14E9A"/>
    <w:rsid w:val="00C15060"/>
    <w:rsid w:val="00C22151"/>
    <w:rsid w:val="00C227A9"/>
    <w:rsid w:val="00C257AE"/>
    <w:rsid w:val="00C27B99"/>
    <w:rsid w:val="00C33C1F"/>
    <w:rsid w:val="00C35253"/>
    <w:rsid w:val="00C35877"/>
    <w:rsid w:val="00C412C9"/>
    <w:rsid w:val="00C41C15"/>
    <w:rsid w:val="00C45E3D"/>
    <w:rsid w:val="00C47EA6"/>
    <w:rsid w:val="00C61773"/>
    <w:rsid w:val="00C645F2"/>
    <w:rsid w:val="00C65708"/>
    <w:rsid w:val="00C77B58"/>
    <w:rsid w:val="00C8132C"/>
    <w:rsid w:val="00C81B84"/>
    <w:rsid w:val="00C85DBD"/>
    <w:rsid w:val="00C865B3"/>
    <w:rsid w:val="00C869F2"/>
    <w:rsid w:val="00C90342"/>
    <w:rsid w:val="00CA392A"/>
    <w:rsid w:val="00CA780F"/>
    <w:rsid w:val="00CB097A"/>
    <w:rsid w:val="00CB0A40"/>
    <w:rsid w:val="00CB2048"/>
    <w:rsid w:val="00CB2843"/>
    <w:rsid w:val="00CC1188"/>
    <w:rsid w:val="00CD082F"/>
    <w:rsid w:val="00CD3DA0"/>
    <w:rsid w:val="00CD4B3E"/>
    <w:rsid w:val="00CD5540"/>
    <w:rsid w:val="00CD6773"/>
    <w:rsid w:val="00CD73FB"/>
    <w:rsid w:val="00CE0EB1"/>
    <w:rsid w:val="00CE1ED9"/>
    <w:rsid w:val="00CE25E9"/>
    <w:rsid w:val="00CE35F6"/>
    <w:rsid w:val="00CE3C36"/>
    <w:rsid w:val="00CF3345"/>
    <w:rsid w:val="00CF4FEA"/>
    <w:rsid w:val="00D00EE9"/>
    <w:rsid w:val="00D02CF5"/>
    <w:rsid w:val="00D031C5"/>
    <w:rsid w:val="00D0777F"/>
    <w:rsid w:val="00D1343F"/>
    <w:rsid w:val="00D149E9"/>
    <w:rsid w:val="00D235B9"/>
    <w:rsid w:val="00D2438E"/>
    <w:rsid w:val="00D27BEE"/>
    <w:rsid w:val="00D30B34"/>
    <w:rsid w:val="00D34430"/>
    <w:rsid w:val="00D34D5A"/>
    <w:rsid w:val="00D42D1F"/>
    <w:rsid w:val="00D43ECC"/>
    <w:rsid w:val="00D4542E"/>
    <w:rsid w:val="00D4742B"/>
    <w:rsid w:val="00D61464"/>
    <w:rsid w:val="00D64046"/>
    <w:rsid w:val="00D654B8"/>
    <w:rsid w:val="00D716B7"/>
    <w:rsid w:val="00D77BA4"/>
    <w:rsid w:val="00D77C7E"/>
    <w:rsid w:val="00D8003A"/>
    <w:rsid w:val="00D868BF"/>
    <w:rsid w:val="00D87185"/>
    <w:rsid w:val="00D876B2"/>
    <w:rsid w:val="00D90D1A"/>
    <w:rsid w:val="00D921F0"/>
    <w:rsid w:val="00D9390F"/>
    <w:rsid w:val="00D97226"/>
    <w:rsid w:val="00DA3725"/>
    <w:rsid w:val="00DA50A8"/>
    <w:rsid w:val="00DA7A18"/>
    <w:rsid w:val="00DB0C0B"/>
    <w:rsid w:val="00DB173E"/>
    <w:rsid w:val="00DB1B2C"/>
    <w:rsid w:val="00DB586C"/>
    <w:rsid w:val="00DC37FC"/>
    <w:rsid w:val="00DD7F0A"/>
    <w:rsid w:val="00DE159C"/>
    <w:rsid w:val="00DE3076"/>
    <w:rsid w:val="00DE4EBC"/>
    <w:rsid w:val="00DE5705"/>
    <w:rsid w:val="00DF1335"/>
    <w:rsid w:val="00DF4BC3"/>
    <w:rsid w:val="00DF7E25"/>
    <w:rsid w:val="00E0103B"/>
    <w:rsid w:val="00E02C36"/>
    <w:rsid w:val="00E05145"/>
    <w:rsid w:val="00E056B7"/>
    <w:rsid w:val="00E13330"/>
    <w:rsid w:val="00E14B5A"/>
    <w:rsid w:val="00E175A6"/>
    <w:rsid w:val="00E20721"/>
    <w:rsid w:val="00E20E4F"/>
    <w:rsid w:val="00E24DE1"/>
    <w:rsid w:val="00E269D8"/>
    <w:rsid w:val="00E31BA3"/>
    <w:rsid w:val="00E332B4"/>
    <w:rsid w:val="00E379C2"/>
    <w:rsid w:val="00E4062D"/>
    <w:rsid w:val="00E40BC8"/>
    <w:rsid w:val="00E4299F"/>
    <w:rsid w:val="00E42CDC"/>
    <w:rsid w:val="00E4377D"/>
    <w:rsid w:val="00E46871"/>
    <w:rsid w:val="00E547C4"/>
    <w:rsid w:val="00E56E8A"/>
    <w:rsid w:val="00E61621"/>
    <w:rsid w:val="00E6361C"/>
    <w:rsid w:val="00E63F59"/>
    <w:rsid w:val="00E64FB5"/>
    <w:rsid w:val="00E669B2"/>
    <w:rsid w:val="00E673CA"/>
    <w:rsid w:val="00E700F8"/>
    <w:rsid w:val="00E7311F"/>
    <w:rsid w:val="00E7693D"/>
    <w:rsid w:val="00E848D4"/>
    <w:rsid w:val="00E85B38"/>
    <w:rsid w:val="00E93971"/>
    <w:rsid w:val="00E94145"/>
    <w:rsid w:val="00E96B62"/>
    <w:rsid w:val="00E96C0D"/>
    <w:rsid w:val="00E972EC"/>
    <w:rsid w:val="00E97D56"/>
    <w:rsid w:val="00EA41D9"/>
    <w:rsid w:val="00EB2053"/>
    <w:rsid w:val="00EB25F3"/>
    <w:rsid w:val="00EC3CAA"/>
    <w:rsid w:val="00EC7860"/>
    <w:rsid w:val="00ED0A81"/>
    <w:rsid w:val="00ED322B"/>
    <w:rsid w:val="00EE29EC"/>
    <w:rsid w:val="00EE4F7E"/>
    <w:rsid w:val="00F00F40"/>
    <w:rsid w:val="00F029C0"/>
    <w:rsid w:val="00F03FA5"/>
    <w:rsid w:val="00F062A2"/>
    <w:rsid w:val="00F0782E"/>
    <w:rsid w:val="00F12C42"/>
    <w:rsid w:val="00F14EE6"/>
    <w:rsid w:val="00F16AA7"/>
    <w:rsid w:val="00F17018"/>
    <w:rsid w:val="00F17A52"/>
    <w:rsid w:val="00F23225"/>
    <w:rsid w:val="00F255C4"/>
    <w:rsid w:val="00F2655E"/>
    <w:rsid w:val="00F318F8"/>
    <w:rsid w:val="00F31CB6"/>
    <w:rsid w:val="00F344BA"/>
    <w:rsid w:val="00F34BF5"/>
    <w:rsid w:val="00F3702E"/>
    <w:rsid w:val="00F41051"/>
    <w:rsid w:val="00F42A7F"/>
    <w:rsid w:val="00F44379"/>
    <w:rsid w:val="00F45903"/>
    <w:rsid w:val="00F46248"/>
    <w:rsid w:val="00F466DD"/>
    <w:rsid w:val="00F57433"/>
    <w:rsid w:val="00F63B24"/>
    <w:rsid w:val="00F66F3A"/>
    <w:rsid w:val="00F80221"/>
    <w:rsid w:val="00F80616"/>
    <w:rsid w:val="00F85D0F"/>
    <w:rsid w:val="00F86729"/>
    <w:rsid w:val="00F8757C"/>
    <w:rsid w:val="00F91D12"/>
    <w:rsid w:val="00F96AB5"/>
    <w:rsid w:val="00F97E16"/>
    <w:rsid w:val="00FA508E"/>
    <w:rsid w:val="00FA6AC4"/>
    <w:rsid w:val="00FB264C"/>
    <w:rsid w:val="00FB4E35"/>
    <w:rsid w:val="00FC3193"/>
    <w:rsid w:val="00FC334F"/>
    <w:rsid w:val="00FC57A6"/>
    <w:rsid w:val="00FC6CC0"/>
    <w:rsid w:val="00FC72EF"/>
    <w:rsid w:val="00FD0917"/>
    <w:rsid w:val="00FD0CB6"/>
    <w:rsid w:val="00FD1BB2"/>
    <w:rsid w:val="00FD43B1"/>
    <w:rsid w:val="00FD4679"/>
    <w:rsid w:val="00FD4BC4"/>
    <w:rsid w:val="00FD5406"/>
    <w:rsid w:val="00FD69B3"/>
    <w:rsid w:val="00FE117D"/>
    <w:rsid w:val="00FE1B71"/>
    <w:rsid w:val="00FE5D26"/>
    <w:rsid w:val="00FF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4D77A4A"/>
  <w15:docId w15:val="{175B46E0-C7D4-4F89-8134-27FEA23B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5C55"/>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845C55"/>
    <w:pPr>
      <w:spacing w:after="160" w:line="240" w:lineRule="exact"/>
    </w:pPr>
    <w:rPr>
      <w:rFonts w:ascii="Verdana" w:hAnsi="Verdana"/>
      <w:sz w:val="16"/>
      <w:szCs w:val="20"/>
      <w:lang w:val="en-US" w:eastAsia="en-US"/>
    </w:rPr>
  </w:style>
  <w:style w:type="paragraph" w:styleId="Porat">
    <w:name w:val="footer"/>
    <w:basedOn w:val="prastasis"/>
    <w:rsid w:val="00845C55"/>
    <w:pPr>
      <w:tabs>
        <w:tab w:val="center" w:pos="4153"/>
        <w:tab w:val="right" w:pos="8306"/>
      </w:tabs>
    </w:pPr>
    <w:rPr>
      <w:szCs w:val="20"/>
    </w:rPr>
  </w:style>
  <w:style w:type="paragraph" w:styleId="Pagrindinistekstas">
    <w:name w:val="Body Text"/>
    <w:basedOn w:val="prastasis"/>
    <w:rsid w:val="00845C55"/>
    <w:pPr>
      <w:spacing w:after="120"/>
    </w:pPr>
  </w:style>
  <w:style w:type="character" w:styleId="Emfaz">
    <w:name w:val="Emphasis"/>
    <w:basedOn w:val="Numatytasispastraiposriftas"/>
    <w:qFormat/>
    <w:rsid w:val="00845C55"/>
    <w:rPr>
      <w:b/>
      <w:bCs/>
      <w:i w:val="0"/>
      <w:iCs w:val="0"/>
    </w:rPr>
  </w:style>
  <w:style w:type="character" w:customStyle="1" w:styleId="Heading2Char">
    <w:name w:val="Heading 2 Char"/>
    <w:aliases w:val="Title Header2 Char"/>
    <w:rsid w:val="00180A40"/>
    <w:rPr>
      <w:sz w:val="24"/>
      <w:lang w:eastAsia="lt-LT"/>
    </w:rPr>
  </w:style>
  <w:style w:type="character" w:customStyle="1" w:styleId="Heading1Char">
    <w:name w:val="Heading 1 Char"/>
    <w:rsid w:val="00ED322B"/>
    <w:rPr>
      <w:sz w:val="28"/>
      <w:lang w:eastAsia="lt-LT"/>
    </w:rPr>
  </w:style>
  <w:style w:type="character" w:styleId="Hipersaitas">
    <w:name w:val="Hyperlink"/>
    <w:unhideWhenUsed/>
    <w:rsid w:val="00CE35F6"/>
    <w:rPr>
      <w:color w:val="0000FF"/>
      <w:u w:val="single"/>
    </w:rPr>
  </w:style>
  <w:style w:type="character" w:styleId="Puslapionumeris">
    <w:name w:val="page number"/>
    <w:basedOn w:val="Numatytasispastraiposriftas"/>
    <w:rsid w:val="0050419E"/>
  </w:style>
  <w:style w:type="paragraph" w:styleId="Debesliotekstas">
    <w:name w:val="Balloon Text"/>
    <w:basedOn w:val="prastasis"/>
    <w:link w:val="DebesliotekstasDiagrama"/>
    <w:uiPriority w:val="99"/>
    <w:semiHidden/>
    <w:unhideWhenUsed/>
    <w:rsid w:val="005527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270D"/>
    <w:rPr>
      <w:rFonts w:ascii="Tahoma" w:hAnsi="Tahoma" w:cs="Tahoma"/>
      <w:sz w:val="16"/>
      <w:szCs w:val="16"/>
      <w:lang w:val="lt-LT" w:eastAsia="lt-LT"/>
    </w:rPr>
  </w:style>
  <w:style w:type="table" w:styleId="Lentelstinklelis">
    <w:name w:val="Table Grid"/>
    <w:basedOn w:val="prastojilentel"/>
    <w:uiPriority w:val="59"/>
    <w:rsid w:val="00765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00EEB"/>
    <w:pPr>
      <w:ind w:left="720"/>
      <w:contextualSpacing/>
    </w:pPr>
  </w:style>
  <w:style w:type="paragraph" w:styleId="Puslapioinaostekstas">
    <w:name w:val="footnote text"/>
    <w:basedOn w:val="prastasis"/>
    <w:link w:val="PuslapioinaostekstasDiagrama"/>
    <w:uiPriority w:val="99"/>
    <w:semiHidden/>
    <w:unhideWhenUsed/>
    <w:rsid w:val="00102296"/>
    <w:rPr>
      <w:sz w:val="20"/>
      <w:szCs w:val="20"/>
    </w:rPr>
  </w:style>
  <w:style w:type="character" w:customStyle="1" w:styleId="PuslapioinaostekstasDiagrama">
    <w:name w:val="Puslapio išnašos tekstas Diagrama"/>
    <w:basedOn w:val="Numatytasispastraiposriftas"/>
    <w:link w:val="Puslapioinaostekstas"/>
    <w:uiPriority w:val="99"/>
    <w:semiHidden/>
    <w:rsid w:val="00102296"/>
    <w:rPr>
      <w:lang w:val="lt-LT" w:eastAsia="lt-LT"/>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unhideWhenUsed/>
    <w:rsid w:val="001022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03856">
      <w:bodyDiv w:val="1"/>
      <w:marLeft w:val="0"/>
      <w:marRight w:val="0"/>
      <w:marTop w:val="0"/>
      <w:marBottom w:val="0"/>
      <w:divBdr>
        <w:top w:val="none" w:sz="0" w:space="0" w:color="auto"/>
        <w:left w:val="none" w:sz="0" w:space="0" w:color="auto"/>
        <w:bottom w:val="none" w:sz="0" w:space="0" w:color="auto"/>
        <w:right w:val="none" w:sz="0" w:space="0" w:color="auto"/>
      </w:divBdr>
      <w:divsChild>
        <w:div w:id="67314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theme" Target="theme/theme1.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2.xml"/><Relationship Id="rId1" Type="http://schemas.microsoft.com/office/2011/relationships/chartStyle" Target="style22.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3.xml"/><Relationship Id="rId1" Type="http://schemas.microsoft.com/office/2011/relationships/chartStyle" Target="style23.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latin typeface="Times New Roman" panose="02020603050405020304" pitchFamily="18" charset="0"/>
                <a:cs typeface="Times New Roman" panose="02020603050405020304" pitchFamily="18" charset="0"/>
              </a:rPr>
              <a:t>1 diagrama. </a:t>
            </a:r>
            <a:r>
              <a:rPr lang="lt-LT" sz="1200" b="0" i="0" u="none" strike="noStrike" baseline="0">
                <a:effectLst/>
                <a:latin typeface="Times New Roman" panose="02020603050405020304" pitchFamily="18" charset="0"/>
                <a:cs typeface="Times New Roman" panose="02020603050405020304" pitchFamily="18" charset="0"/>
              </a:rPr>
              <a:t>Panevėžio miesto plėtros  Strateginio plano priemonių vykdymas už 2020 metus </a:t>
            </a:r>
            <a:r>
              <a:rPr lang="lt-LT" sz="1200">
                <a:latin typeface="Times New Roman" panose="02020603050405020304" pitchFamily="18" charset="0"/>
                <a:cs typeface="Times New Roman" panose="02020603050405020304" pitchFamily="18" charset="0"/>
              </a:rPr>
              <a:t> </a:t>
            </a:r>
            <a:endParaRPr lang="en-US" sz="12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9D8E-4581-B689-7ED07ADF1EB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9D8E-4581-B689-7ED07ADF1EB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9D8E-4581-B689-7ED07ADF1EBD}"/>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9D8E-4581-B689-7ED07ADF1EBD}"/>
              </c:ext>
            </c:extLst>
          </c:dPt>
          <c:dLbls>
            <c:dLbl>
              <c:idx val="0"/>
              <c:layout/>
              <c:tx>
                <c:rich>
                  <a:bodyPr/>
                  <a:lstStyle/>
                  <a:p>
                    <a:r>
                      <a:rPr lang="en-US"/>
                      <a:t>122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D8E-4581-B689-7ED07ADF1EBD}"/>
                </c:ext>
                <c:ext xmlns:c15="http://schemas.microsoft.com/office/drawing/2012/chart" uri="{CE6537A1-D6FC-4f65-9D91-7224C49458BB}">
                  <c15:layout/>
                </c:ext>
              </c:extLst>
            </c:dLbl>
            <c:dLbl>
              <c:idx val="1"/>
              <c:layout/>
              <c:tx>
                <c:rich>
                  <a:bodyPr/>
                  <a:lstStyle/>
                  <a:p>
                    <a:r>
                      <a:rPr lang="en-US"/>
                      <a:t>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D8E-4581-B689-7ED07ADF1EB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Lapas1!$A$2:$A$5</c:f>
              <c:strCache>
                <c:ptCount val="2"/>
                <c:pt idx="0">
                  <c:v>Vykdoma (arba iš dalies vykdoma) priemonių</c:v>
                </c:pt>
                <c:pt idx="1">
                  <c:v>Nevykdoma priemonių</c:v>
                </c:pt>
              </c:strCache>
            </c:strRef>
          </c:cat>
          <c:val>
            <c:numRef>
              <c:f>Lapas1!$B$2:$B$5</c:f>
              <c:numCache>
                <c:formatCode>General</c:formatCode>
                <c:ptCount val="4"/>
                <c:pt idx="0">
                  <c:v>91</c:v>
                </c:pt>
                <c:pt idx="1">
                  <c:v>9</c:v>
                </c:pt>
              </c:numCache>
            </c:numRef>
          </c:val>
          <c:extLst xmlns:c16r2="http://schemas.microsoft.com/office/drawing/2015/06/chart">
            <c:ext xmlns:c16="http://schemas.microsoft.com/office/drawing/2014/chart" uri="{C3380CC4-5D6E-409C-BE32-E72D297353CC}">
              <c16:uniqueId val="{00000008-9D8E-4581-B689-7ED07ADF1EBD}"/>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Nedarbo lygis, proc.</c:v>
                </c:pt>
              </c:strCache>
            </c:strRef>
          </c:tx>
          <c:spPr>
            <a:ln w="28575" cap="rnd">
              <a:solidFill>
                <a:schemeClr val="accent1"/>
              </a:solidFill>
              <a:round/>
            </a:ln>
            <a:effectLst/>
          </c:spPr>
          <c:marker>
            <c:symbol val="none"/>
          </c:marker>
          <c:dLbls>
            <c:dLbl>
              <c:idx val="0"/>
              <c:layout>
                <c:manualLayout>
                  <c:x val="9.2592592592592587E-3"/>
                  <c:y val="-5.376344086021505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14C-4F28-BF7F-BC2CD2DAD97F}"/>
                </c:ext>
                <c:ext xmlns:c15="http://schemas.microsoft.com/office/drawing/2012/chart" uri="{CE6537A1-D6FC-4f65-9D91-7224C49458BB}">
                  <c15:layout/>
                </c:ext>
              </c:extLst>
            </c:dLbl>
            <c:dLbl>
              <c:idx val="1"/>
              <c:layout>
                <c:manualLayout>
                  <c:x val="0"/>
                  <c:y val="3.8402457757296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14C-4F28-BF7F-BC2CD2DAD97F}"/>
                </c:ext>
                <c:ext xmlns:c15="http://schemas.microsoft.com/office/drawing/2012/chart" uri="{CE6537A1-D6FC-4f65-9D91-7224C49458BB}">
                  <c15:layout/>
                </c:ext>
              </c:extLst>
            </c:dLbl>
            <c:dLbl>
              <c:idx val="2"/>
              <c:layout>
                <c:manualLayout>
                  <c:x val="-1.6203703703703703E-2"/>
                  <c:y val="-4.60829493087557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14C-4F28-BF7F-BC2CD2DAD97F}"/>
                </c:ext>
                <c:ext xmlns:c15="http://schemas.microsoft.com/office/drawing/2012/chart" uri="{CE6537A1-D6FC-4f65-9D91-7224C49458BB}">
                  <c15:layout/>
                </c:ext>
              </c:extLst>
            </c:dLbl>
            <c:dLbl>
              <c:idx val="3"/>
              <c:layout>
                <c:manualLayout>
                  <c:x val="-2.3148148148148147E-2"/>
                  <c:y val="3.8402457757296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14C-4F28-BF7F-BC2CD2DAD97F}"/>
                </c:ext>
                <c:ext xmlns:c15="http://schemas.microsoft.com/office/drawing/2012/chart" uri="{CE6537A1-D6FC-4f65-9D91-7224C49458BB}">
                  <c15:layout/>
                </c:ext>
              </c:extLst>
            </c:dLbl>
            <c:dLbl>
              <c:idx val="4"/>
              <c:layout>
                <c:manualLayout>
                  <c:x val="-2.7777777777777776E-2"/>
                  <c:y val="0.1152076756534465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14C-4F28-BF7F-BC2CD2DAD97F}"/>
                </c:ext>
                <c:ext xmlns:c15="http://schemas.microsoft.com/office/drawing/2012/chart" uri="{CE6537A1-D6FC-4f65-9D91-7224C49458BB}">
                  <c15:layout>
                    <c:manualLayout>
                      <c:w val="4.019666812481773E-2"/>
                      <c:h val="0.16885590914038967"/>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Lapas1!$A$2:$A$8</c:f>
              <c:numCache>
                <c:formatCode>General</c:formatCode>
                <c:ptCount val="7"/>
                <c:pt idx="0">
                  <c:v>2014</c:v>
                </c:pt>
                <c:pt idx="1">
                  <c:v>2015</c:v>
                </c:pt>
                <c:pt idx="2">
                  <c:v>2016</c:v>
                </c:pt>
                <c:pt idx="3">
                  <c:v>2017</c:v>
                </c:pt>
                <c:pt idx="4">
                  <c:v>2018</c:v>
                </c:pt>
                <c:pt idx="5">
                  <c:v>2019</c:v>
                </c:pt>
                <c:pt idx="6">
                  <c:v>2020</c:v>
                </c:pt>
              </c:numCache>
            </c:numRef>
          </c:cat>
          <c:val>
            <c:numRef>
              <c:f>Lapas1!$B$2:$B$8</c:f>
              <c:numCache>
                <c:formatCode>General</c:formatCode>
                <c:ptCount val="7"/>
                <c:pt idx="0">
                  <c:v>10.1</c:v>
                </c:pt>
                <c:pt idx="1">
                  <c:v>8.6</c:v>
                </c:pt>
                <c:pt idx="2">
                  <c:v>7.4</c:v>
                </c:pt>
                <c:pt idx="3" formatCode="0.0">
                  <c:v>7</c:v>
                </c:pt>
                <c:pt idx="4" formatCode="0.0">
                  <c:v>7.2</c:v>
                </c:pt>
                <c:pt idx="5" formatCode="0.0">
                  <c:v>7.3</c:v>
                </c:pt>
                <c:pt idx="6" formatCode="0.0">
                  <c:v>12.7</c:v>
                </c:pt>
              </c:numCache>
            </c:numRef>
          </c:val>
          <c:smooth val="0"/>
          <c:extLst xmlns:c16r2="http://schemas.microsoft.com/office/drawing/2015/06/chart">
            <c:ext xmlns:c16="http://schemas.microsoft.com/office/drawing/2014/chart" uri="{C3380CC4-5D6E-409C-BE32-E72D297353CC}">
              <c16:uniqueId val="{00000005-014C-4F28-BF7F-BC2CD2DAD97F}"/>
            </c:ext>
          </c:extLst>
        </c:ser>
        <c:dLbls>
          <c:showLegendKey val="0"/>
          <c:showVal val="0"/>
          <c:showCatName val="0"/>
          <c:showSerName val="0"/>
          <c:showPercent val="0"/>
          <c:showBubbleSize val="0"/>
        </c:dLbls>
        <c:smooth val="0"/>
        <c:axId val="1768737120"/>
        <c:axId val="1768743104"/>
      </c:lineChart>
      <c:catAx>
        <c:axId val="1768737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8743104"/>
        <c:crosses val="autoZero"/>
        <c:auto val="1"/>
        <c:lblAlgn val="ctr"/>
        <c:lblOffset val="100"/>
        <c:noMultiLvlLbl val="0"/>
      </c:catAx>
      <c:valAx>
        <c:axId val="1768743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87371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Veikiantys ūkio subjektai</c:v>
                </c:pt>
              </c:strCache>
            </c:strRef>
          </c:tx>
          <c:spPr>
            <a:ln w="28575" cap="rnd">
              <a:solidFill>
                <a:schemeClr val="accent1"/>
              </a:solidFill>
              <a:round/>
            </a:ln>
            <a:effectLst/>
          </c:spPr>
          <c:marker>
            <c:symbol val="none"/>
          </c:marker>
          <c:dLbls>
            <c:dLbl>
              <c:idx val="1"/>
              <c:layout>
                <c:manualLayout>
                  <c:x val="-4.6296296296296719E-3"/>
                  <c:y val="2.475247524752475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4A4-4207-8F82-43C8DB44E974}"/>
                </c:ext>
                <c:ext xmlns:c15="http://schemas.microsoft.com/office/drawing/2012/chart" uri="{CE6537A1-D6FC-4f65-9D91-7224C49458BB}">
                  <c15:layout/>
                </c:ext>
              </c:extLst>
            </c:dLbl>
            <c:dLbl>
              <c:idx val="2"/>
              <c:layout>
                <c:manualLayout>
                  <c:x val="-6.9444444444444441E-3"/>
                  <c:y val="-5.363068787193679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4A4-4207-8F82-43C8DB44E974}"/>
                </c:ext>
                <c:ext xmlns:c15="http://schemas.microsoft.com/office/drawing/2012/chart" uri="{CE6537A1-D6FC-4f65-9D91-7224C49458BB}">
                  <c15:layout>
                    <c:manualLayout>
                      <c:w val="5.6111111111111112E-2"/>
                      <c:h val="0.14014058886203579"/>
                    </c:manualLayout>
                  </c15:layout>
                </c:ext>
              </c:extLst>
            </c:dLbl>
            <c:dLbl>
              <c:idx val="3"/>
              <c:layout>
                <c:manualLayout>
                  <c:x val="-1.6203703703703703E-2"/>
                  <c:y val="-2.475247524752475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4A4-4207-8F82-43C8DB44E974}"/>
                </c:ext>
                <c:ext xmlns:c15="http://schemas.microsoft.com/office/drawing/2012/chart" uri="{CE6537A1-D6FC-4f65-9D91-7224C49458BB}">
                  <c15:layout/>
                </c:ext>
              </c:extLst>
            </c:dLbl>
            <c:dLbl>
              <c:idx val="4"/>
              <c:layout>
                <c:manualLayout>
                  <c:x val="-6.9444444444444441E-3"/>
                  <c:y val="-3.30033003300330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4A4-4207-8F82-43C8DB44E974}"/>
                </c:ext>
                <c:ext xmlns:c15="http://schemas.microsoft.com/office/drawing/2012/chart" uri="{CE6537A1-D6FC-4f65-9D91-7224C49458BB}">
                  <c15:layout/>
                </c:ext>
              </c:extLst>
            </c:dLbl>
            <c:dLbl>
              <c:idx val="5"/>
              <c:layout>
                <c:manualLayout>
                  <c:x val="-2.3148148148148147E-3"/>
                  <c:y val="-3.30033003300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4A4-4207-8F82-43C8DB44E97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Lapas1!$A$2:$A$8</c:f>
              <c:numCache>
                <c:formatCode>General</c:formatCode>
                <c:ptCount val="7"/>
                <c:pt idx="0">
                  <c:v>2014</c:v>
                </c:pt>
                <c:pt idx="1">
                  <c:v>2015</c:v>
                </c:pt>
                <c:pt idx="2">
                  <c:v>2016</c:v>
                </c:pt>
                <c:pt idx="3">
                  <c:v>2017</c:v>
                </c:pt>
                <c:pt idx="4">
                  <c:v>2018</c:v>
                </c:pt>
                <c:pt idx="5">
                  <c:v>2019</c:v>
                </c:pt>
                <c:pt idx="6">
                  <c:v>2020</c:v>
                </c:pt>
              </c:numCache>
            </c:numRef>
          </c:cat>
          <c:val>
            <c:numRef>
              <c:f>Lapas1!$B$2:$B$8</c:f>
              <c:numCache>
                <c:formatCode>General</c:formatCode>
                <c:ptCount val="7"/>
                <c:pt idx="0">
                  <c:v>3323</c:v>
                </c:pt>
                <c:pt idx="1">
                  <c:v>3495</c:v>
                </c:pt>
                <c:pt idx="2">
                  <c:v>3701</c:v>
                </c:pt>
                <c:pt idx="3">
                  <c:v>3655</c:v>
                </c:pt>
                <c:pt idx="4">
                  <c:v>3548</c:v>
                </c:pt>
                <c:pt idx="5">
                  <c:v>3506</c:v>
                </c:pt>
                <c:pt idx="6">
                  <c:v>3538</c:v>
                </c:pt>
              </c:numCache>
            </c:numRef>
          </c:val>
          <c:smooth val="0"/>
          <c:extLst xmlns:c16r2="http://schemas.microsoft.com/office/drawing/2015/06/chart">
            <c:ext xmlns:c16="http://schemas.microsoft.com/office/drawing/2014/chart" uri="{C3380CC4-5D6E-409C-BE32-E72D297353CC}">
              <c16:uniqueId val="{00000004-C4A4-4207-8F82-43C8DB44E974}"/>
            </c:ext>
          </c:extLst>
        </c:ser>
        <c:dLbls>
          <c:showLegendKey val="0"/>
          <c:showVal val="0"/>
          <c:showCatName val="0"/>
          <c:showSerName val="0"/>
          <c:showPercent val="0"/>
          <c:showBubbleSize val="0"/>
        </c:dLbls>
        <c:smooth val="0"/>
        <c:axId val="1768744192"/>
        <c:axId val="1768740384"/>
      </c:lineChart>
      <c:catAx>
        <c:axId val="176874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8740384"/>
        <c:crosses val="autoZero"/>
        <c:auto val="1"/>
        <c:lblAlgn val="ctr"/>
        <c:lblOffset val="100"/>
        <c:noMultiLvlLbl val="0"/>
      </c:catAx>
      <c:valAx>
        <c:axId val="1768740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87441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100" b="0" i="0" baseline="0">
                <a:effectLst/>
                <a:latin typeface="Times New Roman" panose="02020603050405020304" pitchFamily="18" charset="0"/>
                <a:cs typeface="Times New Roman" panose="02020603050405020304" pitchFamily="18" charset="0"/>
              </a:rPr>
              <a:t>12 diagrama. Strateginio plano II prioriteto priemonių vykdymas 2020 m.</a:t>
            </a:r>
            <a:endParaRPr lang="lt-LT" sz="11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200">
              <a:latin typeface="Times New Roman" panose="02020603050405020304" pitchFamily="18" charset="0"/>
              <a:cs typeface="Times New Roman" panose="02020603050405020304" pitchFamily="18" charset="0"/>
            </a:endParaRPr>
          </a:p>
        </c:rich>
      </c:tx>
      <c:layout>
        <c:manualLayout>
          <c:xMode val="edge"/>
          <c:yMode val="edge"/>
          <c:x val="0.1389859189412023"/>
          <c:y val="1.5723270440251572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E62-4E36-AA8B-A8229619720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E62-4E36-AA8B-A8229619720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E62-4E36-AA8B-A8229619720D}"/>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E62-4E36-AA8B-A8229619720D}"/>
              </c:ext>
            </c:extLst>
          </c:dPt>
          <c:dLbls>
            <c:dLbl>
              <c:idx val="0"/>
              <c:layout/>
              <c:tx>
                <c:rich>
                  <a:bodyPr/>
                  <a:lstStyle/>
                  <a:p>
                    <a:r>
                      <a:rPr lang="en-US"/>
                      <a:t>66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E62-4E36-AA8B-A8229619720D}"/>
                </c:ext>
                <c:ext xmlns:c15="http://schemas.microsoft.com/office/drawing/2012/chart" uri="{CE6537A1-D6FC-4f65-9D91-7224C49458BB}">
                  <c15:layout/>
                </c:ext>
              </c:extLst>
            </c:dLbl>
            <c:dLbl>
              <c:idx val="1"/>
              <c:layout/>
              <c:tx>
                <c:rich>
                  <a:bodyPr/>
                  <a:lstStyle/>
                  <a:p>
                    <a:r>
                      <a:rPr lang="en-US"/>
                      <a:t>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E62-4E36-AA8B-A8229619720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Lapas1!$A$2:$A$5</c:f>
              <c:strCache>
                <c:ptCount val="2"/>
                <c:pt idx="0">
                  <c:v>Vykdoma (arba iš dalies vykdoma) priemonių</c:v>
                </c:pt>
                <c:pt idx="1">
                  <c:v>Nevykdoma priemonių</c:v>
                </c:pt>
              </c:strCache>
            </c:strRef>
          </c:cat>
          <c:val>
            <c:numRef>
              <c:f>Lapas1!$B$2:$B$5</c:f>
              <c:numCache>
                <c:formatCode>General</c:formatCode>
                <c:ptCount val="4"/>
                <c:pt idx="0">
                  <c:v>65</c:v>
                </c:pt>
                <c:pt idx="1">
                  <c:v>4</c:v>
                </c:pt>
              </c:numCache>
            </c:numRef>
          </c:val>
          <c:extLst xmlns:c16r2="http://schemas.microsoft.com/office/drawing/2015/06/chart">
            <c:ext xmlns:c16="http://schemas.microsoft.com/office/drawing/2014/chart" uri="{C3380CC4-5D6E-409C-BE32-E72D297353CC}">
              <c16:uniqueId val="{00000008-AE62-4E36-AA8B-A8229619720D}"/>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706328375619739E-2"/>
          <c:y val="8.5158150851581502E-2"/>
          <c:w val="0.87683070866141732"/>
          <c:h val="0.65283828572523328"/>
        </c:manualLayout>
      </c:layout>
      <c:lineChart>
        <c:grouping val="standard"/>
        <c:varyColors val="0"/>
        <c:ser>
          <c:idx val="0"/>
          <c:order val="0"/>
          <c:tx>
            <c:strRef>
              <c:f>Lapas1!$B$1</c:f>
              <c:strCache>
                <c:ptCount val="1"/>
                <c:pt idx="0">
                  <c:v>Gyventojų registro tarnybos duomenys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Lapas1!$A$2:$A$9</c:f>
              <c:numCache>
                <c:formatCode>General</c:formatCode>
                <c:ptCount val="8"/>
                <c:pt idx="0">
                  <c:v>2014</c:v>
                </c:pt>
                <c:pt idx="1">
                  <c:v>2015</c:v>
                </c:pt>
                <c:pt idx="2">
                  <c:v>2016</c:v>
                </c:pt>
                <c:pt idx="3">
                  <c:v>2017</c:v>
                </c:pt>
                <c:pt idx="4">
                  <c:v>2018</c:v>
                </c:pt>
                <c:pt idx="5">
                  <c:v>2019</c:v>
                </c:pt>
                <c:pt idx="6">
                  <c:v>2000</c:v>
                </c:pt>
              </c:numCache>
            </c:numRef>
          </c:cat>
          <c:val>
            <c:numRef>
              <c:f>Lapas1!$B$2:$B$9</c:f>
              <c:numCache>
                <c:formatCode>General</c:formatCode>
                <c:ptCount val="8"/>
                <c:pt idx="0">
                  <c:v>105118</c:v>
                </c:pt>
                <c:pt idx="1">
                  <c:v>103536</c:v>
                </c:pt>
                <c:pt idx="2">
                  <c:v>101156</c:v>
                </c:pt>
                <c:pt idx="3">
                  <c:v>98258</c:v>
                </c:pt>
                <c:pt idx="4">
                  <c:v>95569</c:v>
                </c:pt>
                <c:pt idx="5">
                  <c:v>92953</c:v>
                </c:pt>
                <c:pt idx="6">
                  <c:v>92939</c:v>
                </c:pt>
              </c:numCache>
            </c:numRef>
          </c:val>
          <c:smooth val="0"/>
          <c:extLst xmlns:c16r2="http://schemas.microsoft.com/office/drawing/2015/06/chart">
            <c:ext xmlns:c16="http://schemas.microsoft.com/office/drawing/2014/chart" uri="{C3380CC4-5D6E-409C-BE32-E72D297353CC}">
              <c16:uniqueId val="{00000000-DF63-41F8-97F4-0DD32FE50729}"/>
            </c:ext>
          </c:extLst>
        </c:ser>
        <c:ser>
          <c:idx val="1"/>
          <c:order val="1"/>
          <c:tx>
            <c:strRef>
              <c:f>Lapas1!$C$1</c:f>
              <c:strCache>
                <c:ptCount val="1"/>
                <c:pt idx="0">
                  <c:v>Statistikos departamento duomenys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Lapas1!$A$2:$A$9</c:f>
              <c:numCache>
                <c:formatCode>General</c:formatCode>
                <c:ptCount val="8"/>
                <c:pt idx="0">
                  <c:v>2014</c:v>
                </c:pt>
                <c:pt idx="1">
                  <c:v>2015</c:v>
                </c:pt>
                <c:pt idx="2">
                  <c:v>2016</c:v>
                </c:pt>
                <c:pt idx="3">
                  <c:v>2017</c:v>
                </c:pt>
                <c:pt idx="4">
                  <c:v>2018</c:v>
                </c:pt>
                <c:pt idx="5">
                  <c:v>2019</c:v>
                </c:pt>
                <c:pt idx="6">
                  <c:v>2000</c:v>
                </c:pt>
              </c:numCache>
            </c:numRef>
          </c:cat>
          <c:val>
            <c:numRef>
              <c:f>Lapas1!$C$2:$C$9</c:f>
              <c:numCache>
                <c:formatCode>General</c:formatCode>
                <c:ptCount val="8"/>
                <c:pt idx="0">
                  <c:v>95765</c:v>
                </c:pt>
                <c:pt idx="1">
                  <c:v>94400</c:v>
                </c:pt>
                <c:pt idx="2">
                  <c:v>92326</c:v>
                </c:pt>
                <c:pt idx="3">
                  <c:v>89866</c:v>
                </c:pt>
                <c:pt idx="4">
                  <c:v>87909</c:v>
                </c:pt>
                <c:pt idx="5">
                  <c:v>86512</c:v>
                </c:pt>
                <c:pt idx="6">
                  <c:v>85885</c:v>
                </c:pt>
              </c:numCache>
            </c:numRef>
          </c:val>
          <c:smooth val="0"/>
          <c:extLst xmlns:c16r2="http://schemas.microsoft.com/office/drawing/2015/06/chart">
            <c:ext xmlns:c16="http://schemas.microsoft.com/office/drawing/2014/chart" uri="{C3380CC4-5D6E-409C-BE32-E72D297353CC}">
              <c16:uniqueId val="{00000001-DF63-41F8-97F4-0DD32FE50729}"/>
            </c:ext>
          </c:extLst>
        </c:ser>
        <c:dLbls>
          <c:showLegendKey val="0"/>
          <c:showVal val="0"/>
          <c:showCatName val="0"/>
          <c:showSerName val="0"/>
          <c:showPercent val="0"/>
          <c:showBubbleSize val="0"/>
        </c:dLbls>
        <c:smooth val="0"/>
        <c:axId val="1768737664"/>
        <c:axId val="1768746368"/>
      </c:lineChart>
      <c:catAx>
        <c:axId val="1768737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8746368"/>
        <c:crosses val="autoZero"/>
        <c:auto val="1"/>
        <c:lblAlgn val="ctr"/>
        <c:lblOffset val="100"/>
        <c:noMultiLvlLbl val="0"/>
      </c:catAx>
      <c:valAx>
        <c:axId val="1768746368"/>
        <c:scaling>
          <c:orientation val="minMax"/>
          <c:min val="8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87376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Lapas1!$B$1</c:f>
              <c:strCache>
                <c:ptCount val="1"/>
                <c:pt idx="0">
                  <c:v>Natūrali gyventojų kaita</c:v>
                </c:pt>
              </c:strCache>
            </c:strRef>
          </c:tx>
          <c:spPr>
            <a:ln w="28575" cap="rnd">
              <a:solidFill>
                <a:schemeClr val="accent1"/>
              </a:solidFill>
              <a:round/>
            </a:ln>
            <a:effectLst/>
          </c:spPr>
          <c:marker>
            <c:symbol val="none"/>
          </c:marker>
          <c:dLbls>
            <c:dLbl>
              <c:idx val="0"/>
              <c:layout>
                <c:manualLayout>
                  <c:x val="0"/>
                  <c:y val="-3.30033003300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DBB-48D0-9E0B-3DC68F3B37E7}"/>
                </c:ext>
                <c:ext xmlns:c15="http://schemas.microsoft.com/office/drawing/2012/chart" uri="{CE6537A1-D6FC-4f65-9D91-7224C49458BB}">
                  <c15:layout/>
                </c:ext>
              </c:extLst>
            </c:dLbl>
            <c:dLbl>
              <c:idx val="1"/>
              <c:layout>
                <c:manualLayout>
                  <c:x val="-9.2592592592593021E-3"/>
                  <c:y val="-2.475247524752475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5E5-4418-99F3-195D9005A94E}"/>
                </c:ext>
                <c:ext xmlns:c15="http://schemas.microsoft.com/office/drawing/2012/chart" uri="{CE6537A1-D6FC-4f65-9D91-7224C49458BB}">
                  <c15:layout/>
                </c:ext>
              </c:extLst>
            </c:dLbl>
            <c:dLbl>
              <c:idx val="2"/>
              <c:layout>
                <c:manualLayout>
                  <c:x val="-6.9444444444444441E-3"/>
                  <c:y val="-5.363068787193679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5E5-4418-99F3-195D9005A94E}"/>
                </c:ext>
                <c:ext xmlns:c15="http://schemas.microsoft.com/office/drawing/2012/chart" uri="{CE6537A1-D6FC-4f65-9D91-7224C49458BB}">
                  <c15:layout>
                    <c:manualLayout>
                      <c:w val="5.6111111111111112E-2"/>
                      <c:h val="0.14014058886203579"/>
                    </c:manualLayout>
                  </c15:layout>
                </c:ext>
              </c:extLst>
            </c:dLbl>
            <c:dLbl>
              <c:idx val="3"/>
              <c:layout>
                <c:manualLayout>
                  <c:x val="-1.6203703703703703E-2"/>
                  <c:y val="-2.475247524752475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5E5-4418-99F3-195D9005A94E}"/>
                </c:ext>
                <c:ext xmlns:c15="http://schemas.microsoft.com/office/drawing/2012/chart" uri="{CE6537A1-D6FC-4f65-9D91-7224C49458BB}">
                  <c15:layout/>
                </c:ext>
              </c:extLst>
            </c:dLbl>
            <c:dLbl>
              <c:idx val="4"/>
              <c:layout>
                <c:manualLayout>
                  <c:x val="-6.9444444444444441E-3"/>
                  <c:y val="-3.30033003300330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5E5-4418-99F3-195D9005A94E}"/>
                </c:ext>
                <c:ext xmlns:c15="http://schemas.microsoft.com/office/drawing/2012/chart" uri="{CE6537A1-D6FC-4f65-9D91-7224C49458BB}">
                  <c15:layout/>
                </c:ext>
              </c:extLst>
            </c:dLbl>
            <c:dLbl>
              <c:idx val="5"/>
              <c:layout>
                <c:manualLayout>
                  <c:x val="-2.3148148148148147E-3"/>
                  <c:y val="-3.30033003300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5E5-4418-99F3-195D9005A94E}"/>
                </c:ext>
                <c:ext xmlns:c15="http://schemas.microsoft.com/office/drawing/2012/chart" uri="{CE6537A1-D6FC-4f65-9D91-7224C49458BB}">
                  <c15:layout/>
                </c:ext>
              </c:extLst>
            </c:dLbl>
            <c:dLbl>
              <c:idx val="6"/>
              <c:layout>
                <c:manualLayout>
                  <c:x val="-3.4722222222222224E-2"/>
                  <c:y val="-7.5631689552594012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DBB-48D0-9E0B-3DC68F3B37E7}"/>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Lapas1!$A$2:$A$8</c:f>
              <c:numCache>
                <c:formatCode>General</c:formatCode>
                <c:ptCount val="7"/>
                <c:pt idx="0">
                  <c:v>2014</c:v>
                </c:pt>
                <c:pt idx="1">
                  <c:v>2015</c:v>
                </c:pt>
                <c:pt idx="2">
                  <c:v>2016</c:v>
                </c:pt>
                <c:pt idx="3">
                  <c:v>2017</c:v>
                </c:pt>
                <c:pt idx="4">
                  <c:v>2018</c:v>
                </c:pt>
                <c:pt idx="5">
                  <c:v>2019</c:v>
                </c:pt>
                <c:pt idx="6">
                  <c:v>2020</c:v>
                </c:pt>
              </c:numCache>
            </c:numRef>
          </c:cat>
          <c:val>
            <c:numRef>
              <c:f>Lapas1!$B$2:$B$8</c:f>
              <c:numCache>
                <c:formatCode>General</c:formatCode>
                <c:ptCount val="7"/>
                <c:pt idx="0">
                  <c:v>-217</c:v>
                </c:pt>
                <c:pt idx="1">
                  <c:v>-290</c:v>
                </c:pt>
                <c:pt idx="2">
                  <c:v>-434</c:v>
                </c:pt>
                <c:pt idx="3">
                  <c:v>-401</c:v>
                </c:pt>
                <c:pt idx="4">
                  <c:v>-439</c:v>
                </c:pt>
                <c:pt idx="5">
                  <c:v>-410</c:v>
                </c:pt>
                <c:pt idx="6">
                  <c:v>-741</c:v>
                </c:pt>
              </c:numCache>
            </c:numRef>
          </c:val>
          <c:smooth val="0"/>
          <c:extLst xmlns:c16r2="http://schemas.microsoft.com/office/drawing/2015/06/chart">
            <c:ext xmlns:c16="http://schemas.microsoft.com/office/drawing/2014/chart" uri="{C3380CC4-5D6E-409C-BE32-E72D297353CC}">
              <c16:uniqueId val="{00000005-C5E5-4418-99F3-195D9005A94E}"/>
            </c:ext>
          </c:extLst>
        </c:ser>
        <c:dLbls>
          <c:showLegendKey val="0"/>
          <c:showVal val="0"/>
          <c:showCatName val="0"/>
          <c:showSerName val="0"/>
          <c:showPercent val="0"/>
          <c:showBubbleSize val="0"/>
        </c:dLbls>
        <c:smooth val="0"/>
        <c:axId val="1768738208"/>
        <c:axId val="1768746912"/>
      </c:lineChart>
      <c:catAx>
        <c:axId val="1768738208"/>
        <c:scaling>
          <c:orientation val="minMax"/>
        </c:scaling>
        <c:delete val="1"/>
        <c:axPos val="b"/>
        <c:numFmt formatCode="General" sourceLinked="1"/>
        <c:majorTickMark val="none"/>
        <c:minorTickMark val="none"/>
        <c:tickLblPos val="nextTo"/>
        <c:crossAx val="1768746912"/>
        <c:crosses val="autoZero"/>
        <c:auto val="1"/>
        <c:lblAlgn val="ctr"/>
        <c:lblOffset val="100"/>
        <c:noMultiLvlLbl val="0"/>
      </c:catAx>
      <c:valAx>
        <c:axId val="1768746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8738208"/>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Lapas1!$B$1</c:f>
              <c:strCache>
                <c:ptCount val="1"/>
                <c:pt idx="0">
                  <c:v>Migracijos saldo</c:v>
                </c:pt>
              </c:strCache>
            </c:strRef>
          </c:tx>
          <c:spPr>
            <a:ln w="28575" cap="rnd">
              <a:solidFill>
                <a:schemeClr val="accent1"/>
              </a:solidFill>
              <a:round/>
            </a:ln>
            <a:effectLst/>
          </c:spPr>
          <c:marker>
            <c:symbol val="none"/>
          </c:marker>
          <c:dLbls>
            <c:dLbl>
              <c:idx val="0"/>
              <c:layout>
                <c:manualLayout>
                  <c:x val="-6.9444444444444657E-3"/>
                  <c:y val="-5.775577557755779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DDB-4650-899A-022000113454}"/>
                </c:ext>
                <c:ext xmlns:c15="http://schemas.microsoft.com/office/drawing/2012/chart" uri="{CE6537A1-D6FC-4f65-9D91-7224C49458BB}">
                  <c15:layout/>
                </c:ext>
              </c:extLst>
            </c:dLbl>
            <c:dLbl>
              <c:idx val="1"/>
              <c:layout>
                <c:manualLayout>
                  <c:x val="-4.6296296296296719E-3"/>
                  <c:y val="-3.30033003300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167-41D3-98E2-617C95ABF64D}"/>
                </c:ext>
                <c:ext xmlns:c15="http://schemas.microsoft.com/office/drawing/2012/chart" uri="{CE6537A1-D6FC-4f65-9D91-7224C49458BB}">
                  <c15:layout/>
                </c:ext>
              </c:extLst>
            </c:dLbl>
            <c:dLbl>
              <c:idx val="2"/>
              <c:layout>
                <c:manualLayout>
                  <c:x val="9.2592592592592622E-3"/>
                  <c:y val="-5.363068787193679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167-41D3-98E2-617C95ABF64D}"/>
                </c:ext>
                <c:ext xmlns:c15="http://schemas.microsoft.com/office/drawing/2012/chart" uri="{CE6537A1-D6FC-4f65-9D91-7224C49458BB}">
                  <c15:layout>
                    <c:manualLayout>
                      <c:w val="8.8518518518518524E-2"/>
                      <c:h val="0.14014058886203579"/>
                    </c:manualLayout>
                  </c15:layout>
                </c:ext>
              </c:extLst>
            </c:dLbl>
            <c:dLbl>
              <c:idx val="3"/>
              <c:layout>
                <c:manualLayout>
                  <c:x val="-1.3888888888888973E-2"/>
                  <c:y val="-0.13201320132013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167-41D3-98E2-617C95ABF64D}"/>
                </c:ext>
                <c:ext xmlns:c15="http://schemas.microsoft.com/office/drawing/2012/chart" uri="{CE6537A1-D6FC-4f65-9D91-7224C49458BB}">
                  <c15:layout/>
                </c:ext>
              </c:extLst>
            </c:dLbl>
            <c:dLbl>
              <c:idx val="4"/>
              <c:layout>
                <c:manualLayout>
                  <c:x val="-1.6203703703703703E-2"/>
                  <c:y val="-7.425742574257425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167-41D3-98E2-617C95ABF64D}"/>
                </c:ext>
                <c:ext xmlns:c15="http://schemas.microsoft.com/office/drawing/2012/chart" uri="{CE6537A1-D6FC-4f65-9D91-7224C49458BB}">
                  <c15:layout/>
                </c:ext>
              </c:extLst>
            </c:dLbl>
            <c:dLbl>
              <c:idx val="5"/>
              <c:layout>
                <c:manualLayout>
                  <c:x val="-2.5462962962963132E-2"/>
                  <c:y val="-9.07590759075907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167-41D3-98E2-617C95ABF64D}"/>
                </c:ext>
                <c:ext xmlns:c15="http://schemas.microsoft.com/office/drawing/2012/chart" uri="{CE6537A1-D6FC-4f65-9D91-7224C49458BB}">
                  <c15:layout/>
                </c:ext>
              </c:extLst>
            </c:dLbl>
            <c:dLbl>
              <c:idx val="6"/>
              <c:layout>
                <c:manualLayout>
                  <c:x val="-4.8611111111111112E-2"/>
                  <c:y val="-9.90099009900990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DDB-4650-899A-02200011345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Lapas1!$A$2:$A$8</c:f>
              <c:numCache>
                <c:formatCode>General</c:formatCode>
                <c:ptCount val="7"/>
                <c:pt idx="0">
                  <c:v>2014</c:v>
                </c:pt>
                <c:pt idx="1">
                  <c:v>2015</c:v>
                </c:pt>
                <c:pt idx="2">
                  <c:v>2016</c:v>
                </c:pt>
                <c:pt idx="3">
                  <c:v>2017</c:v>
                </c:pt>
                <c:pt idx="4">
                  <c:v>2018</c:v>
                </c:pt>
                <c:pt idx="5">
                  <c:v>2019</c:v>
                </c:pt>
                <c:pt idx="6">
                  <c:v>2020</c:v>
                </c:pt>
              </c:numCache>
            </c:numRef>
          </c:cat>
          <c:val>
            <c:numRef>
              <c:f>Lapas1!$B$2:$B$8</c:f>
              <c:numCache>
                <c:formatCode>General</c:formatCode>
                <c:ptCount val="7"/>
                <c:pt idx="0">
                  <c:v>-909</c:v>
                </c:pt>
                <c:pt idx="1">
                  <c:v>-1314</c:v>
                </c:pt>
                <c:pt idx="2">
                  <c:v>-2110</c:v>
                </c:pt>
                <c:pt idx="3">
                  <c:v>-1975</c:v>
                </c:pt>
                <c:pt idx="4">
                  <c:v>-1100</c:v>
                </c:pt>
                <c:pt idx="5">
                  <c:v>-844</c:v>
                </c:pt>
                <c:pt idx="6">
                  <c:v>-531</c:v>
                </c:pt>
              </c:numCache>
            </c:numRef>
          </c:val>
          <c:smooth val="0"/>
          <c:extLst xmlns:c16r2="http://schemas.microsoft.com/office/drawing/2015/06/chart">
            <c:ext xmlns:c16="http://schemas.microsoft.com/office/drawing/2014/chart" uri="{C3380CC4-5D6E-409C-BE32-E72D297353CC}">
              <c16:uniqueId val="{00000005-6167-41D3-98E2-617C95ABF64D}"/>
            </c:ext>
          </c:extLst>
        </c:ser>
        <c:dLbls>
          <c:showLegendKey val="0"/>
          <c:showVal val="0"/>
          <c:showCatName val="0"/>
          <c:showSerName val="0"/>
          <c:showPercent val="0"/>
          <c:showBubbleSize val="0"/>
        </c:dLbls>
        <c:smooth val="0"/>
        <c:axId val="1768739296"/>
        <c:axId val="1768749088"/>
      </c:lineChart>
      <c:catAx>
        <c:axId val="1768739296"/>
        <c:scaling>
          <c:orientation val="minMax"/>
        </c:scaling>
        <c:delete val="1"/>
        <c:axPos val="b"/>
        <c:numFmt formatCode="General" sourceLinked="1"/>
        <c:majorTickMark val="none"/>
        <c:minorTickMark val="none"/>
        <c:tickLblPos val="nextTo"/>
        <c:crossAx val="1768749088"/>
        <c:crosses val="autoZero"/>
        <c:auto val="1"/>
        <c:lblAlgn val="ctr"/>
        <c:lblOffset val="100"/>
        <c:noMultiLvlLbl val="0"/>
      </c:catAx>
      <c:valAx>
        <c:axId val="1768749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87392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2015</c:v>
                </c:pt>
                <c:pt idx="1">
                  <c:v>2016</c:v>
                </c:pt>
                <c:pt idx="2">
                  <c:v>2017</c:v>
                </c:pt>
                <c:pt idx="3">
                  <c:v>2018</c:v>
                </c:pt>
                <c:pt idx="4">
                  <c:v>2019</c:v>
                </c:pt>
                <c:pt idx="5">
                  <c:v>2020</c:v>
                </c:pt>
              </c:numCache>
            </c:numRef>
          </c:cat>
          <c:val>
            <c:numRef>
              <c:f>Lapas1!$B$2:$B$7</c:f>
              <c:numCache>
                <c:formatCode>General</c:formatCode>
                <c:ptCount val="6"/>
                <c:pt idx="0">
                  <c:v>35591.1</c:v>
                </c:pt>
                <c:pt idx="1">
                  <c:v>38780.9</c:v>
                </c:pt>
                <c:pt idx="2">
                  <c:v>39882.6</c:v>
                </c:pt>
                <c:pt idx="3">
                  <c:v>41153.5</c:v>
                </c:pt>
                <c:pt idx="4">
                  <c:v>45429.4</c:v>
                </c:pt>
                <c:pt idx="5">
                  <c:v>49588.9</c:v>
                </c:pt>
              </c:numCache>
            </c:numRef>
          </c:val>
          <c:extLst xmlns:c16r2="http://schemas.microsoft.com/office/drawing/2015/06/chart">
            <c:ext xmlns:c16="http://schemas.microsoft.com/office/drawing/2014/chart" uri="{C3380CC4-5D6E-409C-BE32-E72D297353CC}">
              <c16:uniqueId val="{00000000-EB4C-4B24-99BB-520740563516}"/>
            </c:ext>
          </c:extLst>
        </c:ser>
        <c:dLbls>
          <c:showLegendKey val="0"/>
          <c:showVal val="0"/>
          <c:showCatName val="0"/>
          <c:showSerName val="0"/>
          <c:showPercent val="0"/>
          <c:showBubbleSize val="0"/>
        </c:dLbls>
        <c:gapWidth val="219"/>
        <c:overlap val="-27"/>
        <c:axId val="1768744736"/>
        <c:axId val="1768745280"/>
      </c:barChart>
      <c:catAx>
        <c:axId val="1768744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1768745280"/>
        <c:crosses val="autoZero"/>
        <c:auto val="1"/>
        <c:lblAlgn val="ctr"/>
        <c:lblOffset val="100"/>
        <c:noMultiLvlLbl val="0"/>
      </c:catAx>
      <c:valAx>
        <c:axId val="1768745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1768744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t-LT"/>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100">
                <a:effectLst/>
                <a:latin typeface="Times New Roman" panose="02020603050405020304" pitchFamily="18" charset="0"/>
                <a:cs typeface="Times New Roman" panose="02020603050405020304" pitchFamily="18" charset="0"/>
              </a:rPr>
              <a:t>17 diagrama. Ikimokyklinio ir priešmokyklinio ugdymo įstaigas lankančių vaikų ir bendrojo ugdymo įstaigas lankančių mokinių skaičius, vnt.</a:t>
            </a: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lineChart>
        <c:grouping val="standard"/>
        <c:varyColors val="0"/>
        <c:ser>
          <c:idx val="0"/>
          <c:order val="0"/>
          <c:tx>
            <c:strRef>
              <c:f>Lapas1!$B$1</c:f>
              <c:strCache>
                <c:ptCount val="1"/>
                <c:pt idx="0">
                  <c:v>Ikimokyklinio ir priešmokyklinio ugdymo įstaigas lankančių vaikų skaičius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2015</c:v>
                </c:pt>
                <c:pt idx="1">
                  <c:v>2016</c:v>
                </c:pt>
                <c:pt idx="2">
                  <c:v>2017</c:v>
                </c:pt>
                <c:pt idx="3">
                  <c:v>2018</c:v>
                </c:pt>
                <c:pt idx="4">
                  <c:v>2019</c:v>
                </c:pt>
                <c:pt idx="5">
                  <c:v>2020</c:v>
                </c:pt>
              </c:numCache>
            </c:numRef>
          </c:cat>
          <c:val>
            <c:numRef>
              <c:f>Lapas1!$B$2:$B$7</c:f>
              <c:numCache>
                <c:formatCode>General</c:formatCode>
                <c:ptCount val="6"/>
                <c:pt idx="0">
                  <c:v>4442</c:v>
                </c:pt>
                <c:pt idx="1">
                  <c:v>4432</c:v>
                </c:pt>
                <c:pt idx="2">
                  <c:v>4397</c:v>
                </c:pt>
                <c:pt idx="3">
                  <c:v>4436</c:v>
                </c:pt>
                <c:pt idx="4">
                  <c:v>4468</c:v>
                </c:pt>
                <c:pt idx="5">
                  <c:v>4500</c:v>
                </c:pt>
              </c:numCache>
            </c:numRef>
          </c:val>
          <c:smooth val="0"/>
          <c:extLst xmlns:c16r2="http://schemas.microsoft.com/office/drawing/2015/06/chart">
            <c:ext xmlns:c16="http://schemas.microsoft.com/office/drawing/2014/chart" uri="{C3380CC4-5D6E-409C-BE32-E72D297353CC}">
              <c16:uniqueId val="{00000000-A748-4294-8C33-1A8A297D0B51}"/>
            </c:ext>
          </c:extLst>
        </c:ser>
        <c:ser>
          <c:idx val="1"/>
          <c:order val="1"/>
          <c:tx>
            <c:strRef>
              <c:f>Lapas1!$C$1</c:f>
              <c:strCache>
                <c:ptCount val="1"/>
                <c:pt idx="0">
                  <c:v>Bendrojo ugdymo įstaigas lankančių mokinių skaičius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2015</c:v>
                </c:pt>
                <c:pt idx="1">
                  <c:v>2016</c:v>
                </c:pt>
                <c:pt idx="2">
                  <c:v>2017</c:v>
                </c:pt>
                <c:pt idx="3">
                  <c:v>2018</c:v>
                </c:pt>
                <c:pt idx="4">
                  <c:v>2019</c:v>
                </c:pt>
                <c:pt idx="5">
                  <c:v>2020</c:v>
                </c:pt>
              </c:numCache>
            </c:numRef>
          </c:cat>
          <c:val>
            <c:numRef>
              <c:f>Lapas1!$C$2:$C$7</c:f>
              <c:numCache>
                <c:formatCode>General</c:formatCode>
                <c:ptCount val="6"/>
                <c:pt idx="0">
                  <c:v>11490</c:v>
                </c:pt>
                <c:pt idx="1">
                  <c:v>11246</c:v>
                </c:pt>
                <c:pt idx="2">
                  <c:v>10841</c:v>
                </c:pt>
                <c:pt idx="3">
                  <c:v>9647</c:v>
                </c:pt>
                <c:pt idx="4">
                  <c:v>9636</c:v>
                </c:pt>
                <c:pt idx="5">
                  <c:v>9564</c:v>
                </c:pt>
              </c:numCache>
            </c:numRef>
          </c:val>
          <c:smooth val="0"/>
          <c:extLst xmlns:c16r2="http://schemas.microsoft.com/office/drawing/2015/06/chart">
            <c:ext xmlns:c16="http://schemas.microsoft.com/office/drawing/2014/chart" uri="{C3380CC4-5D6E-409C-BE32-E72D297353CC}">
              <c16:uniqueId val="{00000001-A748-4294-8C33-1A8A297D0B51}"/>
            </c:ext>
          </c:extLst>
        </c:ser>
        <c:dLbls>
          <c:showLegendKey val="0"/>
          <c:showVal val="0"/>
          <c:showCatName val="0"/>
          <c:showSerName val="0"/>
          <c:showPercent val="0"/>
          <c:showBubbleSize val="0"/>
        </c:dLbls>
        <c:smooth val="0"/>
        <c:axId val="1768741472"/>
        <c:axId val="1768748000"/>
      </c:lineChart>
      <c:catAx>
        <c:axId val="1768741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8748000"/>
        <c:crosses val="autoZero"/>
        <c:auto val="1"/>
        <c:lblAlgn val="ctr"/>
        <c:lblOffset val="100"/>
        <c:noMultiLvlLbl val="0"/>
      </c:catAx>
      <c:valAx>
        <c:axId val="1768748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87414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050" b="0" i="0" u="none" strike="noStrike" baseline="0">
                <a:effectLst/>
                <a:latin typeface="Times New Roman" panose="02020603050405020304" pitchFamily="18" charset="0"/>
                <a:cs typeface="Times New Roman" panose="02020603050405020304" pitchFamily="18" charset="0"/>
              </a:rPr>
              <a:t>18 diagrama. Savivaldybės biudžeto išlaidos kultūrai, tūkst.Eur </a:t>
            </a:r>
            <a:endParaRPr lang="lt-LT" sz="105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Savivaldybės biudžeto išlaidos kultūrai, tūkst.Eur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2015</c:v>
                </c:pt>
                <c:pt idx="1">
                  <c:v>2016</c:v>
                </c:pt>
                <c:pt idx="2">
                  <c:v>2017</c:v>
                </c:pt>
                <c:pt idx="3">
                  <c:v>2018</c:v>
                </c:pt>
                <c:pt idx="4">
                  <c:v>2019</c:v>
                </c:pt>
                <c:pt idx="5">
                  <c:v>2020</c:v>
                </c:pt>
              </c:numCache>
            </c:numRef>
          </c:cat>
          <c:val>
            <c:numRef>
              <c:f>Lapas1!$B$2:$B$7</c:f>
              <c:numCache>
                <c:formatCode>General</c:formatCode>
                <c:ptCount val="6"/>
                <c:pt idx="0">
                  <c:v>3147.7</c:v>
                </c:pt>
                <c:pt idx="1">
                  <c:v>3626.6</c:v>
                </c:pt>
                <c:pt idx="2">
                  <c:v>3911.2</c:v>
                </c:pt>
                <c:pt idx="3">
                  <c:v>4243.8</c:v>
                </c:pt>
                <c:pt idx="4">
                  <c:v>4763.2</c:v>
                </c:pt>
                <c:pt idx="5">
                  <c:v>4939.3999999999996</c:v>
                </c:pt>
              </c:numCache>
            </c:numRef>
          </c:val>
          <c:extLst xmlns:c16r2="http://schemas.microsoft.com/office/drawing/2015/06/chart">
            <c:ext xmlns:c16="http://schemas.microsoft.com/office/drawing/2014/chart" uri="{C3380CC4-5D6E-409C-BE32-E72D297353CC}">
              <c16:uniqueId val="{00000000-E3B8-43D8-BCE6-FDEFA31A3225}"/>
            </c:ext>
          </c:extLst>
        </c:ser>
        <c:dLbls>
          <c:showLegendKey val="0"/>
          <c:showVal val="0"/>
          <c:showCatName val="0"/>
          <c:showSerName val="0"/>
          <c:showPercent val="0"/>
          <c:showBubbleSize val="0"/>
        </c:dLbls>
        <c:gapWidth val="219"/>
        <c:overlap val="-27"/>
        <c:axId val="1768745824"/>
        <c:axId val="1768734944"/>
      </c:barChart>
      <c:catAx>
        <c:axId val="1768745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8734944"/>
        <c:crosses val="autoZero"/>
        <c:auto val="1"/>
        <c:lblAlgn val="ctr"/>
        <c:lblOffset val="100"/>
        <c:noMultiLvlLbl val="0"/>
      </c:catAx>
      <c:valAx>
        <c:axId val="1768734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87458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050" b="0" i="0" u="none" strike="noStrike" baseline="0">
                <a:effectLst/>
                <a:latin typeface="Times New Roman" panose="02020603050405020304" pitchFamily="18" charset="0"/>
                <a:cs typeface="Times New Roman" panose="02020603050405020304" pitchFamily="18" charset="0"/>
              </a:rPr>
              <a:t>19 diagrama. Savivaldybės biudžeto išlaidos kūno kultūrai ir sportui, tūkst. Eur</a:t>
            </a:r>
            <a:endParaRPr lang="lt-LT" sz="105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8.5403178769320506E-2"/>
          <c:y val="2.5714043469285439E-2"/>
          <c:w val="0.91385608048993872"/>
          <c:h val="0.68990719910011244"/>
        </c:manualLayout>
      </c:layout>
      <c:barChart>
        <c:barDir val="col"/>
        <c:grouping val="clustered"/>
        <c:varyColors val="0"/>
        <c:ser>
          <c:idx val="0"/>
          <c:order val="0"/>
          <c:tx>
            <c:strRef>
              <c:f>Lapas1!$B$1</c:f>
              <c:strCache>
                <c:ptCount val="1"/>
                <c:pt idx="0">
                  <c:v>Savivaldybės biudžeto išlaidos kūno kultūrai ir sportui, tūkst.Eur</c:v>
                </c:pt>
              </c:strCache>
            </c:strRef>
          </c:tx>
          <c:spPr>
            <a:solidFill>
              <a:schemeClr val="accent1"/>
            </a:solidFill>
            <a:ln>
              <a:noFill/>
            </a:ln>
            <a:effectLst/>
          </c:spPr>
          <c:invertIfNegative val="0"/>
          <c:dLbls>
            <c:dLbl>
              <c:idx val="3"/>
              <c:layout>
                <c:manualLayout>
                  <c:x val="3.0060942724625176E-2"/>
                  <c:y val="3.74708957751248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B79-4487-9516-521F6515CF23}"/>
                </c:ext>
                <c:ext xmlns:c15="http://schemas.microsoft.com/office/drawing/2012/chart" uri="{CE6537A1-D6FC-4f65-9D91-7224C49458BB}">
                  <c15:layout/>
                </c:ext>
              </c:extLst>
            </c:dLbl>
            <c:dLbl>
              <c:idx val="4"/>
              <c:layout>
                <c:manualLayout>
                  <c:x val="4.1666757801108192E-2"/>
                  <c:y val="2.2934545400926007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B79-4487-9516-521F6515CF23}"/>
                </c:ext>
                <c:ext xmlns:c15="http://schemas.microsoft.com/office/drawing/2012/chart" uri="{CE6537A1-D6FC-4f65-9D91-7224C49458BB}">
                  <c15:layout>
                    <c:manualLayout>
                      <c:w val="9.7777777777777755E-2"/>
                      <c:h val="8.1101256303636196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Lapas1!$B$2:$B$6</c:f>
              <c:numCache>
                <c:formatCode>0.0</c:formatCode>
                <c:ptCount val="5"/>
                <c:pt idx="0">
                  <c:v>2395.4</c:v>
                </c:pt>
                <c:pt idx="1">
                  <c:v>2600</c:v>
                </c:pt>
                <c:pt idx="2">
                  <c:v>2801.6</c:v>
                </c:pt>
                <c:pt idx="3">
                  <c:v>3153.4</c:v>
                </c:pt>
                <c:pt idx="4">
                  <c:v>3376.2</c:v>
                </c:pt>
              </c:numCache>
            </c:numRef>
          </c:val>
          <c:extLst xmlns:c16r2="http://schemas.microsoft.com/office/drawing/2015/06/chart">
            <c:ext xmlns:c16="http://schemas.microsoft.com/office/drawing/2014/chart" uri="{C3380CC4-5D6E-409C-BE32-E72D297353CC}">
              <c16:uniqueId val="{00000002-6B79-4487-9516-521F6515CF23}"/>
            </c:ext>
          </c:extLst>
        </c:ser>
        <c:dLbls>
          <c:showLegendKey val="0"/>
          <c:showVal val="0"/>
          <c:showCatName val="0"/>
          <c:showSerName val="0"/>
          <c:showPercent val="0"/>
          <c:showBubbleSize val="0"/>
        </c:dLbls>
        <c:gapWidth val="219"/>
        <c:overlap val="-27"/>
        <c:axId val="1768738752"/>
        <c:axId val="1768747456"/>
      </c:barChart>
      <c:catAx>
        <c:axId val="176873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8747456"/>
        <c:crosses val="autoZero"/>
        <c:auto val="1"/>
        <c:lblAlgn val="ctr"/>
        <c:lblOffset val="100"/>
        <c:noMultiLvlLbl val="0"/>
      </c:catAx>
      <c:valAx>
        <c:axId val="1768747456"/>
        <c:scaling>
          <c:orientation val="minMax"/>
          <c:max val="5000"/>
        </c:scaling>
        <c:delete val="0"/>
        <c:axPos val="l"/>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8738752"/>
        <c:crosses val="autoZero"/>
        <c:crossBetween val="between"/>
        <c:majorUnit val="10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200" b="0" i="0" baseline="0">
                <a:effectLst/>
                <a:latin typeface="Times New Roman" panose="02020603050405020304" pitchFamily="18" charset="0"/>
                <a:cs typeface="Times New Roman" panose="02020603050405020304" pitchFamily="18" charset="0"/>
              </a:rPr>
              <a:t>2 diagrama. Strateginiam planui įgyvendinti panaudotos lėšos per 2020 metus (tūkst.</a:t>
            </a:r>
            <a:r>
              <a:rPr lang="en-US" sz="1200" b="0" i="0" baseline="0">
                <a:effectLst/>
                <a:latin typeface="Times New Roman" panose="02020603050405020304" pitchFamily="18" charset="0"/>
                <a:cs typeface="Times New Roman" panose="02020603050405020304" pitchFamily="18" charset="0"/>
              </a:rPr>
              <a:t> </a:t>
            </a:r>
            <a:r>
              <a:rPr lang="lt-LT" sz="1200" b="0" i="0" baseline="0">
                <a:effectLst/>
                <a:latin typeface="Times New Roman" panose="02020603050405020304" pitchFamily="18" charset="0"/>
                <a:cs typeface="Times New Roman" panose="02020603050405020304" pitchFamily="18" charset="0"/>
              </a:rPr>
              <a:t>Eur)</a:t>
            </a:r>
            <a:endParaRPr lang="lt-LT" sz="1200" baseline="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lt-LT" sz="1200" baseline="0"/>
              <a:t>   </a:t>
            </a:r>
          </a:p>
        </c:rich>
      </c:tx>
      <c:layout>
        <c:manualLayout>
          <c:xMode val="edge"/>
          <c:yMode val="edge"/>
          <c:x val="8.3449074074074078E-2"/>
          <c:y val="2.7777777777777776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0680956547098278E-2"/>
          <c:y val="0.26170634920634922"/>
          <c:w val="0.91385608048993872"/>
          <c:h val="0.61058211473565804"/>
        </c:manualLayout>
      </c:layout>
      <c:bar3DChart>
        <c:barDir val="col"/>
        <c:grouping val="clustered"/>
        <c:varyColors val="0"/>
        <c:ser>
          <c:idx val="0"/>
          <c:order val="0"/>
          <c:tx>
            <c:strRef>
              <c:f>Lapas1!$B$1</c:f>
              <c:strCache>
                <c:ptCount val="1"/>
                <c:pt idx="0">
                  <c:v>1 seka</c:v>
                </c:pt>
              </c:strCache>
            </c:strRef>
          </c:tx>
          <c:spPr>
            <a:solidFill>
              <a:schemeClr val="accent1"/>
            </a:solidFill>
            <a:ln>
              <a:noFill/>
            </a:ln>
            <a:effectLst/>
            <a:sp3d/>
          </c:spPr>
          <c:invertIfNegative val="0"/>
          <c:dLbls>
            <c:dLbl>
              <c:idx val="0"/>
              <c:layout>
                <c:manualLayout>
                  <c:x val="9.2592592592592587E-3"/>
                  <c:y val="-4.36507936507936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187-4A42-8494-A41579CE0E9E}"/>
                </c:ext>
                <c:ext xmlns:c15="http://schemas.microsoft.com/office/drawing/2012/chart" uri="{CE6537A1-D6FC-4f65-9D91-7224C49458BB}">
                  <c15:layout/>
                </c:ext>
              </c:extLst>
            </c:dLbl>
            <c:dLbl>
              <c:idx val="1"/>
              <c:layout>
                <c:manualLayout>
                  <c:x val="9.2592592592592587E-3"/>
                  <c:y val="-2.38095238095238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187-4A42-8494-A41579CE0E9E}"/>
                </c:ext>
                <c:ext xmlns:c15="http://schemas.microsoft.com/office/drawing/2012/chart" uri="{CE6537A1-D6FC-4f65-9D91-7224C49458BB}">
                  <c15:layout/>
                </c:ext>
              </c:extLst>
            </c:dLbl>
            <c:dLbl>
              <c:idx val="2"/>
              <c:layout>
                <c:manualLayout>
                  <c:x val="9.2592592592591737E-3"/>
                  <c:y val="-3.9682539682539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187-4A42-8494-A41579CE0E9E}"/>
                </c:ext>
                <c:ext xmlns:c15="http://schemas.microsoft.com/office/drawing/2012/chart" uri="{CE6537A1-D6FC-4f65-9D91-7224C49458BB}">
                  <c15:layout/>
                </c:ext>
              </c:extLst>
            </c:dLbl>
            <c:dLbl>
              <c:idx val="3"/>
              <c:layout>
                <c:manualLayout>
                  <c:x val="2.777777777777761E-2"/>
                  <c:y val="-5.952380952380952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187-4A42-8494-A41579CE0E9E}"/>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Savivaldybės lėšos</c:v>
                </c:pt>
                <c:pt idx="1">
                  <c:v>Nacionalinio biudžeto lėšos</c:v>
                </c:pt>
                <c:pt idx="2">
                  <c:v>ES struktūrinių fondų lėos</c:v>
                </c:pt>
                <c:pt idx="3">
                  <c:v>Privačios lėšos</c:v>
                </c:pt>
              </c:strCache>
            </c:strRef>
          </c:cat>
          <c:val>
            <c:numRef>
              <c:f>Lapas1!$B$2:$B$5</c:f>
              <c:numCache>
                <c:formatCode>General</c:formatCode>
                <c:ptCount val="4"/>
                <c:pt idx="0">
                  <c:v>14054.5</c:v>
                </c:pt>
                <c:pt idx="1">
                  <c:v>6549.4</c:v>
                </c:pt>
                <c:pt idx="2">
                  <c:v>11752.2</c:v>
                </c:pt>
                <c:pt idx="3" formatCode="0.0">
                  <c:v>4463</c:v>
                </c:pt>
              </c:numCache>
            </c:numRef>
          </c:val>
          <c:extLst xmlns:c16r2="http://schemas.microsoft.com/office/drawing/2015/06/chart">
            <c:ext xmlns:c16="http://schemas.microsoft.com/office/drawing/2014/chart" uri="{C3380CC4-5D6E-409C-BE32-E72D297353CC}">
              <c16:uniqueId val="{00000004-3187-4A42-8494-A41579CE0E9E}"/>
            </c:ext>
          </c:extLst>
        </c:ser>
        <c:dLbls>
          <c:showLegendKey val="0"/>
          <c:showVal val="0"/>
          <c:showCatName val="0"/>
          <c:showSerName val="0"/>
          <c:showPercent val="0"/>
          <c:showBubbleSize val="0"/>
        </c:dLbls>
        <c:gapWidth val="150"/>
        <c:shape val="box"/>
        <c:axId val="1779150752"/>
        <c:axId val="1779152384"/>
        <c:axId val="0"/>
      </c:bar3DChart>
      <c:catAx>
        <c:axId val="17791507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79152384"/>
        <c:crosses val="autoZero"/>
        <c:auto val="1"/>
        <c:lblAlgn val="ctr"/>
        <c:lblOffset val="100"/>
        <c:noMultiLvlLbl val="0"/>
      </c:catAx>
      <c:valAx>
        <c:axId val="1779152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79150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595217264508603E-2"/>
          <c:y val="0.10416666666666667"/>
          <c:w val="0.8979418197725284"/>
          <c:h val="0.60365704286964128"/>
        </c:manualLayout>
      </c:layout>
      <c:lineChart>
        <c:grouping val="standard"/>
        <c:varyColors val="0"/>
        <c:ser>
          <c:idx val="0"/>
          <c:order val="0"/>
          <c:tx>
            <c:strRef>
              <c:f>Lapas1!$B$1</c:f>
              <c:strCache>
                <c:ptCount val="1"/>
                <c:pt idx="0">
                  <c:v>Socialinės pašalpos gavėjų skaičius, vnt.</c:v>
                </c:pt>
              </c:strCache>
            </c:strRef>
          </c:tx>
          <c:spPr>
            <a:ln w="28575" cap="rnd">
              <a:solidFill>
                <a:schemeClr val="accent1"/>
              </a:solidFill>
              <a:round/>
            </a:ln>
            <a:effectLst/>
          </c:spPr>
          <c:marker>
            <c:symbol val="none"/>
          </c:marker>
          <c:dLbls>
            <c:dLbl>
              <c:idx val="0"/>
              <c:layout>
                <c:manualLayout>
                  <c:x val="2.3148148148147934E-3"/>
                  <c:y val="-2.08333333333333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DA7-4718-86DE-31EDE1470E7C}"/>
                </c:ext>
                <c:ext xmlns:c15="http://schemas.microsoft.com/office/drawing/2012/chart" uri="{CE6537A1-D6FC-4f65-9D91-7224C49458BB}">
                  <c15:layout/>
                </c:ext>
              </c:extLst>
            </c:dLbl>
            <c:dLbl>
              <c:idx val="2"/>
              <c:layout>
                <c:manualLayout>
                  <c:x val="6.9444444444444441E-3"/>
                  <c:y val="-5.55555555555555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DA7-4718-86DE-31EDE1470E7C}"/>
                </c:ext>
                <c:ext xmlns:c15="http://schemas.microsoft.com/office/drawing/2012/chart" uri="{CE6537A1-D6FC-4f65-9D91-7224C49458BB}">
                  <c15:layout/>
                </c:ext>
              </c:extLst>
            </c:dLbl>
            <c:dLbl>
              <c:idx val="3"/>
              <c:layout>
                <c:manualLayout>
                  <c:x val="-2.3148148148148997E-3"/>
                  <c:y val="-5.55555555555555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DA7-4718-86DE-31EDE1470E7C}"/>
                </c:ext>
                <c:ext xmlns:c15="http://schemas.microsoft.com/office/drawing/2012/chart" uri="{CE6537A1-D6FC-4f65-9D91-7224C49458BB}">
                  <c15:layout/>
                </c:ext>
              </c:extLst>
            </c:dLbl>
            <c:dLbl>
              <c:idx val="4"/>
              <c:layout>
                <c:manualLayout>
                  <c:x val="-2.3148148148148997E-3"/>
                  <c:y val="-4.86111111111111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DA7-4718-86DE-31EDE1470E7C}"/>
                </c:ext>
                <c:ext xmlns:c15="http://schemas.microsoft.com/office/drawing/2012/chart" uri="{CE6537A1-D6FC-4f65-9D91-7224C49458BB}">
                  <c15:layout/>
                </c:ext>
              </c:extLst>
            </c:dLbl>
            <c:dLbl>
              <c:idx val="5"/>
              <c:layout>
                <c:manualLayout>
                  <c:x val="-2.3148148148148147E-3"/>
                  <c:y val="-6.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DA7-4718-86DE-31EDE1470E7C}"/>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2015</c:v>
                </c:pt>
                <c:pt idx="1">
                  <c:v>2016</c:v>
                </c:pt>
                <c:pt idx="2">
                  <c:v>2017</c:v>
                </c:pt>
                <c:pt idx="3">
                  <c:v>2018</c:v>
                </c:pt>
                <c:pt idx="4">
                  <c:v>2019</c:v>
                </c:pt>
                <c:pt idx="5">
                  <c:v>2020</c:v>
                </c:pt>
              </c:numCache>
            </c:numRef>
          </c:cat>
          <c:val>
            <c:numRef>
              <c:f>Lapas1!$B$2:$B$7</c:f>
              <c:numCache>
                <c:formatCode>General</c:formatCode>
                <c:ptCount val="6"/>
                <c:pt idx="0">
                  <c:v>4590</c:v>
                </c:pt>
                <c:pt idx="1">
                  <c:v>4300</c:v>
                </c:pt>
                <c:pt idx="2">
                  <c:v>2645</c:v>
                </c:pt>
                <c:pt idx="3">
                  <c:v>2522</c:v>
                </c:pt>
                <c:pt idx="4">
                  <c:v>2285</c:v>
                </c:pt>
                <c:pt idx="5">
                  <c:v>2060</c:v>
                </c:pt>
              </c:numCache>
            </c:numRef>
          </c:val>
          <c:smooth val="0"/>
          <c:extLst xmlns:c16r2="http://schemas.microsoft.com/office/drawing/2015/06/chart">
            <c:ext xmlns:c16="http://schemas.microsoft.com/office/drawing/2014/chart" uri="{C3380CC4-5D6E-409C-BE32-E72D297353CC}">
              <c16:uniqueId val="{00000000-F9F7-4F3C-ACAF-0CC7ED8CE008}"/>
            </c:ext>
          </c:extLst>
        </c:ser>
        <c:ser>
          <c:idx val="1"/>
          <c:order val="1"/>
          <c:tx>
            <c:strRef>
              <c:f>Lapas1!$C$1</c:f>
              <c:strCache>
                <c:ptCount val="1"/>
                <c:pt idx="0">
                  <c:v>Išlaidos socialinėms pašalpoms, tūkst.EUR</c:v>
                </c:pt>
              </c:strCache>
            </c:strRef>
          </c:tx>
          <c:spPr>
            <a:ln w="28575" cap="rnd">
              <a:solidFill>
                <a:schemeClr val="accent2"/>
              </a:solidFill>
              <a:round/>
            </a:ln>
            <a:effectLst/>
          </c:spPr>
          <c:marker>
            <c:symbol val="none"/>
          </c:marker>
          <c:dLbls>
            <c:dLbl>
              <c:idx val="1"/>
              <c:layout>
                <c:manualLayout>
                  <c:x val="-6.9444444444444441E-3"/>
                  <c:y val="-2.77777777777778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DA7-4718-86DE-31EDE1470E7C}"/>
                </c:ext>
                <c:ext xmlns:c15="http://schemas.microsoft.com/office/drawing/2012/chart" uri="{CE6537A1-D6FC-4f65-9D91-7224C49458BB}">
                  <c15:layout/>
                </c:ext>
              </c:extLst>
            </c:dLbl>
            <c:dLbl>
              <c:idx val="2"/>
              <c:layout>
                <c:manualLayout>
                  <c:x val="0"/>
                  <c:y val="2.77777777777777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DA7-4718-86DE-31EDE1470E7C}"/>
                </c:ext>
                <c:ext xmlns:c15="http://schemas.microsoft.com/office/drawing/2012/chart" uri="{CE6537A1-D6FC-4f65-9D91-7224C49458BB}">
                  <c15:layout/>
                </c:ext>
              </c:extLst>
            </c:dLbl>
            <c:dLbl>
              <c:idx val="4"/>
              <c:layout>
                <c:manualLayout>
                  <c:x val="-1.3888888888888888E-2"/>
                  <c:y val="4.861111111111104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9F7-4F3C-ACAF-0CC7ED8CE008}"/>
                </c:ext>
                <c:ext xmlns:c15="http://schemas.microsoft.com/office/drawing/2012/chart" uri="{CE6537A1-D6FC-4f65-9D91-7224C49458BB}">
                  <c15:layout/>
                </c:ext>
              </c:extLst>
            </c:dLbl>
            <c:dLbl>
              <c:idx val="5"/>
              <c:layout>
                <c:manualLayout>
                  <c:x val="-4.6296296296296294E-3"/>
                  <c:y val="2.77777777777777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DA7-4718-86DE-31EDE1470E7C}"/>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2015</c:v>
                </c:pt>
                <c:pt idx="1">
                  <c:v>2016</c:v>
                </c:pt>
                <c:pt idx="2">
                  <c:v>2017</c:v>
                </c:pt>
                <c:pt idx="3">
                  <c:v>2018</c:v>
                </c:pt>
                <c:pt idx="4">
                  <c:v>2019</c:v>
                </c:pt>
                <c:pt idx="5">
                  <c:v>2020</c:v>
                </c:pt>
              </c:numCache>
            </c:numRef>
          </c:cat>
          <c:val>
            <c:numRef>
              <c:f>Lapas1!$C$2:$C$7</c:f>
              <c:numCache>
                <c:formatCode>General</c:formatCode>
                <c:ptCount val="6"/>
                <c:pt idx="0">
                  <c:v>3064.9</c:v>
                </c:pt>
                <c:pt idx="1">
                  <c:v>2073.4</c:v>
                </c:pt>
                <c:pt idx="2">
                  <c:v>1863.1</c:v>
                </c:pt>
                <c:pt idx="3">
                  <c:v>2084.1999999999998</c:v>
                </c:pt>
                <c:pt idx="4">
                  <c:v>1906.2</c:v>
                </c:pt>
                <c:pt idx="5">
                  <c:v>1896.1</c:v>
                </c:pt>
              </c:numCache>
            </c:numRef>
          </c:val>
          <c:smooth val="0"/>
          <c:extLst xmlns:c16r2="http://schemas.microsoft.com/office/drawing/2015/06/chart">
            <c:ext xmlns:c16="http://schemas.microsoft.com/office/drawing/2014/chart" uri="{C3380CC4-5D6E-409C-BE32-E72D297353CC}">
              <c16:uniqueId val="{00000002-F9F7-4F3C-ACAF-0CC7ED8CE008}"/>
            </c:ext>
          </c:extLst>
        </c:ser>
        <c:dLbls>
          <c:showLegendKey val="0"/>
          <c:showVal val="0"/>
          <c:showCatName val="0"/>
          <c:showSerName val="0"/>
          <c:showPercent val="0"/>
          <c:showBubbleSize val="0"/>
        </c:dLbls>
        <c:smooth val="0"/>
        <c:axId val="1768748544"/>
        <c:axId val="1768749632"/>
      </c:lineChart>
      <c:catAx>
        <c:axId val="176874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8749632"/>
        <c:crosses val="autoZero"/>
        <c:auto val="1"/>
        <c:lblAlgn val="ctr"/>
        <c:lblOffset val="100"/>
        <c:noMultiLvlLbl val="0"/>
      </c:catAx>
      <c:valAx>
        <c:axId val="1768749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8748544"/>
        <c:crosses val="autoZero"/>
        <c:crossBetween val="between"/>
        <c:majorUnit val="30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100">
                <a:latin typeface="Times New Roman" panose="02020603050405020304" pitchFamily="18" charset="0"/>
                <a:cs typeface="Times New Roman" panose="02020603050405020304" pitchFamily="18" charset="0"/>
              </a:rPr>
              <a:t>21 diagrama. Panevėžio miesto plėtros strateginio plano III-io prioriteto priemonių vykdymas</a:t>
            </a:r>
            <a:endParaRPr lang="en-US" sz="11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4167-40BD-918F-B85BF5755E3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4167-40BD-918F-B85BF5755E3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4167-40BD-918F-B85BF5755E3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4167-40BD-918F-B85BF5755E3B}"/>
              </c:ext>
            </c:extLst>
          </c:dPt>
          <c:dLbls>
            <c:dLbl>
              <c:idx val="0"/>
              <c:layout/>
              <c:tx>
                <c:rich>
                  <a:bodyPr/>
                  <a:lstStyle/>
                  <a:p>
                    <a:r>
                      <a:rPr lang="en-US"/>
                      <a:t>31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167-40BD-918F-B85BF5755E3B}"/>
                </c:ext>
                <c:ext xmlns:c15="http://schemas.microsoft.com/office/drawing/2012/chart" uri="{CE6537A1-D6FC-4f65-9D91-7224C49458BB}">
                  <c15:layout/>
                </c:ext>
              </c:extLst>
            </c:dLbl>
            <c:dLbl>
              <c:idx val="1"/>
              <c:layout/>
              <c:tx>
                <c:rich>
                  <a:bodyPr/>
                  <a:lstStyle/>
                  <a:p>
                    <a:r>
                      <a:rPr lang="en-US"/>
                      <a:t>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167-40BD-918F-B85BF5755E3B}"/>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Lapas1!$A$2:$A$5</c:f>
              <c:strCache>
                <c:ptCount val="2"/>
                <c:pt idx="0">
                  <c:v>Vykdoma arba iš dalies vykdoma priemonių</c:v>
                </c:pt>
                <c:pt idx="1">
                  <c:v>Nevykdoma priemonių</c:v>
                </c:pt>
              </c:strCache>
            </c:strRef>
          </c:cat>
          <c:val>
            <c:numRef>
              <c:f>Lapas1!$B$2:$B$5</c:f>
              <c:numCache>
                <c:formatCode>General</c:formatCode>
                <c:ptCount val="4"/>
                <c:pt idx="0">
                  <c:v>31</c:v>
                </c:pt>
                <c:pt idx="1">
                  <c:v>4</c:v>
                </c:pt>
              </c:numCache>
            </c:numRef>
          </c:val>
          <c:extLst xmlns:c16r2="http://schemas.microsoft.com/office/drawing/2015/06/chart">
            <c:ext xmlns:c16="http://schemas.microsoft.com/office/drawing/2014/chart" uri="{C3380CC4-5D6E-409C-BE32-E72D297353CC}">
              <c16:uniqueId val="{00000008-4167-40BD-918F-B85BF5755E3B}"/>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356215213358124E-2"/>
          <c:y val="0.12962962962962815"/>
          <c:w val="0.91094619666048748"/>
          <c:h val="0.64814814814815325"/>
        </c:manualLayout>
      </c:layout>
      <c:lineChart>
        <c:grouping val="standard"/>
        <c:varyColors val="0"/>
        <c:ser>
          <c:idx val="0"/>
          <c:order val="0"/>
          <c:tx>
            <c:strRef>
              <c:f>Sheet1!$A$2</c:f>
              <c:strCache>
                <c:ptCount val="1"/>
              </c:strCache>
            </c:strRef>
          </c:tx>
          <c:spPr>
            <a:ln w="12630">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2.4420024420024554E-3"/>
                  <c:y val="5.426356589147287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403-4230-843D-6E3C44605552}"/>
                </c:ext>
                <c:ext xmlns:c15="http://schemas.microsoft.com/office/drawing/2012/chart" uri="{CE6537A1-D6FC-4f65-9D91-7224C49458BB}">
                  <c15:layout/>
                </c:ext>
              </c:extLst>
            </c:dLbl>
            <c:dLbl>
              <c:idx val="1"/>
              <c:layout>
                <c:manualLayout>
                  <c:x val="-4.8840048840048424E-3"/>
                  <c:y val="4.6511627906977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403-4230-843D-6E3C44605552}"/>
                </c:ext>
                <c:ext xmlns:c15="http://schemas.microsoft.com/office/drawing/2012/chart" uri="{CE6537A1-D6FC-4f65-9D91-7224C49458BB}">
                  <c15:layout/>
                </c:ext>
              </c:extLst>
            </c:dLbl>
            <c:dLbl>
              <c:idx val="2"/>
              <c:layout>
                <c:manualLayout>
                  <c:x val="-4.8840048840049013E-3"/>
                  <c:y val="6.97674418604655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403-4230-843D-6E3C44605552}"/>
                </c:ext>
                <c:ext xmlns:c15="http://schemas.microsoft.com/office/drawing/2012/chart" uri="{CE6537A1-D6FC-4f65-9D91-7224C49458BB}">
                  <c15:layout/>
                </c:ext>
              </c:extLst>
            </c:dLbl>
            <c:dLbl>
              <c:idx val="3"/>
              <c:layout>
                <c:manualLayout>
                  <c:x val="-4.8840048840049013E-3"/>
                  <c:y val="3.10077519379844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403-4230-843D-6E3C44605552}"/>
                </c:ext>
                <c:ext xmlns:c15="http://schemas.microsoft.com/office/drawing/2012/chart" uri="{CE6537A1-D6FC-4f65-9D91-7224C49458BB}">
                  <c15:layout/>
                </c:ext>
              </c:extLst>
            </c:dLbl>
            <c:spPr>
              <a:noFill/>
              <a:ln w="25261">
                <a:noFill/>
              </a:ln>
            </c:spPr>
            <c:txPr>
              <a:bodyPr/>
              <a:lstStyle/>
              <a:p>
                <a:pPr>
                  <a:defRPr sz="796"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Sheet1!$B$1:$G$1</c:f>
              <c:numCache>
                <c:formatCode>General</c:formatCode>
                <c:ptCount val="6"/>
                <c:pt idx="0">
                  <c:v>2015</c:v>
                </c:pt>
                <c:pt idx="1">
                  <c:v>2016</c:v>
                </c:pt>
                <c:pt idx="2">
                  <c:v>2017</c:v>
                </c:pt>
                <c:pt idx="3">
                  <c:v>2018</c:v>
                </c:pt>
                <c:pt idx="4">
                  <c:v>2019</c:v>
                </c:pt>
                <c:pt idx="5">
                  <c:v>2020</c:v>
                </c:pt>
              </c:numCache>
            </c:numRef>
          </c:cat>
          <c:val>
            <c:numRef>
              <c:f>Sheet1!$B$2:$G$2</c:f>
              <c:numCache>
                <c:formatCode>General</c:formatCode>
                <c:ptCount val="6"/>
                <c:pt idx="0">
                  <c:v>382</c:v>
                </c:pt>
                <c:pt idx="1">
                  <c:v>400</c:v>
                </c:pt>
                <c:pt idx="2">
                  <c:v>416</c:v>
                </c:pt>
                <c:pt idx="3">
                  <c:v>435</c:v>
                </c:pt>
                <c:pt idx="4">
                  <c:v>460</c:v>
                </c:pt>
                <c:pt idx="5">
                  <c:v>481</c:v>
                </c:pt>
              </c:numCache>
            </c:numRef>
          </c:val>
          <c:smooth val="0"/>
          <c:extLst xmlns:c16r2="http://schemas.microsoft.com/office/drawing/2015/06/chart">
            <c:ext xmlns:c16="http://schemas.microsoft.com/office/drawing/2014/chart" uri="{C3380CC4-5D6E-409C-BE32-E72D297353CC}">
              <c16:uniqueId val="{00000004-7403-4230-843D-6E3C44605552}"/>
            </c:ext>
          </c:extLst>
        </c:ser>
        <c:dLbls>
          <c:showLegendKey val="0"/>
          <c:showVal val="0"/>
          <c:showCatName val="0"/>
          <c:showSerName val="0"/>
          <c:showPercent val="0"/>
          <c:showBubbleSize val="0"/>
        </c:dLbls>
        <c:marker val="1"/>
        <c:smooth val="0"/>
        <c:axId val="1768735488"/>
        <c:axId val="1767632112"/>
      </c:lineChart>
      <c:catAx>
        <c:axId val="1768735488"/>
        <c:scaling>
          <c:orientation val="minMax"/>
        </c:scaling>
        <c:delete val="0"/>
        <c:axPos val="b"/>
        <c:numFmt formatCode="General" sourceLinked="1"/>
        <c:majorTickMark val="out"/>
        <c:minorTickMark val="none"/>
        <c:tickLblPos val="nextTo"/>
        <c:spPr>
          <a:ln w="3158">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lt-LT"/>
          </a:p>
        </c:txPr>
        <c:crossAx val="1767632112"/>
        <c:crosses val="autoZero"/>
        <c:auto val="1"/>
        <c:lblAlgn val="ctr"/>
        <c:lblOffset val="100"/>
        <c:tickLblSkip val="1"/>
        <c:tickMarkSkip val="1"/>
        <c:noMultiLvlLbl val="0"/>
      </c:catAx>
      <c:valAx>
        <c:axId val="1767632112"/>
        <c:scaling>
          <c:orientation val="minMax"/>
          <c:min val="0"/>
        </c:scaling>
        <c:delete val="0"/>
        <c:axPos val="l"/>
        <c:majorGridlines>
          <c:spPr>
            <a:ln w="3158">
              <a:solidFill>
                <a:srgbClr val="000000"/>
              </a:solidFill>
              <a:prstDash val="solid"/>
            </a:ln>
          </c:spPr>
        </c:majorGridlines>
        <c:numFmt formatCode="General" sourceLinked="1"/>
        <c:majorTickMark val="out"/>
        <c:minorTickMark val="none"/>
        <c:tickLblPos val="nextTo"/>
        <c:spPr>
          <a:ln w="3158">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lt-LT"/>
          </a:p>
        </c:txPr>
        <c:crossAx val="1768735488"/>
        <c:crosses val="autoZero"/>
        <c:crossBetween val="between"/>
        <c:majorUnit val="200"/>
      </c:valAx>
      <c:spPr>
        <a:solidFill>
          <a:srgbClr val="C0C0C0"/>
        </a:solidFill>
        <a:ln w="12630">
          <a:solidFill>
            <a:srgbClr val="808080"/>
          </a:solidFill>
          <a:prstDash val="solid"/>
        </a:ln>
      </c:spPr>
    </c:plotArea>
    <c:plotVisOnly val="1"/>
    <c:dispBlanksAs val="gap"/>
    <c:showDLblsOverMax val="0"/>
  </c:chart>
  <c:spPr>
    <a:noFill/>
    <a:ln>
      <a:noFill/>
    </a:ln>
  </c:spPr>
  <c:txPr>
    <a:bodyPr/>
    <a:lstStyle/>
    <a:p>
      <a:pPr>
        <a:defRPr sz="796" b="1" i="0" u="none" strike="noStrike" baseline="0">
          <a:solidFill>
            <a:srgbClr val="000000"/>
          </a:solidFill>
          <a:latin typeface="Arial"/>
          <a:ea typeface="Arial"/>
          <a:cs typeface="Arial"/>
        </a:defRPr>
      </a:pPr>
      <a:endParaRPr lang="lt-LT"/>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100">
                <a:latin typeface="Times New Roman" panose="02020603050405020304" pitchFamily="18" charset="0"/>
                <a:cs typeface="Times New Roman" panose="02020603050405020304" pitchFamily="18" charset="0"/>
              </a:rPr>
              <a:t>23 diagrama. Gatvių su patobulinta danga ilgis ir bendras gatvių tankis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5.4465587634878972E-2"/>
          <c:y val="0.2232801860621515"/>
          <c:w val="0.90849737532808394"/>
          <c:h val="0.53310542587870469"/>
        </c:manualLayout>
      </c:layout>
      <c:lineChart>
        <c:grouping val="standard"/>
        <c:varyColors val="0"/>
        <c:ser>
          <c:idx val="0"/>
          <c:order val="0"/>
          <c:tx>
            <c:strRef>
              <c:f>Lapas1!$B$1</c:f>
              <c:strCache>
                <c:ptCount val="1"/>
                <c:pt idx="0">
                  <c:v>Kelių su patobulinta danga ilgis (km)</c:v>
                </c:pt>
              </c:strCache>
            </c:strRef>
          </c:tx>
          <c:spPr>
            <a:ln w="28575" cap="rnd">
              <a:solidFill>
                <a:schemeClr val="accent1"/>
              </a:solidFill>
              <a:round/>
            </a:ln>
            <a:effectLst/>
          </c:spPr>
          <c:marker>
            <c:symbol val="none"/>
          </c:marker>
          <c:dLbls>
            <c:dLbl>
              <c:idx val="0"/>
              <c:layout>
                <c:manualLayout>
                  <c:x val="-4.338546223388743E-2"/>
                  <c:y val="-2.965599051008303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F0D-47A6-9722-8E39EA5E5260}"/>
                </c:ext>
                <c:ext xmlns:c15="http://schemas.microsoft.com/office/drawing/2012/chart" uri="{CE6537A1-D6FC-4f65-9D91-7224C49458BB}">
                  <c15:layout/>
                </c:ext>
              </c:extLst>
            </c:dLbl>
            <c:dLbl>
              <c:idx val="1"/>
              <c:layout>
                <c:manualLayout>
                  <c:x val="-6.1903980752405989E-2"/>
                  <c:y val="-7.117437722419929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F0D-47A6-9722-8E39EA5E5260}"/>
                </c:ext>
                <c:ext xmlns:c15="http://schemas.microsoft.com/office/drawing/2012/chart" uri="{CE6537A1-D6FC-4f65-9D91-7224C49458BB}">
                  <c15:layout/>
                </c:ext>
              </c:extLst>
            </c:dLbl>
            <c:dLbl>
              <c:idx val="2"/>
              <c:layout>
                <c:manualLayout>
                  <c:x val="-5.0329906678331877E-2"/>
                  <c:y val="-4.744958481613291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F0D-47A6-9722-8E39EA5E5260}"/>
                </c:ext>
                <c:ext xmlns:c15="http://schemas.microsoft.com/office/drawing/2012/chart" uri="{CE6537A1-D6FC-4f65-9D91-7224C49458BB}">
                  <c15:layout/>
                </c:ext>
              </c:extLst>
            </c:dLbl>
            <c:dLbl>
              <c:idx val="3"/>
              <c:layout>
                <c:manualLayout>
                  <c:x val="-5.2644721493146689E-2"/>
                  <c:y val="-7.117437722419929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F0D-47A6-9722-8E39EA5E5260}"/>
                </c:ext>
                <c:ext xmlns:c15="http://schemas.microsoft.com/office/drawing/2012/chart" uri="{CE6537A1-D6FC-4f65-9D91-7224C49458BB}">
                  <c15:layout/>
                </c:ext>
              </c:extLst>
            </c:dLbl>
            <c:dLbl>
              <c:idx val="4"/>
              <c:layout>
                <c:manualLayout>
                  <c:x val="-5.9589165937591136E-2"/>
                  <c:y val="1.186239620403321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F0D-47A6-9722-8E39EA5E5260}"/>
                </c:ext>
                <c:ext xmlns:c15="http://schemas.microsoft.com/office/drawing/2012/chart" uri="{CE6537A1-D6FC-4f65-9D91-7224C49458BB}">
                  <c15:layout/>
                </c:ext>
              </c:extLst>
            </c:dLbl>
            <c:dLbl>
              <c:idx val="5"/>
              <c:layout>
                <c:manualLayout>
                  <c:x val="-4.5700277048702248E-2"/>
                  <c:y val="2.372479240806632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F0D-47A6-9722-8E39EA5E5260}"/>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2015</c:v>
                </c:pt>
                <c:pt idx="1">
                  <c:v>2016</c:v>
                </c:pt>
                <c:pt idx="2">
                  <c:v>2017</c:v>
                </c:pt>
                <c:pt idx="3">
                  <c:v>2018</c:v>
                </c:pt>
                <c:pt idx="4">
                  <c:v>2019</c:v>
                </c:pt>
                <c:pt idx="5">
                  <c:v>2020</c:v>
                </c:pt>
              </c:numCache>
            </c:numRef>
          </c:cat>
          <c:val>
            <c:numRef>
              <c:f>Lapas1!$B$2:$B$7</c:f>
              <c:numCache>
                <c:formatCode>General</c:formatCode>
                <c:ptCount val="6"/>
                <c:pt idx="0">
                  <c:v>328.7</c:v>
                </c:pt>
                <c:pt idx="1">
                  <c:v>332.8</c:v>
                </c:pt>
                <c:pt idx="2">
                  <c:v>338.7</c:v>
                </c:pt>
                <c:pt idx="3">
                  <c:v>341.2</c:v>
                </c:pt>
                <c:pt idx="4">
                  <c:v>180.8</c:v>
                </c:pt>
                <c:pt idx="5">
                  <c:v>183.8</c:v>
                </c:pt>
              </c:numCache>
            </c:numRef>
          </c:val>
          <c:smooth val="0"/>
          <c:extLst xmlns:c16r2="http://schemas.microsoft.com/office/drawing/2015/06/chart">
            <c:ext xmlns:c16="http://schemas.microsoft.com/office/drawing/2014/chart" uri="{C3380CC4-5D6E-409C-BE32-E72D297353CC}">
              <c16:uniqueId val="{00000000-4AAD-4A94-89EE-CA9D30811E5C}"/>
            </c:ext>
          </c:extLst>
        </c:ser>
        <c:ser>
          <c:idx val="1"/>
          <c:order val="1"/>
          <c:tx>
            <c:strRef>
              <c:f>Lapas1!$C$1</c:f>
              <c:strCache>
                <c:ptCount val="1"/>
                <c:pt idx="0">
                  <c:v>Bendras gatvių tankis (km/kv.km)</c:v>
                </c:pt>
              </c:strCache>
            </c:strRef>
          </c:tx>
          <c:spPr>
            <a:ln w="28575" cap="rnd">
              <a:solidFill>
                <a:schemeClr val="accent2"/>
              </a:solidFill>
              <a:round/>
            </a:ln>
            <a:effectLst/>
          </c:spPr>
          <c:marker>
            <c:symbol val="none"/>
          </c:marker>
          <c:dLbls>
            <c:dLbl>
              <c:idx val="0"/>
              <c:layout>
                <c:manualLayout>
                  <c:x val="-3.8107684456109653E-2"/>
                  <c:y val="-5.338078291814946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AAD-4A94-89EE-CA9D30811E5C}"/>
                </c:ext>
                <c:ext xmlns:c15="http://schemas.microsoft.com/office/drawing/2012/chart" uri="{CE6537A1-D6FC-4f65-9D91-7224C49458BB}">
                  <c15:layout/>
                </c:ext>
              </c:extLst>
            </c:dLbl>
            <c:dLbl>
              <c:idx val="1"/>
              <c:layout>
                <c:manualLayout>
                  <c:x val="-3.3478054826480065E-2"/>
                  <c:y val="-5.338078291814957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AAD-4A94-89EE-CA9D30811E5C}"/>
                </c:ext>
                <c:ext xmlns:c15="http://schemas.microsoft.com/office/drawing/2012/chart" uri="{CE6537A1-D6FC-4f65-9D91-7224C49458BB}">
                  <c15:layout/>
                </c:ext>
              </c:extLst>
            </c:dLbl>
            <c:dLbl>
              <c:idx val="2"/>
              <c:layout>
                <c:manualLayout>
                  <c:x val="-3.8107684456109653E-2"/>
                  <c:y val="-4.15183867141162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AAD-4A94-89EE-CA9D30811E5C}"/>
                </c:ext>
                <c:ext xmlns:c15="http://schemas.microsoft.com/office/drawing/2012/chart" uri="{CE6537A1-D6FC-4f65-9D91-7224C49458BB}">
                  <c15:layout/>
                </c:ext>
              </c:extLst>
            </c:dLbl>
            <c:dLbl>
              <c:idx val="3"/>
              <c:layout>
                <c:manualLayout>
                  <c:x val="-3.8107684456109653E-2"/>
                  <c:y val="-4.15183867141162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AAD-4A94-89EE-CA9D30811E5C}"/>
                </c:ext>
                <c:ext xmlns:c15="http://schemas.microsoft.com/office/drawing/2012/chart" uri="{CE6537A1-D6FC-4f65-9D91-7224C49458BB}">
                  <c15:layout/>
                </c:ext>
              </c:extLst>
            </c:dLbl>
            <c:dLbl>
              <c:idx val="4"/>
              <c:layout>
                <c:manualLayout>
                  <c:x val="-4.2737314085739456E-2"/>
                  <c:y val="-3.558718861209975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AAD-4A94-89EE-CA9D30811E5C}"/>
                </c:ext>
                <c:ext xmlns:c15="http://schemas.microsoft.com/office/drawing/2012/chart" uri="{CE6537A1-D6FC-4f65-9D91-7224C49458BB}">
                  <c15:layout/>
                </c:ext>
              </c:extLst>
            </c:dLbl>
            <c:dLbl>
              <c:idx val="5"/>
              <c:layout>
                <c:manualLayout>
                  <c:x val="-5.4311388159813526E-2"/>
                  <c:y val="-4.744958481613285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F0D-47A6-9722-8E39EA5E5260}"/>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2015</c:v>
                </c:pt>
                <c:pt idx="1">
                  <c:v>2016</c:v>
                </c:pt>
                <c:pt idx="2">
                  <c:v>2017</c:v>
                </c:pt>
                <c:pt idx="3">
                  <c:v>2018</c:v>
                </c:pt>
                <c:pt idx="4">
                  <c:v>2019</c:v>
                </c:pt>
                <c:pt idx="5">
                  <c:v>2020</c:v>
                </c:pt>
              </c:numCache>
            </c:numRef>
          </c:cat>
          <c:val>
            <c:numRef>
              <c:f>Lapas1!$C$2:$C$7</c:f>
              <c:numCache>
                <c:formatCode>General</c:formatCode>
                <c:ptCount val="6"/>
                <c:pt idx="0">
                  <c:v>6.56</c:v>
                </c:pt>
                <c:pt idx="1">
                  <c:v>6.64</c:v>
                </c:pt>
                <c:pt idx="2">
                  <c:v>6.77</c:v>
                </c:pt>
                <c:pt idx="3">
                  <c:v>6.82</c:v>
                </c:pt>
                <c:pt idx="4">
                  <c:v>3.35</c:v>
                </c:pt>
                <c:pt idx="5">
                  <c:v>3.67</c:v>
                </c:pt>
              </c:numCache>
            </c:numRef>
          </c:val>
          <c:smooth val="0"/>
          <c:extLst xmlns:c16r2="http://schemas.microsoft.com/office/drawing/2015/06/chart">
            <c:ext xmlns:c16="http://schemas.microsoft.com/office/drawing/2014/chart" uri="{C3380CC4-5D6E-409C-BE32-E72D297353CC}">
              <c16:uniqueId val="{00000006-4AAD-4A94-89EE-CA9D30811E5C}"/>
            </c:ext>
          </c:extLst>
        </c:ser>
        <c:dLbls>
          <c:dLblPos val="ctr"/>
          <c:showLegendKey val="0"/>
          <c:showVal val="1"/>
          <c:showCatName val="0"/>
          <c:showSerName val="0"/>
          <c:showPercent val="0"/>
          <c:showBubbleSize val="0"/>
        </c:dLbls>
        <c:smooth val="0"/>
        <c:axId val="1767637008"/>
        <c:axId val="1767640816"/>
      </c:lineChart>
      <c:catAx>
        <c:axId val="1767637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7640816"/>
        <c:crosses val="autoZero"/>
        <c:auto val="1"/>
        <c:lblAlgn val="ctr"/>
        <c:lblOffset val="100"/>
        <c:noMultiLvlLbl val="0"/>
      </c:catAx>
      <c:valAx>
        <c:axId val="1767640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7637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910032079323424E-2"/>
          <c:y val="6.0428531339242975E-2"/>
          <c:w val="0.86792067658209393"/>
          <c:h val="0.60017381933218616"/>
        </c:manualLayout>
      </c:layout>
      <c:barChart>
        <c:barDir val="col"/>
        <c:grouping val="clustered"/>
        <c:varyColors val="0"/>
        <c:ser>
          <c:idx val="1"/>
          <c:order val="1"/>
          <c:tx>
            <c:strRef>
              <c:f>Lapas1!$C$1</c:f>
              <c:strCache>
                <c:ptCount val="1"/>
                <c:pt idx="0">
                  <c:v>Vidutinis autobusų parko autobuso amžius, gamybos metai</c:v>
                </c:pt>
              </c:strCache>
            </c:strRef>
          </c:tx>
          <c:spPr>
            <a:solidFill>
              <a:schemeClr val="accent2"/>
            </a:solidFill>
            <a:ln>
              <a:noFill/>
            </a:ln>
            <a:effectLst/>
          </c:spPr>
          <c:invertIfNegative val="0"/>
          <c:dLbls>
            <c:dLbl>
              <c:idx val="0"/>
              <c:layout>
                <c:manualLayout>
                  <c:x val="-9.2592592592592692E-3"/>
                  <c:y val="-5.241090146750572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9FA-49DC-B6B9-9D64FE3D334C}"/>
                </c:ext>
                <c:ext xmlns:c15="http://schemas.microsoft.com/office/drawing/2012/chart" uri="{CE6537A1-D6FC-4f65-9D91-7224C49458BB}">
                  <c15:layout/>
                </c:ext>
              </c:extLst>
            </c:dLbl>
            <c:dLbl>
              <c:idx val="1"/>
              <c:layout>
                <c:manualLayout>
                  <c:x val="-9.2592592592592587E-3"/>
                  <c:y val="-1.048218029350109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9FA-49DC-B6B9-9D64FE3D334C}"/>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2015</c:v>
                </c:pt>
                <c:pt idx="1">
                  <c:v>2016</c:v>
                </c:pt>
                <c:pt idx="2">
                  <c:v>2017</c:v>
                </c:pt>
                <c:pt idx="3">
                  <c:v>2018</c:v>
                </c:pt>
                <c:pt idx="4">
                  <c:v>2019</c:v>
                </c:pt>
                <c:pt idx="5">
                  <c:v>2020</c:v>
                </c:pt>
              </c:numCache>
            </c:numRef>
          </c:cat>
          <c:val>
            <c:numRef>
              <c:f>Lapas1!$C$2:$C$7</c:f>
              <c:numCache>
                <c:formatCode>General</c:formatCode>
                <c:ptCount val="6"/>
                <c:pt idx="0">
                  <c:v>2000</c:v>
                </c:pt>
                <c:pt idx="1">
                  <c:v>2000</c:v>
                </c:pt>
                <c:pt idx="2">
                  <c:v>2003</c:v>
                </c:pt>
                <c:pt idx="3">
                  <c:v>2003</c:v>
                </c:pt>
                <c:pt idx="4">
                  <c:v>2003</c:v>
                </c:pt>
                <c:pt idx="5">
                  <c:v>2006</c:v>
                </c:pt>
              </c:numCache>
            </c:numRef>
          </c:val>
          <c:extLst xmlns:c16r2="http://schemas.microsoft.com/office/drawing/2015/06/chart">
            <c:ext xmlns:c16="http://schemas.microsoft.com/office/drawing/2014/chart" uri="{C3380CC4-5D6E-409C-BE32-E72D297353CC}">
              <c16:uniqueId val="{00000000-5546-4C69-98A9-F10B182A1938}"/>
            </c:ext>
          </c:extLst>
        </c:ser>
        <c:dLbls>
          <c:showLegendKey val="0"/>
          <c:showVal val="0"/>
          <c:showCatName val="0"/>
          <c:showSerName val="0"/>
          <c:showPercent val="0"/>
          <c:showBubbleSize val="0"/>
        </c:dLbls>
        <c:gapWidth val="219"/>
        <c:axId val="1767633200"/>
        <c:axId val="1767644080"/>
      </c:barChart>
      <c:lineChart>
        <c:grouping val="standard"/>
        <c:varyColors val="0"/>
        <c:ser>
          <c:idx val="0"/>
          <c:order val="0"/>
          <c:tx>
            <c:strRef>
              <c:f>Lapas1!$B$1</c:f>
              <c:strCache>
                <c:ptCount val="1"/>
                <c:pt idx="0">
                  <c:v>Miesto viešojo transporto maršrutų skaičius </c:v>
                </c:pt>
              </c:strCache>
            </c:strRef>
          </c:tx>
          <c:spPr>
            <a:ln w="28575" cap="rnd">
              <a:solidFill>
                <a:schemeClr val="accent1"/>
              </a:solidFill>
              <a:round/>
            </a:ln>
            <a:effectLst/>
          </c:spPr>
          <c:marker>
            <c:symbol val="none"/>
          </c:marker>
          <c:dLbls>
            <c:dLbl>
              <c:idx val="0"/>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546-4C69-98A9-F10B182A1938}"/>
                </c:ext>
                <c:ext xmlns:c15="http://schemas.microsoft.com/office/drawing/2012/chart" uri="{CE6537A1-D6FC-4f65-9D91-7224C49458BB}">
                  <c15:spPr xmlns:c15="http://schemas.microsoft.com/office/drawing/2012/chart">
                    <a:prstGeom prst="rect">
                      <a:avLst/>
                    </a:prstGeom>
                    <a:noFill/>
                    <a:ln>
                      <a:noFill/>
                    </a:ln>
                  </c15:spPr>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2015</c:v>
                </c:pt>
                <c:pt idx="1">
                  <c:v>2016</c:v>
                </c:pt>
                <c:pt idx="2">
                  <c:v>2017</c:v>
                </c:pt>
                <c:pt idx="3">
                  <c:v>2018</c:v>
                </c:pt>
                <c:pt idx="4">
                  <c:v>2019</c:v>
                </c:pt>
                <c:pt idx="5">
                  <c:v>2020</c:v>
                </c:pt>
              </c:numCache>
            </c:numRef>
          </c:cat>
          <c:val>
            <c:numRef>
              <c:f>Lapas1!$B$2:$B$7</c:f>
              <c:numCache>
                <c:formatCode>General</c:formatCode>
                <c:ptCount val="6"/>
                <c:pt idx="0">
                  <c:v>19</c:v>
                </c:pt>
                <c:pt idx="1">
                  <c:v>19</c:v>
                </c:pt>
                <c:pt idx="2">
                  <c:v>19</c:v>
                </c:pt>
                <c:pt idx="3">
                  <c:v>19</c:v>
                </c:pt>
                <c:pt idx="4">
                  <c:v>20</c:v>
                </c:pt>
                <c:pt idx="5">
                  <c:v>20</c:v>
                </c:pt>
              </c:numCache>
            </c:numRef>
          </c:val>
          <c:smooth val="0"/>
          <c:extLst xmlns:c16r2="http://schemas.microsoft.com/office/drawing/2015/06/chart">
            <c:ext xmlns:c16="http://schemas.microsoft.com/office/drawing/2014/chart" uri="{C3380CC4-5D6E-409C-BE32-E72D297353CC}">
              <c16:uniqueId val="{00000002-5546-4C69-98A9-F10B182A1938}"/>
            </c:ext>
          </c:extLst>
        </c:ser>
        <c:dLbls>
          <c:showLegendKey val="0"/>
          <c:showVal val="0"/>
          <c:showCatName val="0"/>
          <c:showSerName val="0"/>
          <c:showPercent val="0"/>
          <c:showBubbleSize val="0"/>
        </c:dLbls>
        <c:marker val="1"/>
        <c:smooth val="0"/>
        <c:axId val="1767645712"/>
        <c:axId val="1767639184"/>
      </c:lineChart>
      <c:catAx>
        <c:axId val="176764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7639184"/>
        <c:crosses val="autoZero"/>
        <c:auto val="1"/>
        <c:lblAlgn val="ctr"/>
        <c:lblOffset val="100"/>
        <c:noMultiLvlLbl val="0"/>
      </c:catAx>
      <c:valAx>
        <c:axId val="1767639184"/>
        <c:scaling>
          <c:orientation val="minMax"/>
          <c:max val="40"/>
          <c:min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7645712"/>
        <c:crosses val="autoZero"/>
        <c:crossBetween val="between"/>
      </c:valAx>
      <c:valAx>
        <c:axId val="1767644080"/>
        <c:scaling>
          <c:orientation val="minMax"/>
          <c:max val="2007"/>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7633200"/>
        <c:crosses val="max"/>
        <c:crossBetween val="between"/>
      </c:valAx>
      <c:catAx>
        <c:axId val="1767633200"/>
        <c:scaling>
          <c:orientation val="minMax"/>
        </c:scaling>
        <c:delete val="1"/>
        <c:axPos val="b"/>
        <c:numFmt formatCode="General" sourceLinked="1"/>
        <c:majorTickMark val="out"/>
        <c:minorTickMark val="none"/>
        <c:tickLblPos val="nextTo"/>
        <c:crossAx val="1767644080"/>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a:solidFill>
                  <a:sysClr val="windowText" lastClr="000000"/>
                </a:solidFill>
                <a:latin typeface="Times New Roman" panose="02020603050405020304" pitchFamily="18" charset="0"/>
                <a:cs typeface="Times New Roman" panose="02020603050405020304" pitchFamily="18" charset="0"/>
              </a:rPr>
              <a:t>3 diagrama. </a:t>
            </a:r>
            <a:r>
              <a:rPr lang="lt-LT" sz="1200" b="0" i="0" baseline="0">
                <a:solidFill>
                  <a:sysClr val="windowText" lastClr="000000"/>
                </a:solidFill>
                <a:effectLst/>
                <a:latin typeface="Times New Roman" panose="02020603050405020304" pitchFamily="18" charset="0"/>
                <a:cs typeface="Times New Roman" panose="02020603050405020304" pitchFamily="18" charset="0"/>
              </a:rPr>
              <a:t>Strateginio plano lėšų pasiskirstymas pagal prioritetus (tūkst. Eur)</a:t>
            </a:r>
            <a:endParaRPr lang="lt-LT" sz="120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r>
              <a:rPr lang="lt-LT">
                <a:solidFill>
                  <a:sysClr val="windowText" lastClr="000000"/>
                </a:solidFill>
                <a:latin typeface="Times New Roman" panose="02020603050405020304" pitchFamily="18" charset="0"/>
                <a:cs typeface="Times New Roman" panose="02020603050405020304" pitchFamily="18" charset="0"/>
              </a:rPr>
              <a:t> </a:t>
            </a: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col"/>
        <c:grouping val="stacked"/>
        <c:varyColors val="0"/>
        <c:ser>
          <c:idx val="0"/>
          <c:order val="0"/>
          <c:tx>
            <c:strRef>
              <c:f>Lapas1!$B$1</c:f>
              <c:strCache>
                <c:ptCount val="1"/>
                <c:pt idx="0">
                  <c:v>1 seka</c:v>
                </c:pt>
              </c:strCache>
            </c:strRef>
          </c:tx>
          <c:spPr>
            <a:solidFill>
              <a:schemeClr val="accent1"/>
            </a:solidFill>
            <a:ln>
              <a:noFill/>
            </a:ln>
            <a:effectLst/>
          </c:spPr>
          <c:invertIfNegative val="0"/>
          <c:dLbls>
            <c:dLbl>
              <c:idx val="0"/>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371-4DCC-8BBE-1B05BCA71B4F}"/>
                </c:ext>
                <c:ext xmlns:c15="http://schemas.microsoft.com/office/drawing/2012/chart" uri="{CE6537A1-D6FC-4f65-9D91-7224C49458BB}">
                  <c15:layout/>
                </c:ext>
              </c:extLst>
            </c:dLbl>
            <c:dLbl>
              <c:idx val="1"/>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371-4DCC-8BBE-1B05BCA71B4F}"/>
                </c:ext>
                <c:ext xmlns:c15="http://schemas.microsoft.com/office/drawing/2012/chart" uri="{CE6537A1-D6FC-4f65-9D91-7224C49458BB}">
                  <c15:layout/>
                </c:ext>
              </c:extLst>
            </c:dLbl>
            <c:dLbl>
              <c:idx val="2"/>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371-4DCC-8BBE-1B05BCA71B4F}"/>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I prioritetas</c:v>
                </c:pt>
                <c:pt idx="1">
                  <c:v>II prioritetas</c:v>
                </c:pt>
                <c:pt idx="2">
                  <c:v>III prioritetas</c:v>
                </c:pt>
              </c:strCache>
            </c:strRef>
          </c:cat>
          <c:val>
            <c:numRef>
              <c:f>Lapas1!$B$2:$B$5</c:f>
              <c:numCache>
                <c:formatCode>General</c:formatCode>
                <c:ptCount val="4"/>
                <c:pt idx="0">
                  <c:v>6133.8</c:v>
                </c:pt>
                <c:pt idx="1">
                  <c:v>14361.6</c:v>
                </c:pt>
                <c:pt idx="2">
                  <c:v>16323.7</c:v>
                </c:pt>
              </c:numCache>
            </c:numRef>
          </c:val>
          <c:extLst xmlns:c16r2="http://schemas.microsoft.com/office/drawing/2015/06/chart">
            <c:ext xmlns:c16="http://schemas.microsoft.com/office/drawing/2014/chart" uri="{C3380CC4-5D6E-409C-BE32-E72D297353CC}">
              <c16:uniqueId val="{00000003-3371-4DCC-8BBE-1B05BCA71B4F}"/>
            </c:ext>
          </c:extLst>
        </c:ser>
        <c:ser>
          <c:idx val="1"/>
          <c:order val="1"/>
          <c:tx>
            <c:strRef>
              <c:f>Lapas1!$C$1</c:f>
              <c:strCache>
                <c:ptCount val="1"/>
                <c:pt idx="0">
                  <c:v>Stulpelis1</c:v>
                </c:pt>
              </c:strCache>
            </c:strRef>
          </c:tx>
          <c:spPr>
            <a:solidFill>
              <a:schemeClr val="accent2"/>
            </a:solidFill>
            <a:ln>
              <a:noFill/>
            </a:ln>
            <a:effectLst/>
          </c:spPr>
          <c:invertIfNegative val="0"/>
          <c:cat>
            <c:strRef>
              <c:f>Lapas1!$A$2:$A$5</c:f>
              <c:strCache>
                <c:ptCount val="3"/>
                <c:pt idx="0">
                  <c:v>I prioritetas</c:v>
                </c:pt>
                <c:pt idx="1">
                  <c:v>II prioritetas</c:v>
                </c:pt>
                <c:pt idx="2">
                  <c:v>III prioritetas</c:v>
                </c:pt>
              </c:strCache>
            </c:strRef>
          </c:cat>
          <c:val>
            <c:numRef>
              <c:f>Lapas1!$C$2:$C$5</c:f>
              <c:numCache>
                <c:formatCode>General</c:formatCode>
                <c:ptCount val="4"/>
              </c:numCache>
            </c:numRef>
          </c:val>
          <c:extLst xmlns:c16r2="http://schemas.microsoft.com/office/drawing/2015/06/chart">
            <c:ext xmlns:c16="http://schemas.microsoft.com/office/drawing/2014/chart" uri="{C3380CC4-5D6E-409C-BE32-E72D297353CC}">
              <c16:uniqueId val="{00000004-3371-4DCC-8BBE-1B05BCA71B4F}"/>
            </c:ext>
          </c:extLst>
        </c:ser>
        <c:ser>
          <c:idx val="2"/>
          <c:order val="2"/>
          <c:tx>
            <c:strRef>
              <c:f>Lapas1!$D$1</c:f>
              <c:strCache>
                <c:ptCount val="1"/>
                <c:pt idx="0">
                  <c:v>Stulpelis2</c:v>
                </c:pt>
              </c:strCache>
            </c:strRef>
          </c:tx>
          <c:spPr>
            <a:solidFill>
              <a:schemeClr val="accent3"/>
            </a:solidFill>
            <a:ln>
              <a:noFill/>
            </a:ln>
            <a:effectLst/>
          </c:spPr>
          <c:invertIfNegative val="0"/>
          <c:cat>
            <c:strRef>
              <c:f>Lapas1!$A$2:$A$5</c:f>
              <c:strCache>
                <c:ptCount val="3"/>
                <c:pt idx="0">
                  <c:v>I prioritetas</c:v>
                </c:pt>
                <c:pt idx="1">
                  <c:v>II prioritetas</c:v>
                </c:pt>
                <c:pt idx="2">
                  <c:v>III prioritetas</c:v>
                </c:pt>
              </c:strCache>
            </c:strRef>
          </c:cat>
          <c:val>
            <c:numRef>
              <c:f>Lapas1!$D$2:$D$5</c:f>
              <c:numCache>
                <c:formatCode>General</c:formatCode>
                <c:ptCount val="4"/>
              </c:numCache>
            </c:numRef>
          </c:val>
          <c:extLst xmlns:c16r2="http://schemas.microsoft.com/office/drawing/2015/06/chart">
            <c:ext xmlns:c16="http://schemas.microsoft.com/office/drawing/2014/chart" uri="{C3380CC4-5D6E-409C-BE32-E72D297353CC}">
              <c16:uniqueId val="{00000005-3371-4DCC-8BBE-1B05BCA71B4F}"/>
            </c:ext>
          </c:extLst>
        </c:ser>
        <c:dLbls>
          <c:showLegendKey val="0"/>
          <c:showVal val="0"/>
          <c:showCatName val="0"/>
          <c:showSerName val="0"/>
          <c:showPercent val="0"/>
          <c:showBubbleSize val="0"/>
        </c:dLbls>
        <c:gapWidth val="219"/>
        <c:overlap val="100"/>
        <c:axId val="1779152928"/>
        <c:axId val="1779153472"/>
      </c:barChart>
      <c:catAx>
        <c:axId val="1779152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79153472"/>
        <c:crosses val="autoZero"/>
        <c:auto val="1"/>
        <c:lblAlgn val="ctr"/>
        <c:lblOffset val="100"/>
        <c:noMultiLvlLbl val="0"/>
      </c:catAx>
      <c:valAx>
        <c:axId val="1779153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79152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200" b="0" i="0" baseline="0">
                <a:effectLst/>
                <a:latin typeface="Times New Roman" panose="02020603050405020304" pitchFamily="18" charset="0"/>
                <a:cs typeface="Times New Roman" panose="02020603050405020304" pitchFamily="18" charset="0"/>
              </a:rPr>
              <a:t>4 diagrama. Strateginio plano I prioriteto priemonių vykdymas 2020 m.</a:t>
            </a:r>
            <a:endParaRPr lang="lt-LT"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2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D7E9-4866-B370-647C2BEC3CE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D7E9-4866-B370-647C2BEC3CE2}"/>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D7E9-4866-B370-647C2BEC3CE2}"/>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D7E9-4866-B370-647C2BEC3CE2}"/>
              </c:ext>
            </c:extLst>
          </c:dPt>
          <c:dLbls>
            <c:dLbl>
              <c:idx val="0"/>
              <c:layout/>
              <c:tx>
                <c:rich>
                  <a:bodyPr/>
                  <a:lstStyle/>
                  <a:p>
                    <a:r>
                      <a:rPr lang="en-US"/>
                      <a:t>25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7E9-4866-B370-647C2BEC3CE2}"/>
                </c:ext>
                <c:ext xmlns:c15="http://schemas.microsoft.com/office/drawing/2012/chart" uri="{CE6537A1-D6FC-4f65-9D91-7224C49458BB}">
                  <c15:layout/>
                </c:ext>
              </c:extLst>
            </c:dLbl>
            <c:dLbl>
              <c:idx val="1"/>
              <c:layout/>
              <c:tx>
                <c:rich>
                  <a:bodyPr/>
                  <a:lstStyle/>
                  <a:p>
                    <a:r>
                      <a:rPr lang="en-US"/>
                      <a:t>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7E9-4866-B370-647C2BEC3CE2}"/>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Lapas1!$A$2:$A$5</c:f>
              <c:strCache>
                <c:ptCount val="2"/>
                <c:pt idx="0">
                  <c:v>Vykdoma (arba iš dalies vykdoma) priemonių</c:v>
                </c:pt>
                <c:pt idx="1">
                  <c:v>Nevykdoma priemonių</c:v>
                </c:pt>
              </c:strCache>
            </c:strRef>
          </c:cat>
          <c:val>
            <c:numRef>
              <c:f>Lapas1!$B$2:$B$5</c:f>
              <c:numCache>
                <c:formatCode>General</c:formatCode>
                <c:ptCount val="4"/>
                <c:pt idx="0">
                  <c:v>23</c:v>
                </c:pt>
                <c:pt idx="1">
                  <c:v>3</c:v>
                </c:pt>
              </c:numCache>
            </c:numRef>
          </c:val>
          <c:extLst xmlns:c16r2="http://schemas.microsoft.com/office/drawing/2015/06/chart">
            <c:ext xmlns:c16="http://schemas.microsoft.com/office/drawing/2014/chart" uri="{C3380CC4-5D6E-409C-BE32-E72D297353CC}">
              <c16:uniqueId val="{00000008-D7E9-4866-B370-647C2BEC3CE2}"/>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200">
                <a:latin typeface="Times New Roman" panose="02020603050405020304" pitchFamily="18" charset="0"/>
                <a:cs typeface="Times New Roman" panose="02020603050405020304" pitchFamily="18" charset="0"/>
              </a:rPr>
              <a:t>5 diagrama. </a:t>
            </a:r>
            <a:r>
              <a:rPr lang="lt-LT" sz="1200">
                <a:effectLst/>
                <a:latin typeface="Times New Roman" panose="02020603050405020304" pitchFamily="18" charset="0"/>
                <a:cs typeface="Times New Roman" panose="02020603050405020304" pitchFamily="18" charset="0"/>
              </a:rPr>
              <a:t>Bendrasis vidaus produktas, tenkantis 1-am gyventojui Panevėžio apskrityje (tūkst.EUR)</a:t>
            </a:r>
            <a:endParaRPr lang="lt-LT" sz="12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LR vidurkis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2014</c:v>
                </c:pt>
                <c:pt idx="1">
                  <c:v>2015</c:v>
                </c:pt>
                <c:pt idx="2">
                  <c:v>2016</c:v>
                </c:pt>
                <c:pt idx="3">
                  <c:v>2017</c:v>
                </c:pt>
                <c:pt idx="4">
                  <c:v>2019</c:v>
                </c:pt>
                <c:pt idx="5">
                  <c:v>2018</c:v>
                </c:pt>
              </c:numCache>
            </c:numRef>
          </c:cat>
          <c:val>
            <c:numRef>
              <c:f>Lapas1!$B$2:$B$7</c:f>
              <c:numCache>
                <c:formatCode>General</c:formatCode>
                <c:ptCount val="6"/>
                <c:pt idx="5">
                  <c:v>17.5</c:v>
                </c:pt>
              </c:numCache>
            </c:numRef>
          </c:val>
          <c:extLst xmlns:c16r2="http://schemas.microsoft.com/office/drawing/2015/06/chart">
            <c:ext xmlns:c16="http://schemas.microsoft.com/office/drawing/2014/chart" uri="{C3380CC4-5D6E-409C-BE32-E72D297353CC}">
              <c16:uniqueId val="{00000000-C2F8-41C2-B74D-0361DE6EE8EB}"/>
            </c:ext>
          </c:extLst>
        </c:ser>
        <c:ser>
          <c:idx val="1"/>
          <c:order val="1"/>
          <c:tx>
            <c:strRef>
              <c:f>Lapas1!$C$1</c:f>
              <c:strCache>
                <c:ptCount val="1"/>
                <c:pt idx="0">
                  <c:v>Panevėžio apskr.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2014</c:v>
                </c:pt>
                <c:pt idx="1">
                  <c:v>2015</c:v>
                </c:pt>
                <c:pt idx="2">
                  <c:v>2016</c:v>
                </c:pt>
                <c:pt idx="3">
                  <c:v>2017</c:v>
                </c:pt>
                <c:pt idx="4">
                  <c:v>2019</c:v>
                </c:pt>
                <c:pt idx="5">
                  <c:v>2018</c:v>
                </c:pt>
              </c:numCache>
            </c:numRef>
          </c:cat>
          <c:val>
            <c:numRef>
              <c:f>Lapas1!$C$2:$C$7</c:f>
              <c:numCache>
                <c:formatCode>General</c:formatCode>
                <c:ptCount val="6"/>
                <c:pt idx="0">
                  <c:v>9.3000000000000007</c:v>
                </c:pt>
                <c:pt idx="1">
                  <c:v>9.6999999999999993</c:v>
                </c:pt>
                <c:pt idx="2">
                  <c:v>10</c:v>
                </c:pt>
                <c:pt idx="3" formatCode="0.0">
                  <c:v>11</c:v>
                </c:pt>
                <c:pt idx="4" formatCode="0.0">
                  <c:v>11.9</c:v>
                </c:pt>
                <c:pt idx="5" formatCode="0.0">
                  <c:v>12.8</c:v>
                </c:pt>
              </c:numCache>
            </c:numRef>
          </c:val>
          <c:extLst xmlns:c16r2="http://schemas.microsoft.com/office/drawing/2015/06/chart">
            <c:ext xmlns:c16="http://schemas.microsoft.com/office/drawing/2014/chart" uri="{C3380CC4-5D6E-409C-BE32-E72D297353CC}">
              <c16:uniqueId val="{00000001-C2F8-41C2-B74D-0361DE6EE8EB}"/>
            </c:ext>
          </c:extLst>
        </c:ser>
        <c:dLbls>
          <c:showLegendKey val="0"/>
          <c:showVal val="0"/>
          <c:showCatName val="0"/>
          <c:showSerName val="0"/>
          <c:showPercent val="0"/>
          <c:showBubbleSize val="0"/>
        </c:dLbls>
        <c:gapWidth val="219"/>
        <c:overlap val="-27"/>
        <c:axId val="1779160544"/>
        <c:axId val="1779154016"/>
      </c:barChart>
      <c:catAx>
        <c:axId val="1779160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79154016"/>
        <c:crosses val="autoZero"/>
        <c:auto val="1"/>
        <c:lblAlgn val="ctr"/>
        <c:lblOffset val="100"/>
        <c:noMultiLvlLbl val="0"/>
      </c:catAx>
      <c:valAx>
        <c:axId val="1779154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791605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LR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2014</c:v>
                </c:pt>
                <c:pt idx="1">
                  <c:v>2015</c:v>
                </c:pt>
                <c:pt idx="2">
                  <c:v>2016</c:v>
                </c:pt>
                <c:pt idx="3">
                  <c:v>2017</c:v>
                </c:pt>
                <c:pt idx="4">
                  <c:v>2018</c:v>
                </c:pt>
                <c:pt idx="5">
                  <c:v>2019</c:v>
                </c:pt>
              </c:numCache>
            </c:numRef>
          </c:cat>
          <c:val>
            <c:numRef>
              <c:f>Lapas1!$B$2:$B$7</c:f>
              <c:numCache>
                <c:formatCode>General</c:formatCode>
                <c:ptCount val="6"/>
                <c:pt idx="0">
                  <c:v>4404</c:v>
                </c:pt>
                <c:pt idx="1">
                  <c:v>4673</c:v>
                </c:pt>
                <c:pt idx="2">
                  <c:v>4890</c:v>
                </c:pt>
                <c:pt idx="3">
                  <c:v>5275</c:v>
                </c:pt>
                <c:pt idx="4">
                  <c:v>6095</c:v>
                </c:pt>
                <c:pt idx="5">
                  <c:v>6644</c:v>
                </c:pt>
              </c:numCache>
            </c:numRef>
          </c:val>
          <c:extLst xmlns:c16r2="http://schemas.microsoft.com/office/drawing/2015/06/chart">
            <c:ext xmlns:c16="http://schemas.microsoft.com/office/drawing/2014/chart" uri="{C3380CC4-5D6E-409C-BE32-E72D297353CC}">
              <c16:uniqueId val="{00000000-6554-410C-B7CF-F5AEF54B969B}"/>
            </c:ext>
          </c:extLst>
        </c:ser>
        <c:ser>
          <c:idx val="1"/>
          <c:order val="1"/>
          <c:tx>
            <c:strRef>
              <c:f>Lapas1!$C$1</c:f>
              <c:strCache>
                <c:ptCount val="1"/>
                <c:pt idx="0">
                  <c:v>Panevėžio miestas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2014</c:v>
                </c:pt>
                <c:pt idx="1">
                  <c:v>2015</c:v>
                </c:pt>
                <c:pt idx="2">
                  <c:v>2016</c:v>
                </c:pt>
                <c:pt idx="3">
                  <c:v>2017</c:v>
                </c:pt>
                <c:pt idx="4">
                  <c:v>2018</c:v>
                </c:pt>
                <c:pt idx="5">
                  <c:v>2019</c:v>
                </c:pt>
              </c:numCache>
            </c:numRef>
          </c:cat>
          <c:val>
            <c:numRef>
              <c:f>Lapas1!$C$2:$C$7</c:f>
              <c:numCache>
                <c:formatCode>General</c:formatCode>
                <c:ptCount val="6"/>
                <c:pt idx="0">
                  <c:v>2486</c:v>
                </c:pt>
                <c:pt idx="1">
                  <c:v>2370</c:v>
                </c:pt>
                <c:pt idx="2">
                  <c:v>2567</c:v>
                </c:pt>
                <c:pt idx="3">
                  <c:v>2954</c:v>
                </c:pt>
                <c:pt idx="4">
                  <c:v>3297</c:v>
                </c:pt>
                <c:pt idx="5">
                  <c:v>3380</c:v>
                </c:pt>
              </c:numCache>
            </c:numRef>
          </c:val>
          <c:extLst xmlns:c16r2="http://schemas.microsoft.com/office/drawing/2015/06/chart">
            <c:ext xmlns:c16="http://schemas.microsoft.com/office/drawing/2014/chart" uri="{C3380CC4-5D6E-409C-BE32-E72D297353CC}">
              <c16:uniqueId val="{00000001-6554-410C-B7CF-F5AEF54B969B}"/>
            </c:ext>
          </c:extLst>
        </c:ser>
        <c:dLbls>
          <c:showLegendKey val="0"/>
          <c:showVal val="0"/>
          <c:showCatName val="0"/>
          <c:showSerName val="0"/>
          <c:showPercent val="0"/>
          <c:showBubbleSize val="0"/>
        </c:dLbls>
        <c:gapWidth val="219"/>
        <c:overlap val="-27"/>
        <c:axId val="1779158912"/>
        <c:axId val="1779157280"/>
      </c:barChart>
      <c:catAx>
        <c:axId val="1779158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79157280"/>
        <c:crosses val="autoZero"/>
        <c:auto val="1"/>
        <c:lblAlgn val="ctr"/>
        <c:lblOffset val="100"/>
        <c:noMultiLvlLbl val="0"/>
      </c:catAx>
      <c:valAx>
        <c:axId val="1779157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791589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Panevėžio miestas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2014</c:v>
                </c:pt>
                <c:pt idx="1">
                  <c:v>2015</c:v>
                </c:pt>
                <c:pt idx="2">
                  <c:v>2016</c:v>
                </c:pt>
                <c:pt idx="3">
                  <c:v>2017</c:v>
                </c:pt>
                <c:pt idx="4">
                  <c:v>2018</c:v>
                </c:pt>
                <c:pt idx="5">
                  <c:v>2019</c:v>
                </c:pt>
              </c:numCache>
            </c:numRef>
          </c:cat>
          <c:val>
            <c:numRef>
              <c:f>Lapas1!$B$2:$B$7</c:f>
              <c:numCache>
                <c:formatCode>General</c:formatCode>
                <c:ptCount val="6"/>
                <c:pt idx="0">
                  <c:v>225.8</c:v>
                </c:pt>
                <c:pt idx="1">
                  <c:v>223.2</c:v>
                </c:pt>
                <c:pt idx="2">
                  <c:v>232.6</c:v>
                </c:pt>
                <c:pt idx="3">
                  <c:v>255.9</c:v>
                </c:pt>
                <c:pt idx="4">
                  <c:v>278.8</c:v>
                </c:pt>
                <c:pt idx="5">
                  <c:v>290.3</c:v>
                </c:pt>
              </c:numCache>
            </c:numRef>
          </c:val>
          <c:extLst xmlns:c16r2="http://schemas.microsoft.com/office/drawing/2015/06/chart">
            <c:ext xmlns:c16="http://schemas.microsoft.com/office/drawing/2014/chart" uri="{C3380CC4-5D6E-409C-BE32-E72D297353CC}">
              <c16:uniqueId val="{00000000-638A-4813-9F0F-991D778A8255}"/>
            </c:ext>
          </c:extLst>
        </c:ser>
        <c:dLbls>
          <c:showLegendKey val="0"/>
          <c:showVal val="0"/>
          <c:showCatName val="0"/>
          <c:showSerName val="0"/>
          <c:showPercent val="0"/>
          <c:showBubbleSize val="0"/>
        </c:dLbls>
        <c:gapWidth val="219"/>
        <c:overlap val="-27"/>
        <c:axId val="1779159456"/>
        <c:axId val="1779154560"/>
      </c:barChart>
      <c:catAx>
        <c:axId val="1779159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79154560"/>
        <c:crosses val="autoZero"/>
        <c:auto val="1"/>
        <c:lblAlgn val="ctr"/>
        <c:lblOffset val="100"/>
        <c:noMultiLvlLbl val="0"/>
      </c:catAx>
      <c:valAx>
        <c:axId val="1779154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791594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solidFill>
                <a:latin typeface="+mn-lt"/>
                <a:ea typeface="+mn-ea"/>
                <a:cs typeface="+mn-cs"/>
              </a:defRPr>
            </a:pPr>
            <a:r>
              <a:rPr lang="lt-LT" sz="1100">
                <a:solidFill>
                  <a:sysClr val="windowText" lastClr="000000"/>
                </a:solidFill>
                <a:effectLst/>
                <a:latin typeface="Times New Roman" panose="02020603050405020304" pitchFamily="18" charset="0"/>
                <a:cs typeface="Times New Roman" panose="02020603050405020304" pitchFamily="18" charset="0"/>
              </a:rPr>
              <a:t>8 diagrama. Šalys investuotojos į Panevėžio apskritį 2019 metai (mln. EUR)</a:t>
            </a: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Lapas1!$A$2:$A$9</c:f>
              <c:strCache>
                <c:ptCount val="8"/>
                <c:pt idx="0">
                  <c:v>Danija</c:v>
                </c:pt>
                <c:pt idx="1">
                  <c:v>Prancūzija</c:v>
                </c:pt>
                <c:pt idx="2">
                  <c:v>Šveicarija</c:v>
                </c:pt>
                <c:pt idx="3">
                  <c:v>Estija</c:v>
                </c:pt>
                <c:pt idx="4">
                  <c:v>Vokietija</c:v>
                </c:pt>
                <c:pt idx="5">
                  <c:v>Norvegija</c:v>
                </c:pt>
                <c:pt idx="6">
                  <c:v>Nyderlandai</c:v>
                </c:pt>
                <c:pt idx="7">
                  <c:v>Švedija</c:v>
                </c:pt>
              </c:strCache>
            </c:strRef>
          </c:cat>
          <c:val>
            <c:numRef>
              <c:f>Lapas1!$B$2:$B$9</c:f>
              <c:numCache>
                <c:formatCode>General</c:formatCode>
                <c:ptCount val="8"/>
                <c:pt idx="0">
                  <c:v>87.9</c:v>
                </c:pt>
                <c:pt idx="1">
                  <c:v>61.9</c:v>
                </c:pt>
                <c:pt idx="2" formatCode="0.0">
                  <c:v>52.4</c:v>
                </c:pt>
                <c:pt idx="3">
                  <c:v>42.5</c:v>
                </c:pt>
                <c:pt idx="4" formatCode="0.0">
                  <c:v>42</c:v>
                </c:pt>
                <c:pt idx="5" formatCode="0.0">
                  <c:v>28.4</c:v>
                </c:pt>
                <c:pt idx="6" formatCode="0.0">
                  <c:v>10</c:v>
                </c:pt>
                <c:pt idx="7">
                  <c:v>9.4</c:v>
                </c:pt>
              </c:numCache>
            </c:numRef>
          </c:val>
          <c:extLst xmlns:c16r2="http://schemas.microsoft.com/office/drawing/2015/06/chart">
            <c:ext xmlns:c16="http://schemas.microsoft.com/office/drawing/2014/chart" uri="{C3380CC4-5D6E-409C-BE32-E72D297353CC}">
              <c16:uniqueId val="{00000000-4C38-4BFA-B963-1D645FC1F034}"/>
            </c:ext>
          </c:extLst>
        </c:ser>
        <c:dLbls>
          <c:showLegendKey val="0"/>
          <c:showVal val="0"/>
          <c:showCatName val="0"/>
          <c:showSerName val="0"/>
          <c:showPercent val="0"/>
          <c:showBubbleSize val="0"/>
        </c:dLbls>
        <c:gapWidth val="219"/>
        <c:overlap val="-27"/>
        <c:axId val="1779155648"/>
        <c:axId val="1779158368"/>
      </c:barChart>
      <c:catAx>
        <c:axId val="1779155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79158368"/>
        <c:crosses val="autoZero"/>
        <c:auto val="1"/>
        <c:lblAlgn val="ctr"/>
        <c:lblOffset val="100"/>
        <c:noMultiLvlLbl val="0"/>
      </c:catAx>
      <c:valAx>
        <c:axId val="1779158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79155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84106153397496E-2"/>
          <c:y val="8.4848484848484854E-2"/>
          <c:w val="0.90849737532808394"/>
          <c:h val="0.6541006919589597"/>
        </c:manualLayout>
      </c:layout>
      <c:barChart>
        <c:barDir val="col"/>
        <c:grouping val="clustered"/>
        <c:varyColors val="0"/>
        <c:ser>
          <c:idx val="0"/>
          <c:order val="0"/>
          <c:tx>
            <c:strRef>
              <c:f>Lapas1!$B$1</c:f>
              <c:strCache>
                <c:ptCount val="1"/>
                <c:pt idx="0">
                  <c:v>Panevėžio miestas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2014</c:v>
                </c:pt>
                <c:pt idx="1">
                  <c:v>2015</c:v>
                </c:pt>
                <c:pt idx="2">
                  <c:v>2016</c:v>
                </c:pt>
                <c:pt idx="3">
                  <c:v>2017</c:v>
                </c:pt>
                <c:pt idx="4">
                  <c:v>2018</c:v>
                </c:pt>
                <c:pt idx="5">
                  <c:v>2019</c:v>
                </c:pt>
              </c:numCache>
            </c:numRef>
          </c:cat>
          <c:val>
            <c:numRef>
              <c:f>Lapas1!$B$2:$B$7</c:f>
              <c:numCache>
                <c:formatCode>General</c:formatCode>
                <c:ptCount val="6"/>
                <c:pt idx="0">
                  <c:v>135.6</c:v>
                </c:pt>
                <c:pt idx="1">
                  <c:v>116.8</c:v>
                </c:pt>
                <c:pt idx="2">
                  <c:v>145.9</c:v>
                </c:pt>
                <c:pt idx="3">
                  <c:v>196.3</c:v>
                </c:pt>
                <c:pt idx="4">
                  <c:v>199.5</c:v>
                </c:pt>
                <c:pt idx="5">
                  <c:v>180.9</c:v>
                </c:pt>
              </c:numCache>
            </c:numRef>
          </c:val>
          <c:extLst xmlns:c16r2="http://schemas.microsoft.com/office/drawing/2015/06/chart">
            <c:ext xmlns:c16="http://schemas.microsoft.com/office/drawing/2014/chart" uri="{C3380CC4-5D6E-409C-BE32-E72D297353CC}">
              <c16:uniqueId val="{00000000-FD8E-4542-97FE-38AC73125178}"/>
            </c:ext>
          </c:extLst>
        </c:ser>
        <c:dLbls>
          <c:showLegendKey val="0"/>
          <c:showVal val="0"/>
          <c:showCatName val="0"/>
          <c:showSerName val="0"/>
          <c:showPercent val="0"/>
          <c:showBubbleSize val="0"/>
        </c:dLbls>
        <c:gapWidth val="219"/>
        <c:overlap val="-27"/>
        <c:axId val="1768742560"/>
        <c:axId val="1768736576"/>
      </c:barChart>
      <c:catAx>
        <c:axId val="1768742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8736576"/>
        <c:crosses val="autoZero"/>
        <c:auto val="1"/>
        <c:lblAlgn val="ctr"/>
        <c:lblOffset val="100"/>
        <c:noMultiLvlLbl val="0"/>
      </c:catAx>
      <c:valAx>
        <c:axId val="1768736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87425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92021-ADD0-49C3-90FE-027BE93EB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1362</Words>
  <Characters>9534</Characters>
  <Application>Microsoft Office Word</Application>
  <DocSecurity>4</DocSecurity>
  <Lines>79</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Analizės pateikimo struktūra</vt:lpstr>
      <vt:lpstr>Analizės pateikimo struktūra</vt:lpstr>
    </vt:vector>
  </TitlesOfParts>
  <Company>Home</Company>
  <LinksUpToDate>false</LinksUpToDate>
  <CharactersWithSpaces>10875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Analizės pateikimo struktūra</dc:title>
  <dc:creator>Asta1</dc:creator>
  <cp:lastModifiedBy>Daiva Breivienė</cp:lastModifiedBy>
  <cp:revision>2</cp:revision>
  <cp:lastPrinted>2017-08-10T07:38:00Z</cp:lastPrinted>
  <dcterms:created xsi:type="dcterms:W3CDTF">2021-11-11T13:35:00Z</dcterms:created>
  <dcterms:modified xsi:type="dcterms:W3CDTF">2021-11-11T13:35:00Z</dcterms:modified>
</cp:coreProperties>
</file>