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3063A5" w14:textId="77777777" w:rsidR="007C4B79" w:rsidRPr="00FB6B5B" w:rsidRDefault="00EB30E5" w:rsidP="007C4B79">
      <w:pPr>
        <w:jc w:val="center"/>
        <w:rPr>
          <w:b/>
        </w:rPr>
      </w:pPr>
      <w:bookmarkStart w:id="0" w:name="_GoBack"/>
      <w:bookmarkEnd w:id="0"/>
      <w:r w:rsidRPr="00FB6B5B">
        <w:rPr>
          <w:b/>
        </w:rPr>
        <w:t>AIŠKINAMASIS RAŠTAS</w:t>
      </w:r>
    </w:p>
    <w:p w14:paraId="086B5EE0" w14:textId="77777777" w:rsidR="007C4B79" w:rsidRPr="00FB6B5B" w:rsidRDefault="007C4B79" w:rsidP="007C4B79">
      <w:pPr>
        <w:pStyle w:val="Pagrindinistekstas2"/>
        <w:rPr>
          <w:noProof/>
          <w:sz w:val="24"/>
          <w:szCs w:val="24"/>
        </w:rPr>
      </w:pPr>
    </w:p>
    <w:p w14:paraId="1A23781E" w14:textId="50D4E1D9" w:rsidR="00701C13" w:rsidRPr="00FB6B5B" w:rsidRDefault="00701C13" w:rsidP="00701C13">
      <w:pPr>
        <w:jc w:val="center"/>
        <w:rPr>
          <w:b/>
        </w:rPr>
      </w:pPr>
      <w:r w:rsidRPr="00FB6B5B">
        <w:rPr>
          <w:b/>
        </w:rPr>
        <w:t>DĖL PRITARIMO PANEVĖŽIO MIESTO PLĖTROS 2014–2020 METŲ STRATEGINIO PLANO ĮGYVENDINIMO 20</w:t>
      </w:r>
      <w:r w:rsidR="00FB6B5B" w:rsidRPr="00FB6B5B">
        <w:rPr>
          <w:b/>
        </w:rPr>
        <w:t>20</w:t>
      </w:r>
      <w:r w:rsidRPr="00FB6B5B">
        <w:rPr>
          <w:b/>
        </w:rPr>
        <w:t xml:space="preserve"> METŲ ATASKAITAI</w:t>
      </w:r>
    </w:p>
    <w:p w14:paraId="5DC3C7FA" w14:textId="218FF2D5" w:rsidR="004B1858" w:rsidRPr="00797A91" w:rsidRDefault="004B1858" w:rsidP="00701C13">
      <w:pPr>
        <w:jc w:val="center"/>
        <w:rPr>
          <w:b/>
        </w:rPr>
      </w:pPr>
      <w:r w:rsidRPr="00797A91">
        <w:rPr>
          <w:b/>
        </w:rPr>
        <w:t>20</w:t>
      </w:r>
      <w:r w:rsidR="00CB3354" w:rsidRPr="00797A91">
        <w:rPr>
          <w:b/>
        </w:rPr>
        <w:t>2</w:t>
      </w:r>
      <w:r w:rsidR="00FB6B5B" w:rsidRPr="00797A91">
        <w:rPr>
          <w:b/>
        </w:rPr>
        <w:t>1</w:t>
      </w:r>
      <w:r w:rsidRPr="00797A91">
        <w:rPr>
          <w:b/>
        </w:rPr>
        <w:t>-</w:t>
      </w:r>
      <w:r w:rsidR="00797A91" w:rsidRPr="00797A91">
        <w:rPr>
          <w:b/>
        </w:rPr>
        <w:t>1</w:t>
      </w:r>
      <w:r w:rsidR="00FE228D">
        <w:rPr>
          <w:b/>
        </w:rPr>
        <w:t>1</w:t>
      </w:r>
      <w:r w:rsidR="00C41948" w:rsidRPr="00797A91">
        <w:rPr>
          <w:b/>
        </w:rPr>
        <w:t>-</w:t>
      </w:r>
      <w:r w:rsidR="00FE228D">
        <w:rPr>
          <w:b/>
        </w:rPr>
        <w:t>10</w:t>
      </w:r>
    </w:p>
    <w:p w14:paraId="478F1C84" w14:textId="77777777" w:rsidR="007F0796" w:rsidRDefault="007F0796" w:rsidP="000A2ADE">
      <w:pPr>
        <w:tabs>
          <w:tab w:val="left" w:pos="0"/>
        </w:tabs>
        <w:jc w:val="both"/>
        <w:rPr>
          <w:b/>
        </w:rPr>
      </w:pPr>
    </w:p>
    <w:p w14:paraId="15CA15C0" w14:textId="299155A3" w:rsidR="00EB30E5" w:rsidRPr="00FB6B5B" w:rsidRDefault="00EB30E5" w:rsidP="000A2ADE">
      <w:pPr>
        <w:tabs>
          <w:tab w:val="left" w:pos="0"/>
        </w:tabs>
        <w:jc w:val="both"/>
      </w:pPr>
      <w:r w:rsidRPr="00FB6B5B">
        <w:rPr>
          <w:b/>
        </w:rPr>
        <w:t>1.Problemos esmė</w:t>
      </w:r>
      <w:r w:rsidRPr="00FB6B5B">
        <w:t xml:space="preserve">: </w:t>
      </w:r>
    </w:p>
    <w:p w14:paraId="7B358600" w14:textId="77777777" w:rsidR="00ED73F5" w:rsidRPr="00ED73F5" w:rsidRDefault="00ED73F5" w:rsidP="00ED73F5">
      <w:pPr>
        <w:ind w:firstLine="748"/>
        <w:jc w:val="both"/>
        <w:rPr>
          <w:bCs/>
        </w:rPr>
      </w:pPr>
      <w:r w:rsidRPr="00ED73F5">
        <w:rPr>
          <w:bCs/>
        </w:rPr>
        <w:t xml:space="preserve">2013 m. spalio 10 d. Panevėžio miesto tarybos sprendimu Nr. 1-280 (su vėlesniais pakeitimais) buvo patvirtintas Panevėžio miesto plėtros 2014–2020 metų strateginis. Dokumentas buvo išdėstytas nauja redakcija 2 kartus – 2016 m. vasario 22 d. PMS tarybos sprendimu Nr. 1-41 ir 2017 m. sausio 26 d. </w:t>
      </w:r>
      <w:r w:rsidRPr="00ED73F5">
        <w:t>PMS tarybos sprendimu Nr. 1-8.</w:t>
      </w:r>
    </w:p>
    <w:p w14:paraId="20A0F83E" w14:textId="7ED6191D" w:rsidR="00EE5B0A" w:rsidRPr="00EE5B0A" w:rsidRDefault="007E03A6" w:rsidP="00EE5B0A">
      <w:pPr>
        <w:ind w:firstLine="748"/>
        <w:jc w:val="both"/>
      </w:pPr>
      <w:r w:rsidRPr="00FB6B5B">
        <w:t>20</w:t>
      </w:r>
      <w:r w:rsidR="00DD673B">
        <w:t>2</w:t>
      </w:r>
      <w:r w:rsidR="00EE5B0A">
        <w:t>1</w:t>
      </w:r>
      <w:r w:rsidRPr="00FB6B5B">
        <w:t xml:space="preserve"> m. </w:t>
      </w:r>
      <w:r w:rsidR="00EE5B0A">
        <w:t xml:space="preserve">liepos 1 </w:t>
      </w:r>
      <w:r w:rsidRPr="00FB6B5B">
        <w:t xml:space="preserve">d. sprendimu </w:t>
      </w:r>
      <w:r w:rsidR="00DD673B">
        <w:t>Nr.1-</w:t>
      </w:r>
      <w:r w:rsidR="00EE5B0A">
        <w:t>203</w:t>
      </w:r>
      <w:r w:rsidR="00DD673B">
        <w:t xml:space="preserve"> </w:t>
      </w:r>
      <w:r w:rsidRPr="00FB6B5B">
        <w:t>patvirtinta</w:t>
      </w:r>
      <w:r w:rsidR="002C5927" w:rsidRPr="00FB6B5B">
        <w:t>s</w:t>
      </w:r>
      <w:r w:rsidR="00FC6296" w:rsidRPr="00FB6B5B">
        <w:t xml:space="preserve"> </w:t>
      </w:r>
      <w:r w:rsidR="00B66D4B" w:rsidRPr="00B66D4B">
        <w:t xml:space="preserve">Panevėžio miesto savivaldybės strateginio planavimo organizavimo </w:t>
      </w:r>
      <w:r w:rsidRPr="00FB6B5B">
        <w:t>tvarkos aprašas</w:t>
      </w:r>
      <w:r w:rsidR="00FC6296" w:rsidRPr="00FB6B5B">
        <w:t xml:space="preserve">. </w:t>
      </w:r>
    </w:p>
    <w:p w14:paraId="1B7E3B44" w14:textId="5526C228" w:rsidR="00FC6296" w:rsidRDefault="00FC6296" w:rsidP="000A2ADE">
      <w:pPr>
        <w:ind w:firstLine="748"/>
        <w:jc w:val="both"/>
      </w:pPr>
      <w:r w:rsidRPr="00FB6B5B">
        <w:t xml:space="preserve">Pagal Savivaldybės tarybos patvirtintą </w:t>
      </w:r>
      <w:r w:rsidR="007E03A6" w:rsidRPr="00FB6B5B">
        <w:t xml:space="preserve">Panevėžio miesto plėtros </w:t>
      </w:r>
      <w:r w:rsidRPr="00FB6B5B">
        <w:t xml:space="preserve">strateginio plano </w:t>
      </w:r>
      <w:r w:rsidR="00AB6A08">
        <w:t>organizavimo</w:t>
      </w:r>
      <w:r w:rsidR="007E03A6" w:rsidRPr="00FB6B5B">
        <w:t xml:space="preserve"> tvarkos aprašą</w:t>
      </w:r>
      <w:r w:rsidRPr="00FB6B5B">
        <w:t xml:space="preserve">, Savivaldybės taryba kiekvienais metais </w:t>
      </w:r>
      <w:r w:rsidR="00464A5B" w:rsidRPr="00FB6B5B">
        <w:t xml:space="preserve">svarsto ir </w:t>
      </w:r>
      <w:r w:rsidR="00913154" w:rsidRPr="00FB6B5B">
        <w:t xml:space="preserve">priima sprendimus dėl </w:t>
      </w:r>
      <w:r w:rsidRPr="00FB6B5B">
        <w:t xml:space="preserve"> Strateginio plano įgyvendinimo.</w:t>
      </w:r>
    </w:p>
    <w:p w14:paraId="4AF35418" w14:textId="77777777" w:rsidR="00326A91" w:rsidRPr="00FB6B5B" w:rsidRDefault="00326A91" w:rsidP="000A2ADE">
      <w:pPr>
        <w:ind w:firstLine="748"/>
        <w:jc w:val="both"/>
      </w:pPr>
    </w:p>
    <w:p w14:paraId="29A7C6AE" w14:textId="3A4276BE" w:rsidR="00EB30E5" w:rsidRPr="00FD4216" w:rsidRDefault="00EB30E5" w:rsidP="000A2ADE">
      <w:pPr>
        <w:tabs>
          <w:tab w:val="left" w:pos="0"/>
        </w:tabs>
        <w:ind w:hanging="360"/>
        <w:jc w:val="both"/>
      </w:pPr>
      <w:r w:rsidRPr="00FB6B5B">
        <w:rPr>
          <w:b/>
          <w:color w:val="FF0000"/>
        </w:rPr>
        <w:tab/>
      </w:r>
      <w:r w:rsidRPr="00FD4216">
        <w:rPr>
          <w:b/>
        </w:rPr>
        <w:t>2.Kaip šiuo metu sprendžiami sprendimo projekte aptarti klausimai:</w:t>
      </w:r>
      <w:r w:rsidRPr="00FD4216">
        <w:t xml:space="preserve"> </w:t>
      </w:r>
    </w:p>
    <w:p w14:paraId="247DC9BE" w14:textId="19BFA447" w:rsidR="0074483A" w:rsidRDefault="00EB30E5" w:rsidP="000A2ADE">
      <w:pPr>
        <w:ind w:firstLine="748"/>
        <w:jc w:val="both"/>
      </w:pPr>
      <w:r w:rsidRPr="00FD4216">
        <w:t>Panevėžio miesto savivaldybės tarybos sprendimu patvirtin</w:t>
      </w:r>
      <w:r w:rsidR="003A13AC">
        <w:t>tas</w:t>
      </w:r>
      <w:r w:rsidRPr="00FD4216">
        <w:t xml:space="preserve"> Panevėžio miesto plėtros strateginio plano </w:t>
      </w:r>
      <w:r w:rsidR="00FD4216" w:rsidRPr="00FD4216">
        <w:t>organizavimo</w:t>
      </w:r>
      <w:r w:rsidRPr="00FD4216">
        <w:t xml:space="preserve"> tvark</w:t>
      </w:r>
      <w:r w:rsidR="00FD4216" w:rsidRPr="00FD4216">
        <w:t>os apraš</w:t>
      </w:r>
      <w:r w:rsidR="003A13AC">
        <w:t>as</w:t>
      </w:r>
      <w:r w:rsidRPr="00FD4216">
        <w:t>, kuri</w:t>
      </w:r>
      <w:r w:rsidR="00FD4216" w:rsidRPr="00FD4216">
        <w:t>s</w:t>
      </w:r>
      <w:r w:rsidRPr="00FD4216">
        <w:t xml:space="preserve"> sudaro sąlygas kontroliuoti Panevėžio miesto plėtros strateginio plano įgyvendinimą, kasmetinį plano įgyvendinimo darbų ciklą bei įgyvendinimo rodiklių ir sąnaudų sistemą. </w:t>
      </w:r>
      <w:r w:rsidRPr="003A13AC">
        <w:t>Vadovaudamasi tvark</w:t>
      </w:r>
      <w:r w:rsidR="00FD4216" w:rsidRPr="003A13AC">
        <w:t>os aprašu</w:t>
      </w:r>
      <w:r w:rsidRPr="003A13AC">
        <w:t>, Savivaldybės administracij</w:t>
      </w:r>
      <w:r w:rsidR="00464A5B" w:rsidRPr="003A13AC">
        <w:t xml:space="preserve">a </w:t>
      </w:r>
      <w:r w:rsidR="00687035" w:rsidRPr="003A13AC">
        <w:t>parengė</w:t>
      </w:r>
      <w:r w:rsidRPr="003A13AC">
        <w:t xml:space="preserve"> Panevėžio miesto plėtros 20</w:t>
      </w:r>
      <w:r w:rsidR="006C23E1" w:rsidRPr="003A13AC">
        <w:t>14</w:t>
      </w:r>
      <w:r w:rsidRPr="003A13AC">
        <w:t>-20</w:t>
      </w:r>
      <w:r w:rsidR="006C23E1" w:rsidRPr="003A13AC">
        <w:t>20</w:t>
      </w:r>
      <w:r w:rsidRPr="003A13AC">
        <w:t xml:space="preserve"> metų strateginio plano vykdymo ataskaitą už 20</w:t>
      </w:r>
      <w:r w:rsidR="003A13AC" w:rsidRPr="003A13AC">
        <w:t>20</w:t>
      </w:r>
      <w:r w:rsidRPr="003A13AC">
        <w:t xml:space="preserve"> metus </w:t>
      </w:r>
      <w:bookmarkStart w:id="1" w:name="_Hlk82680708"/>
      <w:r w:rsidRPr="003A13AC">
        <w:t>–</w:t>
      </w:r>
      <w:bookmarkEnd w:id="1"/>
      <w:r w:rsidRPr="003A13AC">
        <w:t xml:space="preserve"> surinko duomenis iš plano veiksmų vykdytojų (Panevėžio miesto savivaldybės administracijos padalinių, Savivaldybės įmonių, biudžetinių ir viešųjų įstaigų, Panevėžio </w:t>
      </w:r>
      <w:r w:rsidR="00AF03D4" w:rsidRPr="003A13AC">
        <w:t xml:space="preserve">teritorinės </w:t>
      </w:r>
      <w:r w:rsidRPr="003A13AC">
        <w:t xml:space="preserve">darbo biržos, Vyriausiojo policijos komisariato, Kauno technologijos Panevėžio instituto, Panevėžio kolegijos) ir </w:t>
      </w:r>
      <w:r w:rsidR="00687035" w:rsidRPr="003A13AC">
        <w:t>parengė</w:t>
      </w:r>
      <w:r w:rsidRPr="003A13AC">
        <w:t xml:space="preserve"> plano veiksmų įgyvendinimo analizę.</w:t>
      </w:r>
      <w:r w:rsidR="00A60693" w:rsidRPr="003A13AC">
        <w:t xml:space="preserve"> </w:t>
      </w:r>
    </w:p>
    <w:p w14:paraId="680DE679" w14:textId="568D9912" w:rsidR="002C0AEE" w:rsidRDefault="002C0AEE" w:rsidP="000A2ADE">
      <w:pPr>
        <w:ind w:firstLine="748"/>
        <w:jc w:val="both"/>
        <w:rPr>
          <w:i/>
        </w:rPr>
      </w:pPr>
      <w:r>
        <w:t xml:space="preserve">Dokumente išskirti 3 miesto plėtros prioritetai: 1. </w:t>
      </w:r>
      <w:r w:rsidRPr="002C0AEE">
        <w:rPr>
          <w:i/>
        </w:rPr>
        <w:t>Panevėžio konkurencinio (metropolinio) potencialo stiprinimas</w:t>
      </w:r>
      <w:r w:rsidR="00302F1D">
        <w:rPr>
          <w:i/>
        </w:rPr>
        <w:t>,</w:t>
      </w:r>
      <w:r>
        <w:rPr>
          <w:i/>
        </w:rPr>
        <w:t xml:space="preserve"> 2. </w:t>
      </w:r>
      <w:r w:rsidRPr="002C0AEE">
        <w:rPr>
          <w:i/>
        </w:rPr>
        <w:t>Kokybiškų gyvenimo sąlygų ir aukštos socialinės gerovės kūrimas</w:t>
      </w:r>
      <w:r>
        <w:rPr>
          <w:i/>
        </w:rPr>
        <w:t xml:space="preserve">, 3. </w:t>
      </w:r>
      <w:r w:rsidRPr="002C0AEE">
        <w:rPr>
          <w:i/>
        </w:rPr>
        <w:t>Darni miesto teritorijų ir infrastruktūros plėtra</w:t>
      </w:r>
      <w:r>
        <w:rPr>
          <w:i/>
        </w:rPr>
        <w:t xml:space="preserve">. </w:t>
      </w:r>
    </w:p>
    <w:p w14:paraId="2C16E1B8" w14:textId="77777777" w:rsidR="001B5B5B" w:rsidRDefault="002C0AEE" w:rsidP="000A2ADE">
      <w:pPr>
        <w:ind w:firstLine="748"/>
        <w:jc w:val="both"/>
        <w:rPr>
          <w:iCs/>
        </w:rPr>
      </w:pPr>
      <w:r w:rsidRPr="002C0AEE">
        <w:rPr>
          <w:iCs/>
        </w:rPr>
        <w:t>Sprendimo projektą</w:t>
      </w:r>
      <w:r>
        <w:rPr>
          <w:iCs/>
        </w:rPr>
        <w:t xml:space="preserve">, kuriuo tvirtinama ilgalaikio </w:t>
      </w:r>
      <w:r w:rsidR="00933B1D">
        <w:rPr>
          <w:iCs/>
        </w:rPr>
        <w:t>plano ataskaita sudaro 3 dalys:</w:t>
      </w:r>
    </w:p>
    <w:p w14:paraId="1B3ACC52" w14:textId="27CC8582" w:rsidR="00BF698A" w:rsidRDefault="00933B1D" w:rsidP="000A2ADE">
      <w:pPr>
        <w:ind w:firstLine="748"/>
        <w:jc w:val="both"/>
        <w:rPr>
          <w:iCs/>
        </w:rPr>
      </w:pPr>
      <w:r>
        <w:rPr>
          <w:iCs/>
        </w:rPr>
        <w:t xml:space="preserve">1. </w:t>
      </w:r>
      <w:r w:rsidRPr="00933B1D">
        <w:rPr>
          <w:i/>
        </w:rPr>
        <w:t>Vizijos rodikliai</w:t>
      </w:r>
      <w:r>
        <w:rPr>
          <w:iCs/>
        </w:rPr>
        <w:t xml:space="preserve">. </w:t>
      </w:r>
      <w:r w:rsidR="002C0AEE" w:rsidRPr="002C0AEE">
        <w:rPr>
          <w:iCs/>
        </w:rPr>
        <w:t xml:space="preserve"> </w:t>
      </w:r>
      <w:r w:rsidR="00C50677">
        <w:rPr>
          <w:iCs/>
        </w:rPr>
        <w:t>Šie</w:t>
      </w:r>
      <w:r>
        <w:rPr>
          <w:iCs/>
        </w:rPr>
        <w:t xml:space="preserve"> rodikliai parodo strateginio plano veiksmų įgyvendinimo poveikį trijų pagrindinių miesto sektorių</w:t>
      </w:r>
      <w:r w:rsidR="001B5B5B">
        <w:rPr>
          <w:iCs/>
        </w:rPr>
        <w:t xml:space="preserve"> – visuomenės, ekonomikos, aplinkos </w:t>
      </w:r>
      <w:r w:rsidR="001B5B5B" w:rsidRPr="001B5B5B">
        <w:rPr>
          <w:iCs/>
        </w:rPr>
        <w:t>–</w:t>
      </w:r>
      <w:r w:rsidR="001B5B5B">
        <w:rPr>
          <w:iCs/>
        </w:rPr>
        <w:t xml:space="preserve"> raidai ir artėjimą prie vizijos.</w:t>
      </w:r>
    </w:p>
    <w:p w14:paraId="6345AEA0" w14:textId="1F6B00D7" w:rsidR="001B5B5B" w:rsidRDefault="001B5B5B" w:rsidP="000A2ADE">
      <w:pPr>
        <w:ind w:firstLine="748"/>
        <w:jc w:val="both"/>
        <w:rPr>
          <w:bCs/>
          <w:iCs/>
        </w:rPr>
      </w:pPr>
      <w:r w:rsidRPr="001B5B5B">
        <w:rPr>
          <w:bCs/>
          <w:iCs/>
        </w:rPr>
        <w:t xml:space="preserve">2. </w:t>
      </w:r>
      <w:r w:rsidR="00BF698A" w:rsidRPr="00C50677">
        <w:rPr>
          <w:bCs/>
          <w:i/>
        </w:rPr>
        <w:t>Prioritetų rodikliai</w:t>
      </w:r>
      <w:r w:rsidR="00BF698A">
        <w:rPr>
          <w:bCs/>
          <w:iCs/>
        </w:rPr>
        <w:t>. Šie rodikliai parodo kaip sekasi įgyvendinti prioritetus per tikslus ir u</w:t>
      </w:r>
      <w:r w:rsidR="00C50677">
        <w:rPr>
          <w:bCs/>
          <w:iCs/>
        </w:rPr>
        <w:t>ždavinius.</w:t>
      </w:r>
    </w:p>
    <w:p w14:paraId="670BE9DB" w14:textId="4925AA25" w:rsidR="00C50677" w:rsidRDefault="00C50677" w:rsidP="000A2ADE">
      <w:pPr>
        <w:ind w:firstLine="748"/>
        <w:jc w:val="both"/>
        <w:rPr>
          <w:bCs/>
          <w:iCs/>
        </w:rPr>
      </w:pPr>
      <w:r>
        <w:rPr>
          <w:bCs/>
          <w:iCs/>
        </w:rPr>
        <w:t xml:space="preserve">3. </w:t>
      </w:r>
      <w:r w:rsidR="00B9697C" w:rsidRPr="00B9697C">
        <w:rPr>
          <w:bCs/>
          <w:i/>
        </w:rPr>
        <w:t>Priemonių rodikliai.</w:t>
      </w:r>
      <w:r w:rsidR="00B9697C">
        <w:rPr>
          <w:bCs/>
          <w:iCs/>
        </w:rPr>
        <w:t xml:space="preserve"> Šie rodikliai apibūdina konkreči</w:t>
      </w:r>
      <w:r w:rsidR="007E71A5">
        <w:rPr>
          <w:bCs/>
          <w:iCs/>
        </w:rPr>
        <w:t>os</w:t>
      </w:r>
      <w:r w:rsidR="00B9697C">
        <w:rPr>
          <w:bCs/>
          <w:iCs/>
        </w:rPr>
        <w:t xml:space="preserve"> priemonės įgyvendinimą.</w:t>
      </w:r>
    </w:p>
    <w:p w14:paraId="44FD287B" w14:textId="3F06C4C2" w:rsidR="003C249F" w:rsidRDefault="003C249F" w:rsidP="000A2ADE">
      <w:pPr>
        <w:ind w:firstLine="748"/>
        <w:jc w:val="both"/>
        <w:rPr>
          <w:bCs/>
          <w:iCs/>
        </w:rPr>
      </w:pPr>
    </w:p>
    <w:p w14:paraId="1425B266" w14:textId="77777777" w:rsidR="003C249F" w:rsidRPr="003C249F" w:rsidRDefault="003C249F" w:rsidP="000A2ADE">
      <w:pPr>
        <w:ind w:firstLine="748"/>
        <w:jc w:val="both"/>
        <w:rPr>
          <w:bCs/>
          <w:i/>
        </w:rPr>
      </w:pPr>
      <w:r w:rsidRPr="003C249F">
        <w:rPr>
          <w:b/>
          <w:iCs/>
        </w:rPr>
        <w:t>Pagrindiniai Panevėžio SPP ataskaitos rezultatai.</w:t>
      </w:r>
      <w:r w:rsidRPr="003C249F">
        <w:rPr>
          <w:bCs/>
          <w:i/>
        </w:rPr>
        <w:t xml:space="preserve"> </w:t>
      </w:r>
    </w:p>
    <w:p w14:paraId="73A4E866" w14:textId="6683D640" w:rsidR="003C249F" w:rsidRPr="003C249F" w:rsidRDefault="003C249F" w:rsidP="003C249F">
      <w:pPr>
        <w:pStyle w:val="Sraopastraipa"/>
        <w:spacing w:before="120" w:after="120"/>
        <w:jc w:val="both"/>
        <w:rPr>
          <w:rFonts w:ascii="Calibri" w:eastAsia="Calibri" w:hAnsi="Calibri" w:cs="Calibri"/>
          <w:iCs/>
        </w:rPr>
      </w:pPr>
      <w:r w:rsidRPr="00502319">
        <w:rPr>
          <w:b/>
          <w:iCs/>
        </w:rPr>
        <w:t>Vizijos rodikliai</w:t>
      </w:r>
      <w:r w:rsidR="005D1781">
        <w:rPr>
          <w:b/>
          <w:iCs/>
        </w:rPr>
        <w:t xml:space="preserve"> </w:t>
      </w:r>
      <w:r w:rsidR="005D1781" w:rsidRPr="005D1781">
        <w:rPr>
          <w:bCs/>
          <w:iCs/>
        </w:rPr>
        <w:t xml:space="preserve">(pateikiami </w:t>
      </w:r>
      <w:r w:rsidR="00894D20">
        <w:rPr>
          <w:bCs/>
          <w:iCs/>
        </w:rPr>
        <w:t xml:space="preserve">sprendimo projekto </w:t>
      </w:r>
      <w:r w:rsidR="005D1781" w:rsidRPr="005D1781">
        <w:rPr>
          <w:bCs/>
          <w:iCs/>
        </w:rPr>
        <w:t>1 priede)</w:t>
      </w:r>
      <w:r w:rsidRPr="005D1781">
        <w:rPr>
          <w:bCs/>
          <w:iCs/>
        </w:rPr>
        <w:t>.</w:t>
      </w:r>
      <w:r w:rsidRPr="003C249F">
        <w:rPr>
          <w:bCs/>
          <w:iCs/>
        </w:rPr>
        <w:t xml:space="preserve"> Juos sudaro 14 rodiklių:</w:t>
      </w:r>
    </w:p>
    <w:p w14:paraId="63C1DA82" w14:textId="0D8CF523" w:rsidR="003C249F" w:rsidRPr="003C249F" w:rsidRDefault="003C249F" w:rsidP="003C249F">
      <w:pPr>
        <w:pStyle w:val="Sraopastraipa"/>
        <w:numPr>
          <w:ilvl w:val="0"/>
          <w:numId w:val="5"/>
        </w:numPr>
        <w:spacing w:before="120" w:after="120"/>
        <w:jc w:val="both"/>
        <w:rPr>
          <w:rFonts w:eastAsia="Calibri"/>
          <w:iCs/>
        </w:rPr>
      </w:pPr>
      <w:r w:rsidRPr="003C249F">
        <w:rPr>
          <w:rFonts w:eastAsia="Calibri"/>
          <w:iCs/>
        </w:rPr>
        <w:t>Vidutinis metinis gyventojų skaičius metų pradžioje (asm.);</w:t>
      </w:r>
    </w:p>
    <w:p w14:paraId="1EE88B90" w14:textId="77777777" w:rsidR="003C249F" w:rsidRPr="003C249F" w:rsidRDefault="003C249F" w:rsidP="003C249F">
      <w:pPr>
        <w:numPr>
          <w:ilvl w:val="0"/>
          <w:numId w:val="5"/>
        </w:numPr>
        <w:spacing w:before="120" w:after="120"/>
        <w:contextualSpacing/>
        <w:jc w:val="both"/>
        <w:rPr>
          <w:rFonts w:eastAsia="Calibri"/>
          <w:iCs/>
          <w:lang w:eastAsia="en-US"/>
        </w:rPr>
      </w:pPr>
      <w:r w:rsidRPr="003C249F">
        <w:rPr>
          <w:rFonts w:eastAsia="Calibri"/>
          <w:iCs/>
          <w:lang w:eastAsia="en-US"/>
        </w:rPr>
        <w:t>Jaunų žmonių (14–29 m. amžiaus) dalis bendroje gyventojų skaičiaus struktūroje (proc.);</w:t>
      </w:r>
    </w:p>
    <w:p w14:paraId="5A3EE116" w14:textId="77777777" w:rsidR="003C249F" w:rsidRPr="003C249F" w:rsidRDefault="003C249F" w:rsidP="003C249F">
      <w:pPr>
        <w:numPr>
          <w:ilvl w:val="0"/>
          <w:numId w:val="5"/>
        </w:numPr>
        <w:spacing w:before="120" w:after="120"/>
        <w:contextualSpacing/>
        <w:jc w:val="both"/>
        <w:rPr>
          <w:rFonts w:eastAsia="Calibri"/>
          <w:iCs/>
          <w:lang w:eastAsia="en-US"/>
        </w:rPr>
      </w:pPr>
      <w:r w:rsidRPr="003C249F">
        <w:rPr>
          <w:rFonts w:eastAsia="Calibri"/>
          <w:iCs/>
          <w:lang w:eastAsia="en-US"/>
        </w:rPr>
        <w:t>Natūrali gyventojų kaita (toliau – NGK);</w:t>
      </w:r>
    </w:p>
    <w:p w14:paraId="394DF7A9" w14:textId="77777777" w:rsidR="003C249F" w:rsidRPr="003C249F" w:rsidRDefault="003C249F" w:rsidP="003C249F">
      <w:pPr>
        <w:numPr>
          <w:ilvl w:val="0"/>
          <w:numId w:val="5"/>
        </w:numPr>
        <w:spacing w:before="120" w:after="120"/>
        <w:contextualSpacing/>
        <w:jc w:val="both"/>
        <w:rPr>
          <w:rFonts w:eastAsia="Calibri"/>
          <w:iCs/>
          <w:lang w:eastAsia="en-US"/>
        </w:rPr>
      </w:pPr>
      <w:r w:rsidRPr="003C249F">
        <w:rPr>
          <w:rFonts w:eastAsia="Calibri"/>
          <w:iCs/>
          <w:lang w:eastAsia="en-US"/>
        </w:rPr>
        <w:t>Migracijos saldo;</w:t>
      </w:r>
    </w:p>
    <w:p w14:paraId="7F22F318" w14:textId="77777777" w:rsidR="003C249F" w:rsidRPr="003C249F" w:rsidRDefault="003C249F" w:rsidP="003C249F">
      <w:pPr>
        <w:numPr>
          <w:ilvl w:val="0"/>
          <w:numId w:val="5"/>
        </w:numPr>
        <w:spacing w:before="120" w:after="120"/>
        <w:contextualSpacing/>
        <w:jc w:val="both"/>
        <w:rPr>
          <w:rFonts w:eastAsia="Calibri"/>
          <w:iCs/>
          <w:lang w:eastAsia="en-US"/>
        </w:rPr>
      </w:pPr>
      <w:r w:rsidRPr="003C249F">
        <w:rPr>
          <w:rFonts w:eastAsia="Calibri"/>
          <w:iCs/>
          <w:lang w:eastAsia="en-US"/>
        </w:rPr>
        <w:t>Registruotų bedarbių ir darbingo amžiaus gyventojų santykis (proc.)</w:t>
      </w:r>
    </w:p>
    <w:p w14:paraId="7AD4E4B7" w14:textId="77777777" w:rsidR="003C249F" w:rsidRPr="003C249F" w:rsidRDefault="003C249F" w:rsidP="003C249F">
      <w:pPr>
        <w:numPr>
          <w:ilvl w:val="0"/>
          <w:numId w:val="5"/>
        </w:numPr>
        <w:spacing w:before="120" w:after="120"/>
        <w:contextualSpacing/>
        <w:jc w:val="both"/>
        <w:rPr>
          <w:rFonts w:eastAsia="Calibri"/>
          <w:iCs/>
          <w:lang w:eastAsia="en-US"/>
        </w:rPr>
      </w:pPr>
      <w:r w:rsidRPr="003C249F">
        <w:rPr>
          <w:rFonts w:eastAsia="Calibri"/>
          <w:iCs/>
          <w:lang w:eastAsia="en-US"/>
        </w:rPr>
        <w:t>Vidutinis mėnesinis bruto darbo užmokestis (Eur);</w:t>
      </w:r>
    </w:p>
    <w:p w14:paraId="54572A34" w14:textId="77777777" w:rsidR="003C249F" w:rsidRPr="003C249F" w:rsidRDefault="003C249F" w:rsidP="003C249F">
      <w:pPr>
        <w:numPr>
          <w:ilvl w:val="0"/>
          <w:numId w:val="5"/>
        </w:numPr>
        <w:spacing w:before="120" w:after="120"/>
        <w:contextualSpacing/>
        <w:jc w:val="both"/>
        <w:rPr>
          <w:rFonts w:eastAsia="Calibri"/>
          <w:iCs/>
          <w:lang w:eastAsia="en-US"/>
        </w:rPr>
      </w:pPr>
      <w:r w:rsidRPr="003C249F">
        <w:rPr>
          <w:rFonts w:eastAsia="Calibri"/>
          <w:iCs/>
          <w:lang w:eastAsia="en-US"/>
        </w:rPr>
        <w:t>Bendrasis vidaus produktas (toliau – BVP), tenkantis 1 apskrities gyventojui (tūkst. Eur);</w:t>
      </w:r>
    </w:p>
    <w:p w14:paraId="2EFAF21F" w14:textId="77777777" w:rsidR="003C249F" w:rsidRPr="003C249F" w:rsidRDefault="003C249F" w:rsidP="003C249F">
      <w:pPr>
        <w:numPr>
          <w:ilvl w:val="0"/>
          <w:numId w:val="5"/>
        </w:numPr>
        <w:spacing w:before="120" w:after="120"/>
        <w:contextualSpacing/>
        <w:jc w:val="both"/>
        <w:rPr>
          <w:rFonts w:eastAsia="Calibri"/>
          <w:iCs/>
          <w:lang w:eastAsia="en-US"/>
        </w:rPr>
      </w:pPr>
      <w:r w:rsidRPr="003C249F">
        <w:rPr>
          <w:rFonts w:eastAsia="Calibri"/>
          <w:iCs/>
          <w:lang w:eastAsia="en-US"/>
        </w:rPr>
        <w:t>BVP dalis, sukuriama Panevėžio apskrityje (proc.);</w:t>
      </w:r>
    </w:p>
    <w:p w14:paraId="6C2751F2" w14:textId="77777777" w:rsidR="003C249F" w:rsidRPr="003C249F" w:rsidRDefault="003C249F" w:rsidP="003C249F">
      <w:pPr>
        <w:numPr>
          <w:ilvl w:val="0"/>
          <w:numId w:val="5"/>
        </w:numPr>
        <w:spacing w:before="120" w:after="120"/>
        <w:contextualSpacing/>
        <w:jc w:val="both"/>
        <w:rPr>
          <w:rFonts w:eastAsia="Calibri"/>
          <w:iCs/>
          <w:lang w:eastAsia="en-US"/>
        </w:rPr>
      </w:pPr>
      <w:r w:rsidRPr="003C249F">
        <w:rPr>
          <w:rFonts w:eastAsia="Calibri"/>
          <w:iCs/>
          <w:lang w:eastAsia="en-US"/>
        </w:rPr>
        <w:t>Pridėtinė vertė, tenkanti 1 apskrities užimtajam (tūkst. Eur);</w:t>
      </w:r>
    </w:p>
    <w:p w14:paraId="3B7FA414" w14:textId="77777777" w:rsidR="003C249F" w:rsidRPr="003C249F" w:rsidRDefault="003C249F" w:rsidP="003C249F">
      <w:pPr>
        <w:numPr>
          <w:ilvl w:val="0"/>
          <w:numId w:val="5"/>
        </w:numPr>
        <w:spacing w:before="120" w:after="120"/>
        <w:contextualSpacing/>
        <w:jc w:val="both"/>
        <w:rPr>
          <w:rFonts w:eastAsia="Calibri"/>
          <w:iCs/>
          <w:lang w:eastAsia="en-US"/>
        </w:rPr>
      </w:pPr>
      <w:r w:rsidRPr="003C249F">
        <w:rPr>
          <w:rFonts w:eastAsia="Calibri"/>
          <w:iCs/>
          <w:lang w:eastAsia="en-US"/>
        </w:rPr>
        <w:t>Palyginus procentais nuo tenkančios pridėtinės vertės 1 užimtajam Lietuvoje (proc.);</w:t>
      </w:r>
    </w:p>
    <w:p w14:paraId="2AC67426" w14:textId="77777777" w:rsidR="003C249F" w:rsidRPr="003C249F" w:rsidRDefault="003C249F" w:rsidP="003C249F">
      <w:pPr>
        <w:numPr>
          <w:ilvl w:val="0"/>
          <w:numId w:val="5"/>
        </w:numPr>
        <w:spacing w:before="120" w:after="120"/>
        <w:contextualSpacing/>
        <w:jc w:val="both"/>
        <w:rPr>
          <w:rFonts w:eastAsia="Calibri"/>
          <w:iCs/>
          <w:lang w:eastAsia="en-US"/>
        </w:rPr>
      </w:pPr>
      <w:r w:rsidRPr="003C249F">
        <w:rPr>
          <w:rFonts w:eastAsia="Calibri"/>
          <w:iCs/>
          <w:lang w:eastAsia="en-US"/>
        </w:rPr>
        <w:t>Tiesioginės užsienio investicijos (toliau – TUI), tenkančios 1 gyventojui (Eur);</w:t>
      </w:r>
    </w:p>
    <w:p w14:paraId="1A62AA54" w14:textId="77777777" w:rsidR="003C249F" w:rsidRPr="003C249F" w:rsidRDefault="003C249F" w:rsidP="003C249F">
      <w:pPr>
        <w:numPr>
          <w:ilvl w:val="0"/>
          <w:numId w:val="5"/>
        </w:numPr>
        <w:spacing w:before="120" w:after="120"/>
        <w:contextualSpacing/>
        <w:jc w:val="both"/>
        <w:rPr>
          <w:rFonts w:eastAsia="Calibri"/>
          <w:iCs/>
          <w:lang w:eastAsia="en-US"/>
        </w:rPr>
      </w:pPr>
      <w:r w:rsidRPr="003C249F">
        <w:rPr>
          <w:rFonts w:eastAsia="Calibri"/>
          <w:iCs/>
          <w:lang w:eastAsia="en-US"/>
        </w:rPr>
        <w:t>TUI 1 gyventojui nuo Lietuvos TUI dydžio (proc.);</w:t>
      </w:r>
    </w:p>
    <w:p w14:paraId="562D07CB" w14:textId="77777777" w:rsidR="003C249F" w:rsidRPr="003C249F" w:rsidRDefault="003C249F" w:rsidP="003C249F">
      <w:pPr>
        <w:numPr>
          <w:ilvl w:val="0"/>
          <w:numId w:val="5"/>
        </w:numPr>
        <w:spacing w:before="120" w:after="120"/>
        <w:contextualSpacing/>
        <w:jc w:val="both"/>
        <w:rPr>
          <w:rFonts w:eastAsia="Calibri"/>
          <w:iCs/>
          <w:lang w:eastAsia="en-US"/>
        </w:rPr>
      </w:pPr>
      <w:r w:rsidRPr="003C249F">
        <w:rPr>
          <w:rFonts w:eastAsia="Calibri"/>
          <w:iCs/>
          <w:lang w:eastAsia="en-US"/>
        </w:rPr>
        <w:t>Materialinės investicijos (toliau – MI), tenkančios 1 gyventojui (Eur);</w:t>
      </w:r>
    </w:p>
    <w:p w14:paraId="1890E831" w14:textId="4787538E" w:rsidR="003C249F" w:rsidRPr="003C249F" w:rsidRDefault="003C249F" w:rsidP="003C249F">
      <w:pPr>
        <w:numPr>
          <w:ilvl w:val="0"/>
          <w:numId w:val="5"/>
        </w:numPr>
        <w:spacing w:before="120" w:after="120"/>
        <w:contextualSpacing/>
        <w:jc w:val="both"/>
        <w:rPr>
          <w:rFonts w:eastAsia="Calibri"/>
          <w:iCs/>
          <w:lang w:eastAsia="en-US"/>
        </w:rPr>
      </w:pPr>
      <w:r w:rsidRPr="003C249F">
        <w:rPr>
          <w:rFonts w:eastAsia="Calibri"/>
          <w:iCs/>
          <w:lang w:eastAsia="en-US"/>
        </w:rPr>
        <w:t>MI, tenkančios Panevėžio miestui nuo Lietuvos MI dydžio (proc.).</w:t>
      </w:r>
      <w:r w:rsidRPr="003C249F">
        <w:rPr>
          <w:rFonts w:eastAsia="Calibri"/>
          <w:bCs/>
          <w:iCs/>
          <w:lang w:eastAsia="en-US"/>
        </w:rPr>
        <w:t xml:space="preserve">    </w:t>
      </w:r>
    </w:p>
    <w:p w14:paraId="2D9D4B93" w14:textId="77777777" w:rsidR="003C249F" w:rsidRPr="003C249F" w:rsidRDefault="003C249F" w:rsidP="003C249F">
      <w:pPr>
        <w:spacing w:before="120" w:after="120"/>
        <w:contextualSpacing/>
        <w:jc w:val="both"/>
        <w:rPr>
          <w:rFonts w:eastAsia="Calibri"/>
          <w:iCs/>
          <w:lang w:eastAsia="en-US"/>
        </w:rPr>
      </w:pPr>
    </w:p>
    <w:p w14:paraId="01B72AA9" w14:textId="167BEC1F" w:rsidR="003C249F" w:rsidRDefault="003C249F" w:rsidP="000A2ADE">
      <w:pPr>
        <w:ind w:firstLine="748"/>
        <w:jc w:val="both"/>
        <w:rPr>
          <w:bCs/>
          <w:iCs/>
        </w:rPr>
      </w:pPr>
      <w:r w:rsidRPr="00502319">
        <w:rPr>
          <w:b/>
          <w:iCs/>
        </w:rPr>
        <w:lastRenderedPageBreak/>
        <w:t xml:space="preserve">Prioritetų rodiklių </w:t>
      </w:r>
      <w:bookmarkStart w:id="2" w:name="_Hlk82685381"/>
      <w:r w:rsidRPr="00502319">
        <w:rPr>
          <w:b/>
          <w:iCs/>
        </w:rPr>
        <w:t>reikšmės</w:t>
      </w:r>
      <w:r>
        <w:rPr>
          <w:bCs/>
          <w:i/>
        </w:rPr>
        <w:t xml:space="preserve"> </w:t>
      </w:r>
      <w:r w:rsidR="00894D20" w:rsidRPr="00894D20">
        <w:rPr>
          <w:bCs/>
          <w:iCs/>
        </w:rPr>
        <w:t>p</w:t>
      </w:r>
      <w:r w:rsidRPr="00894D20">
        <w:rPr>
          <w:bCs/>
          <w:iCs/>
        </w:rPr>
        <w:t>a</w:t>
      </w:r>
      <w:r w:rsidRPr="003C249F">
        <w:rPr>
          <w:bCs/>
          <w:iCs/>
        </w:rPr>
        <w:t>teikiamos sprendimo projekto 2 priede</w:t>
      </w:r>
      <w:bookmarkEnd w:id="2"/>
      <w:r>
        <w:rPr>
          <w:bCs/>
          <w:iCs/>
        </w:rPr>
        <w:t>.</w:t>
      </w:r>
    </w:p>
    <w:p w14:paraId="1F31A5C1" w14:textId="41FE7BAE" w:rsidR="00EE463F" w:rsidRPr="00EE463F" w:rsidRDefault="003C249F" w:rsidP="00EE463F">
      <w:pPr>
        <w:ind w:firstLine="748"/>
        <w:jc w:val="both"/>
        <w:rPr>
          <w:bCs/>
          <w:iCs/>
        </w:rPr>
      </w:pPr>
      <w:r w:rsidRPr="00502319">
        <w:rPr>
          <w:b/>
          <w:iCs/>
        </w:rPr>
        <w:t>Priemonių rodikliai</w:t>
      </w:r>
      <w:r w:rsidR="00894D20">
        <w:rPr>
          <w:b/>
          <w:iCs/>
        </w:rPr>
        <w:t xml:space="preserve"> </w:t>
      </w:r>
      <w:r w:rsidR="00894D20" w:rsidRPr="00894D20">
        <w:rPr>
          <w:bCs/>
          <w:iCs/>
        </w:rPr>
        <w:t>pateikiam</w:t>
      </w:r>
      <w:r w:rsidR="00894D20">
        <w:rPr>
          <w:bCs/>
          <w:iCs/>
        </w:rPr>
        <w:t>i</w:t>
      </w:r>
      <w:r w:rsidR="00894D20" w:rsidRPr="00894D20">
        <w:rPr>
          <w:bCs/>
          <w:iCs/>
        </w:rPr>
        <w:t xml:space="preserve"> sprendimo projekto </w:t>
      </w:r>
      <w:r w:rsidR="00894D20">
        <w:rPr>
          <w:bCs/>
          <w:iCs/>
        </w:rPr>
        <w:t>3</w:t>
      </w:r>
      <w:r w:rsidR="00894D20" w:rsidRPr="00894D20">
        <w:rPr>
          <w:bCs/>
          <w:iCs/>
        </w:rPr>
        <w:t xml:space="preserve"> priede</w:t>
      </w:r>
      <w:r w:rsidRPr="00894D20">
        <w:rPr>
          <w:bCs/>
          <w:iCs/>
        </w:rPr>
        <w:t>.</w:t>
      </w:r>
      <w:r>
        <w:rPr>
          <w:bCs/>
          <w:iCs/>
        </w:rPr>
        <w:t xml:space="preserve"> </w:t>
      </w:r>
      <w:r w:rsidR="00EE463F" w:rsidRPr="00EE463F">
        <w:rPr>
          <w:bCs/>
          <w:iCs/>
        </w:rPr>
        <w:t>Įvertinus visas</w:t>
      </w:r>
      <w:r w:rsidR="00EE463F" w:rsidRPr="00EE463F">
        <w:rPr>
          <w:b/>
          <w:bCs/>
          <w:iCs/>
        </w:rPr>
        <w:t xml:space="preserve"> </w:t>
      </w:r>
      <w:r w:rsidR="00EE463F" w:rsidRPr="00EE463F">
        <w:rPr>
          <w:iCs/>
        </w:rPr>
        <w:t>Panevėžio SPP 2014–2020</w:t>
      </w:r>
      <w:r w:rsidR="00EE463F" w:rsidRPr="00EE463F">
        <w:rPr>
          <w:bCs/>
          <w:iCs/>
        </w:rPr>
        <w:t xml:space="preserve"> įgyvendinimo ataskaitas (2014, 2015, 2016, 2017</w:t>
      </w:r>
      <w:r w:rsidR="00EE463F">
        <w:rPr>
          <w:bCs/>
          <w:iCs/>
        </w:rPr>
        <w:t>, 2018 i</w:t>
      </w:r>
      <w:r w:rsidR="00EE463F" w:rsidRPr="00EE463F">
        <w:rPr>
          <w:bCs/>
          <w:iCs/>
        </w:rPr>
        <w:t>r 201</w:t>
      </w:r>
      <w:r w:rsidR="00EE463F">
        <w:rPr>
          <w:bCs/>
          <w:iCs/>
        </w:rPr>
        <w:t>9</w:t>
      </w:r>
      <w:r w:rsidR="00EE463F" w:rsidRPr="00EE463F">
        <w:rPr>
          <w:bCs/>
          <w:iCs/>
        </w:rPr>
        <w:t xml:space="preserve"> metų), kurios buvo patvirtintos tarybos sprendimais, nustatyta, kad per </w:t>
      </w:r>
      <w:r w:rsidR="00EE463F" w:rsidRPr="00EE463F">
        <w:rPr>
          <w:iCs/>
        </w:rPr>
        <w:t>Panevėžio SPP 2014–2020</w:t>
      </w:r>
      <w:r w:rsidR="00EE463F" w:rsidRPr="00EE463F">
        <w:rPr>
          <w:b/>
          <w:bCs/>
          <w:iCs/>
        </w:rPr>
        <w:t xml:space="preserve"> </w:t>
      </w:r>
      <w:r w:rsidR="00EE463F" w:rsidRPr="00EE463F">
        <w:rPr>
          <w:bCs/>
          <w:iCs/>
        </w:rPr>
        <w:t>įgyvendinimo laikotarpį, apimantį 2014–20</w:t>
      </w:r>
      <w:r w:rsidR="00EE463F">
        <w:rPr>
          <w:bCs/>
          <w:iCs/>
        </w:rPr>
        <w:t>20</w:t>
      </w:r>
      <w:r w:rsidR="00EE463F" w:rsidRPr="00EE463F">
        <w:rPr>
          <w:bCs/>
          <w:iCs/>
        </w:rPr>
        <w:t xml:space="preserve"> metus</w:t>
      </w:r>
      <w:r w:rsidR="00F473E2">
        <w:rPr>
          <w:bCs/>
          <w:iCs/>
        </w:rPr>
        <w:t xml:space="preserve"> buvo vykdoma priemonių</w:t>
      </w:r>
      <w:r w:rsidR="00EE463F" w:rsidRPr="00EE463F">
        <w:rPr>
          <w:bCs/>
          <w:iCs/>
        </w:rPr>
        <w:t>:</w:t>
      </w:r>
    </w:p>
    <w:tbl>
      <w:tblPr>
        <w:tblStyle w:val="Lentelstinklelis"/>
        <w:tblW w:w="9493" w:type="dxa"/>
        <w:tblLook w:val="04A0" w:firstRow="1" w:lastRow="0" w:firstColumn="1" w:lastColumn="0" w:noHBand="0" w:noVBand="1"/>
      </w:tblPr>
      <w:tblGrid>
        <w:gridCol w:w="2405"/>
        <w:gridCol w:w="992"/>
        <w:gridCol w:w="993"/>
        <w:gridCol w:w="992"/>
        <w:gridCol w:w="992"/>
        <w:gridCol w:w="1011"/>
        <w:gridCol w:w="1084"/>
        <w:gridCol w:w="1024"/>
      </w:tblGrid>
      <w:tr w:rsidR="007E71A5" w:rsidRPr="008227A0" w14:paraId="782820DD" w14:textId="77777777" w:rsidTr="00326A91">
        <w:trPr>
          <w:trHeight w:val="330"/>
        </w:trPr>
        <w:tc>
          <w:tcPr>
            <w:tcW w:w="2405" w:type="dxa"/>
            <w:hideMark/>
          </w:tcPr>
          <w:p w14:paraId="5E024A81" w14:textId="77777777" w:rsidR="007E71A5" w:rsidRPr="008227A0" w:rsidRDefault="007E71A5" w:rsidP="008227A0">
            <w:pPr>
              <w:ind w:firstLine="748"/>
              <w:jc w:val="both"/>
              <w:rPr>
                <w:b/>
                <w:iCs/>
              </w:rPr>
            </w:pPr>
            <w:r w:rsidRPr="008227A0">
              <w:rPr>
                <w:b/>
                <w:iCs/>
              </w:rPr>
              <w:t> </w:t>
            </w:r>
          </w:p>
        </w:tc>
        <w:tc>
          <w:tcPr>
            <w:tcW w:w="992" w:type="dxa"/>
          </w:tcPr>
          <w:p w14:paraId="3FCEEFC4" w14:textId="48B131FB" w:rsidR="007E71A5" w:rsidRPr="008227A0" w:rsidRDefault="007E71A5" w:rsidP="008227A0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2014 m.</w:t>
            </w:r>
          </w:p>
        </w:tc>
        <w:tc>
          <w:tcPr>
            <w:tcW w:w="993" w:type="dxa"/>
          </w:tcPr>
          <w:p w14:paraId="34EDBFDE" w14:textId="3920B7AC" w:rsidR="007E71A5" w:rsidRPr="008227A0" w:rsidRDefault="007E71A5" w:rsidP="008227A0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2015 m.</w:t>
            </w:r>
          </w:p>
        </w:tc>
        <w:tc>
          <w:tcPr>
            <w:tcW w:w="992" w:type="dxa"/>
          </w:tcPr>
          <w:p w14:paraId="3A96F8E0" w14:textId="75700EF6" w:rsidR="007E71A5" w:rsidRPr="008227A0" w:rsidRDefault="007E71A5" w:rsidP="008227A0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2016 m.</w:t>
            </w:r>
          </w:p>
        </w:tc>
        <w:tc>
          <w:tcPr>
            <w:tcW w:w="992" w:type="dxa"/>
          </w:tcPr>
          <w:p w14:paraId="4F2E01D4" w14:textId="732505CA" w:rsidR="007E71A5" w:rsidRPr="008227A0" w:rsidRDefault="007E71A5" w:rsidP="008227A0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2017 m.</w:t>
            </w:r>
          </w:p>
        </w:tc>
        <w:tc>
          <w:tcPr>
            <w:tcW w:w="1011" w:type="dxa"/>
          </w:tcPr>
          <w:p w14:paraId="795D9B50" w14:textId="05F11D22" w:rsidR="007E71A5" w:rsidRPr="008227A0" w:rsidRDefault="007E71A5" w:rsidP="008227A0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2018 m.</w:t>
            </w:r>
          </w:p>
        </w:tc>
        <w:tc>
          <w:tcPr>
            <w:tcW w:w="1084" w:type="dxa"/>
          </w:tcPr>
          <w:p w14:paraId="78F5C2BB" w14:textId="324E3790" w:rsidR="007E71A5" w:rsidRPr="008227A0" w:rsidRDefault="007E71A5" w:rsidP="008227A0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2019 m.</w:t>
            </w:r>
          </w:p>
        </w:tc>
        <w:tc>
          <w:tcPr>
            <w:tcW w:w="1024" w:type="dxa"/>
            <w:hideMark/>
          </w:tcPr>
          <w:p w14:paraId="18F1326C" w14:textId="17D246E0" w:rsidR="007E71A5" w:rsidRPr="008227A0" w:rsidRDefault="007E71A5" w:rsidP="008227A0">
            <w:pPr>
              <w:jc w:val="both"/>
              <w:rPr>
                <w:bCs/>
                <w:iCs/>
              </w:rPr>
            </w:pPr>
            <w:r w:rsidRPr="008227A0">
              <w:rPr>
                <w:bCs/>
                <w:iCs/>
              </w:rPr>
              <w:t>2020 m.</w:t>
            </w:r>
          </w:p>
        </w:tc>
      </w:tr>
      <w:tr w:rsidR="00326A91" w:rsidRPr="008227A0" w14:paraId="7218D191" w14:textId="77777777" w:rsidTr="00326A91">
        <w:trPr>
          <w:trHeight w:val="288"/>
        </w:trPr>
        <w:tc>
          <w:tcPr>
            <w:tcW w:w="2405" w:type="dxa"/>
            <w:hideMark/>
          </w:tcPr>
          <w:p w14:paraId="3681B100" w14:textId="77777777" w:rsidR="00326A91" w:rsidRPr="008227A0" w:rsidRDefault="00326A91" w:rsidP="00326A91">
            <w:pPr>
              <w:rPr>
                <w:bCs/>
                <w:iCs/>
              </w:rPr>
            </w:pPr>
            <w:r w:rsidRPr="008227A0">
              <w:rPr>
                <w:bCs/>
                <w:iCs/>
              </w:rPr>
              <w:t>Priemonių įvykdymas (proc.)</w:t>
            </w:r>
          </w:p>
        </w:tc>
        <w:tc>
          <w:tcPr>
            <w:tcW w:w="992" w:type="dxa"/>
          </w:tcPr>
          <w:p w14:paraId="6E49595B" w14:textId="5CAFC0BB" w:rsidR="00326A91" w:rsidRPr="008227A0" w:rsidRDefault="00326A91" w:rsidP="00326A91">
            <w:pPr>
              <w:jc w:val="both"/>
              <w:rPr>
                <w:bCs/>
                <w:iCs/>
              </w:rPr>
            </w:pPr>
            <w:r w:rsidRPr="005422F4">
              <w:t>86,2</w:t>
            </w:r>
          </w:p>
        </w:tc>
        <w:tc>
          <w:tcPr>
            <w:tcW w:w="993" w:type="dxa"/>
          </w:tcPr>
          <w:p w14:paraId="6A331C5F" w14:textId="17221423" w:rsidR="00326A91" w:rsidRPr="008227A0" w:rsidRDefault="00326A91" w:rsidP="00326A91">
            <w:pPr>
              <w:jc w:val="both"/>
              <w:rPr>
                <w:bCs/>
                <w:iCs/>
              </w:rPr>
            </w:pPr>
            <w:r w:rsidRPr="00E33677">
              <w:t>82,0</w:t>
            </w:r>
          </w:p>
        </w:tc>
        <w:tc>
          <w:tcPr>
            <w:tcW w:w="992" w:type="dxa"/>
          </w:tcPr>
          <w:p w14:paraId="59B74635" w14:textId="25008720" w:rsidR="00326A91" w:rsidRPr="008227A0" w:rsidRDefault="00326A91" w:rsidP="00326A91">
            <w:pPr>
              <w:jc w:val="both"/>
              <w:rPr>
                <w:bCs/>
                <w:iCs/>
              </w:rPr>
            </w:pPr>
            <w:r w:rsidRPr="00975E89">
              <w:t>89,9</w:t>
            </w:r>
          </w:p>
        </w:tc>
        <w:tc>
          <w:tcPr>
            <w:tcW w:w="992" w:type="dxa"/>
          </w:tcPr>
          <w:p w14:paraId="7B7EE90C" w14:textId="53FAE00F" w:rsidR="00326A91" w:rsidRPr="008227A0" w:rsidRDefault="00326A91" w:rsidP="00326A91">
            <w:pPr>
              <w:jc w:val="both"/>
              <w:rPr>
                <w:bCs/>
                <w:iCs/>
              </w:rPr>
            </w:pPr>
            <w:r w:rsidRPr="000214A4">
              <w:t>93,0</w:t>
            </w:r>
          </w:p>
        </w:tc>
        <w:tc>
          <w:tcPr>
            <w:tcW w:w="1011" w:type="dxa"/>
          </w:tcPr>
          <w:p w14:paraId="352AAD11" w14:textId="19B2CF7E" w:rsidR="00326A91" w:rsidRPr="008227A0" w:rsidRDefault="00326A91" w:rsidP="00326A91">
            <w:pPr>
              <w:jc w:val="both"/>
              <w:rPr>
                <w:bCs/>
                <w:iCs/>
              </w:rPr>
            </w:pPr>
            <w:r w:rsidRPr="0049795D">
              <w:t>91,0</w:t>
            </w:r>
          </w:p>
        </w:tc>
        <w:tc>
          <w:tcPr>
            <w:tcW w:w="1084" w:type="dxa"/>
          </w:tcPr>
          <w:p w14:paraId="38BE9D02" w14:textId="20EE0949" w:rsidR="00326A91" w:rsidRPr="008227A0" w:rsidRDefault="00326A91" w:rsidP="00326A91">
            <w:pPr>
              <w:jc w:val="both"/>
              <w:rPr>
                <w:bCs/>
                <w:iCs/>
              </w:rPr>
            </w:pPr>
            <w:r w:rsidRPr="00162BC6">
              <w:t>92,0</w:t>
            </w:r>
          </w:p>
        </w:tc>
        <w:tc>
          <w:tcPr>
            <w:tcW w:w="1024" w:type="dxa"/>
            <w:hideMark/>
          </w:tcPr>
          <w:p w14:paraId="28702A70" w14:textId="073C8B74" w:rsidR="00326A91" w:rsidRPr="008227A0" w:rsidRDefault="00326A91" w:rsidP="00326A91">
            <w:pPr>
              <w:jc w:val="both"/>
              <w:rPr>
                <w:bCs/>
                <w:iCs/>
              </w:rPr>
            </w:pPr>
            <w:r w:rsidRPr="008227A0">
              <w:rPr>
                <w:bCs/>
                <w:iCs/>
              </w:rPr>
              <w:t>94,0</w:t>
            </w:r>
          </w:p>
        </w:tc>
      </w:tr>
      <w:tr w:rsidR="00326A91" w:rsidRPr="008227A0" w14:paraId="700FC6CE" w14:textId="77777777" w:rsidTr="00326A91">
        <w:trPr>
          <w:trHeight w:val="288"/>
        </w:trPr>
        <w:tc>
          <w:tcPr>
            <w:tcW w:w="2405" w:type="dxa"/>
            <w:hideMark/>
          </w:tcPr>
          <w:p w14:paraId="3D2CA16F" w14:textId="77777777" w:rsidR="00326A91" w:rsidRPr="008227A0" w:rsidRDefault="00326A91" w:rsidP="00326A91">
            <w:pPr>
              <w:rPr>
                <w:bCs/>
                <w:iCs/>
              </w:rPr>
            </w:pPr>
            <w:r w:rsidRPr="008227A0">
              <w:rPr>
                <w:bCs/>
                <w:iCs/>
              </w:rPr>
              <w:t>Planuota priemonių</w:t>
            </w:r>
          </w:p>
        </w:tc>
        <w:tc>
          <w:tcPr>
            <w:tcW w:w="992" w:type="dxa"/>
          </w:tcPr>
          <w:p w14:paraId="0B9E5283" w14:textId="5D81A491" w:rsidR="00326A91" w:rsidRPr="008227A0" w:rsidRDefault="00326A91" w:rsidP="00326A91">
            <w:pPr>
              <w:jc w:val="both"/>
              <w:rPr>
                <w:bCs/>
                <w:iCs/>
              </w:rPr>
            </w:pPr>
            <w:r w:rsidRPr="005422F4">
              <w:t>124</w:t>
            </w:r>
          </w:p>
        </w:tc>
        <w:tc>
          <w:tcPr>
            <w:tcW w:w="993" w:type="dxa"/>
          </w:tcPr>
          <w:p w14:paraId="7E77A088" w14:textId="116B452E" w:rsidR="00326A91" w:rsidRPr="008227A0" w:rsidRDefault="00326A91" w:rsidP="00326A91">
            <w:pPr>
              <w:jc w:val="both"/>
              <w:rPr>
                <w:bCs/>
                <w:iCs/>
              </w:rPr>
            </w:pPr>
            <w:r w:rsidRPr="00E33677">
              <w:t>130</w:t>
            </w:r>
          </w:p>
        </w:tc>
        <w:tc>
          <w:tcPr>
            <w:tcW w:w="992" w:type="dxa"/>
          </w:tcPr>
          <w:p w14:paraId="02795234" w14:textId="204CAF0B" w:rsidR="00326A91" w:rsidRPr="008227A0" w:rsidRDefault="00326A91" w:rsidP="00326A91">
            <w:pPr>
              <w:jc w:val="both"/>
              <w:rPr>
                <w:bCs/>
                <w:iCs/>
              </w:rPr>
            </w:pPr>
            <w:r w:rsidRPr="00975E89">
              <w:t>119</w:t>
            </w:r>
          </w:p>
        </w:tc>
        <w:tc>
          <w:tcPr>
            <w:tcW w:w="992" w:type="dxa"/>
          </w:tcPr>
          <w:p w14:paraId="1DC87D47" w14:textId="5A7277A3" w:rsidR="00326A91" w:rsidRPr="008227A0" w:rsidRDefault="00326A91" w:rsidP="00326A91">
            <w:pPr>
              <w:jc w:val="both"/>
              <w:rPr>
                <w:bCs/>
                <w:iCs/>
              </w:rPr>
            </w:pPr>
            <w:r w:rsidRPr="000214A4">
              <w:t>129</w:t>
            </w:r>
          </w:p>
        </w:tc>
        <w:tc>
          <w:tcPr>
            <w:tcW w:w="1011" w:type="dxa"/>
          </w:tcPr>
          <w:p w14:paraId="0B26F816" w14:textId="7BCEDEA6" w:rsidR="00326A91" w:rsidRPr="008227A0" w:rsidRDefault="00326A91" w:rsidP="00326A91">
            <w:pPr>
              <w:jc w:val="both"/>
              <w:rPr>
                <w:bCs/>
                <w:iCs/>
              </w:rPr>
            </w:pPr>
            <w:r w:rsidRPr="0049795D">
              <w:t>130</w:t>
            </w:r>
          </w:p>
        </w:tc>
        <w:tc>
          <w:tcPr>
            <w:tcW w:w="1084" w:type="dxa"/>
          </w:tcPr>
          <w:p w14:paraId="4DE036AF" w14:textId="66E6F655" w:rsidR="00326A91" w:rsidRPr="008227A0" w:rsidRDefault="00326A91" w:rsidP="00326A91">
            <w:pPr>
              <w:jc w:val="both"/>
              <w:rPr>
                <w:bCs/>
                <w:iCs/>
              </w:rPr>
            </w:pPr>
            <w:r w:rsidRPr="00162BC6">
              <w:t>134</w:t>
            </w:r>
          </w:p>
        </w:tc>
        <w:tc>
          <w:tcPr>
            <w:tcW w:w="1024" w:type="dxa"/>
            <w:hideMark/>
          </w:tcPr>
          <w:p w14:paraId="7439FF9B" w14:textId="039A3497" w:rsidR="00326A91" w:rsidRPr="008227A0" w:rsidRDefault="00326A91" w:rsidP="00326A91">
            <w:pPr>
              <w:jc w:val="both"/>
              <w:rPr>
                <w:bCs/>
                <w:iCs/>
              </w:rPr>
            </w:pPr>
            <w:r w:rsidRPr="008227A0">
              <w:rPr>
                <w:bCs/>
                <w:iCs/>
              </w:rPr>
              <w:t>130</w:t>
            </w:r>
          </w:p>
        </w:tc>
      </w:tr>
      <w:tr w:rsidR="00326A91" w:rsidRPr="008227A0" w14:paraId="3B33D998" w14:textId="77777777" w:rsidTr="00326A91">
        <w:trPr>
          <w:trHeight w:val="279"/>
        </w:trPr>
        <w:tc>
          <w:tcPr>
            <w:tcW w:w="2405" w:type="dxa"/>
            <w:hideMark/>
          </w:tcPr>
          <w:p w14:paraId="284AC373" w14:textId="176202B1" w:rsidR="00326A91" w:rsidRPr="008227A0" w:rsidRDefault="0052143E" w:rsidP="00326A91">
            <w:pPr>
              <w:rPr>
                <w:bCs/>
                <w:iCs/>
              </w:rPr>
            </w:pPr>
            <w:r>
              <w:rPr>
                <w:bCs/>
                <w:iCs/>
              </w:rPr>
              <w:t>Pabaigta į</w:t>
            </w:r>
            <w:r w:rsidR="00326A91" w:rsidRPr="008227A0">
              <w:rPr>
                <w:bCs/>
                <w:iCs/>
              </w:rPr>
              <w:t>gyvendint</w:t>
            </w:r>
            <w:r>
              <w:rPr>
                <w:bCs/>
                <w:iCs/>
              </w:rPr>
              <w:t>i</w:t>
            </w:r>
            <w:r w:rsidR="00326A91" w:rsidRPr="008227A0">
              <w:rPr>
                <w:bCs/>
                <w:iCs/>
              </w:rPr>
              <w:t xml:space="preserve"> priemonių</w:t>
            </w:r>
          </w:p>
        </w:tc>
        <w:tc>
          <w:tcPr>
            <w:tcW w:w="992" w:type="dxa"/>
          </w:tcPr>
          <w:p w14:paraId="7144CC5B" w14:textId="51933853" w:rsidR="00326A91" w:rsidRPr="008227A0" w:rsidRDefault="00326A91" w:rsidP="00326A91">
            <w:pPr>
              <w:jc w:val="both"/>
              <w:rPr>
                <w:bCs/>
                <w:iCs/>
              </w:rPr>
            </w:pPr>
            <w:r w:rsidRPr="005422F4">
              <w:t>1</w:t>
            </w:r>
          </w:p>
        </w:tc>
        <w:tc>
          <w:tcPr>
            <w:tcW w:w="993" w:type="dxa"/>
          </w:tcPr>
          <w:p w14:paraId="672755E2" w14:textId="5B49AD9B" w:rsidR="00326A91" w:rsidRPr="008227A0" w:rsidRDefault="00326A91" w:rsidP="00326A91">
            <w:pPr>
              <w:jc w:val="both"/>
              <w:rPr>
                <w:bCs/>
                <w:iCs/>
              </w:rPr>
            </w:pPr>
            <w:r w:rsidRPr="00E33677">
              <w:t>1</w:t>
            </w:r>
          </w:p>
        </w:tc>
        <w:tc>
          <w:tcPr>
            <w:tcW w:w="992" w:type="dxa"/>
          </w:tcPr>
          <w:p w14:paraId="2D3A0DC1" w14:textId="4E567DDD" w:rsidR="00326A91" w:rsidRPr="008227A0" w:rsidRDefault="00326A91" w:rsidP="00326A91">
            <w:pPr>
              <w:ind w:firstLine="748"/>
              <w:jc w:val="both"/>
              <w:rPr>
                <w:bCs/>
                <w:iCs/>
              </w:rPr>
            </w:pPr>
          </w:p>
        </w:tc>
        <w:tc>
          <w:tcPr>
            <w:tcW w:w="992" w:type="dxa"/>
          </w:tcPr>
          <w:p w14:paraId="13D8811C" w14:textId="77777777" w:rsidR="00326A91" w:rsidRPr="008227A0" w:rsidRDefault="00326A91" w:rsidP="00326A91">
            <w:pPr>
              <w:ind w:firstLine="748"/>
              <w:jc w:val="both"/>
              <w:rPr>
                <w:bCs/>
                <w:iCs/>
              </w:rPr>
            </w:pPr>
          </w:p>
        </w:tc>
        <w:tc>
          <w:tcPr>
            <w:tcW w:w="1011" w:type="dxa"/>
          </w:tcPr>
          <w:p w14:paraId="5FF77710" w14:textId="4A408A41" w:rsidR="00326A91" w:rsidRPr="008227A0" w:rsidRDefault="00326A91" w:rsidP="00326A91">
            <w:pPr>
              <w:jc w:val="both"/>
              <w:rPr>
                <w:bCs/>
                <w:iCs/>
              </w:rPr>
            </w:pPr>
            <w:r w:rsidRPr="0049795D">
              <w:t>1</w:t>
            </w:r>
          </w:p>
        </w:tc>
        <w:tc>
          <w:tcPr>
            <w:tcW w:w="1084" w:type="dxa"/>
          </w:tcPr>
          <w:p w14:paraId="3AD56F05" w14:textId="4584F94A" w:rsidR="00326A91" w:rsidRPr="008227A0" w:rsidRDefault="00326A91" w:rsidP="00C7371F">
            <w:pPr>
              <w:jc w:val="both"/>
              <w:rPr>
                <w:bCs/>
                <w:iCs/>
              </w:rPr>
            </w:pPr>
            <w:r w:rsidRPr="00162BC6">
              <w:t>3</w:t>
            </w:r>
          </w:p>
        </w:tc>
        <w:tc>
          <w:tcPr>
            <w:tcW w:w="1024" w:type="dxa"/>
            <w:hideMark/>
          </w:tcPr>
          <w:p w14:paraId="5738DAEF" w14:textId="2D9EA966" w:rsidR="00326A91" w:rsidRPr="008227A0" w:rsidRDefault="00326A91" w:rsidP="00326A91">
            <w:pPr>
              <w:ind w:firstLine="748"/>
              <w:jc w:val="both"/>
              <w:rPr>
                <w:bCs/>
                <w:iCs/>
              </w:rPr>
            </w:pPr>
            <w:r w:rsidRPr="008227A0">
              <w:rPr>
                <w:bCs/>
                <w:iCs/>
              </w:rPr>
              <w:t> </w:t>
            </w:r>
          </w:p>
        </w:tc>
      </w:tr>
      <w:tr w:rsidR="00326A91" w:rsidRPr="008227A0" w14:paraId="537A829B" w14:textId="77777777" w:rsidTr="00326A91">
        <w:trPr>
          <w:trHeight w:val="279"/>
        </w:trPr>
        <w:tc>
          <w:tcPr>
            <w:tcW w:w="2405" w:type="dxa"/>
            <w:hideMark/>
          </w:tcPr>
          <w:p w14:paraId="4F2F5CBB" w14:textId="77777777" w:rsidR="00326A91" w:rsidRPr="008227A0" w:rsidRDefault="00326A91" w:rsidP="00326A91">
            <w:pPr>
              <w:rPr>
                <w:bCs/>
                <w:iCs/>
              </w:rPr>
            </w:pPr>
            <w:r w:rsidRPr="008227A0">
              <w:rPr>
                <w:bCs/>
                <w:iCs/>
              </w:rPr>
              <w:t>Vykdoma (arba iš dalies vykdoma) priemonių</w:t>
            </w:r>
          </w:p>
        </w:tc>
        <w:tc>
          <w:tcPr>
            <w:tcW w:w="992" w:type="dxa"/>
          </w:tcPr>
          <w:p w14:paraId="52FE3CE3" w14:textId="17D70153" w:rsidR="00326A91" w:rsidRPr="008227A0" w:rsidRDefault="00326A91" w:rsidP="00326A91">
            <w:pPr>
              <w:jc w:val="both"/>
              <w:rPr>
                <w:bCs/>
                <w:iCs/>
              </w:rPr>
            </w:pPr>
            <w:r w:rsidRPr="005422F4">
              <w:t>10</w:t>
            </w:r>
            <w:r>
              <w:t>6</w:t>
            </w:r>
          </w:p>
        </w:tc>
        <w:tc>
          <w:tcPr>
            <w:tcW w:w="993" w:type="dxa"/>
          </w:tcPr>
          <w:p w14:paraId="60126366" w14:textId="3496007B" w:rsidR="00326A91" w:rsidRPr="008227A0" w:rsidRDefault="00326A91" w:rsidP="00326A91">
            <w:pPr>
              <w:jc w:val="both"/>
              <w:rPr>
                <w:bCs/>
                <w:iCs/>
              </w:rPr>
            </w:pPr>
            <w:r w:rsidRPr="00E33677">
              <w:t>106</w:t>
            </w:r>
          </w:p>
        </w:tc>
        <w:tc>
          <w:tcPr>
            <w:tcW w:w="992" w:type="dxa"/>
          </w:tcPr>
          <w:p w14:paraId="3D0862F9" w14:textId="38E3F95C" w:rsidR="00326A91" w:rsidRPr="008227A0" w:rsidRDefault="00326A91" w:rsidP="00326A91">
            <w:pPr>
              <w:jc w:val="both"/>
              <w:rPr>
                <w:bCs/>
                <w:iCs/>
              </w:rPr>
            </w:pPr>
            <w:r w:rsidRPr="00975E89">
              <w:t>107</w:t>
            </w:r>
          </w:p>
        </w:tc>
        <w:tc>
          <w:tcPr>
            <w:tcW w:w="992" w:type="dxa"/>
          </w:tcPr>
          <w:p w14:paraId="213E60EA" w14:textId="7464A066" w:rsidR="00326A91" w:rsidRPr="008227A0" w:rsidRDefault="00326A91" w:rsidP="00326A91">
            <w:pPr>
              <w:jc w:val="both"/>
              <w:rPr>
                <w:bCs/>
                <w:iCs/>
              </w:rPr>
            </w:pPr>
            <w:r w:rsidRPr="000214A4">
              <w:t>120</w:t>
            </w:r>
          </w:p>
        </w:tc>
        <w:tc>
          <w:tcPr>
            <w:tcW w:w="1011" w:type="dxa"/>
          </w:tcPr>
          <w:p w14:paraId="0C3BFBC9" w14:textId="2904B482" w:rsidR="00326A91" w:rsidRPr="008227A0" w:rsidRDefault="00326A91" w:rsidP="00326A91">
            <w:pPr>
              <w:jc w:val="both"/>
              <w:rPr>
                <w:bCs/>
                <w:iCs/>
              </w:rPr>
            </w:pPr>
            <w:r w:rsidRPr="0049795D">
              <w:t>118</w:t>
            </w:r>
          </w:p>
        </w:tc>
        <w:tc>
          <w:tcPr>
            <w:tcW w:w="1084" w:type="dxa"/>
          </w:tcPr>
          <w:p w14:paraId="0659FCFA" w14:textId="195C60A1" w:rsidR="00326A91" w:rsidRPr="008227A0" w:rsidRDefault="00326A91" w:rsidP="00326A91">
            <w:pPr>
              <w:jc w:val="both"/>
              <w:rPr>
                <w:bCs/>
                <w:iCs/>
              </w:rPr>
            </w:pPr>
            <w:r w:rsidRPr="00162BC6">
              <w:t>120</w:t>
            </w:r>
          </w:p>
        </w:tc>
        <w:tc>
          <w:tcPr>
            <w:tcW w:w="1024" w:type="dxa"/>
            <w:hideMark/>
          </w:tcPr>
          <w:p w14:paraId="67055AD5" w14:textId="2910D8CD" w:rsidR="00326A91" w:rsidRPr="008227A0" w:rsidRDefault="00326A91" w:rsidP="00326A91">
            <w:pPr>
              <w:jc w:val="both"/>
              <w:rPr>
                <w:bCs/>
                <w:iCs/>
              </w:rPr>
            </w:pPr>
            <w:r w:rsidRPr="008227A0">
              <w:rPr>
                <w:bCs/>
                <w:iCs/>
              </w:rPr>
              <w:t>122</w:t>
            </w:r>
          </w:p>
        </w:tc>
      </w:tr>
      <w:tr w:rsidR="00326A91" w:rsidRPr="008227A0" w14:paraId="7D2CEE83" w14:textId="77777777" w:rsidTr="00326A91">
        <w:trPr>
          <w:trHeight w:val="279"/>
        </w:trPr>
        <w:tc>
          <w:tcPr>
            <w:tcW w:w="2405" w:type="dxa"/>
            <w:hideMark/>
          </w:tcPr>
          <w:p w14:paraId="1DF15D5C" w14:textId="77777777" w:rsidR="00326A91" w:rsidRPr="008227A0" w:rsidRDefault="00326A91" w:rsidP="00326A91">
            <w:pPr>
              <w:rPr>
                <w:bCs/>
                <w:iCs/>
              </w:rPr>
            </w:pPr>
            <w:r w:rsidRPr="008227A0">
              <w:rPr>
                <w:bCs/>
                <w:iCs/>
              </w:rPr>
              <w:t>Nevykdoma priemonių</w:t>
            </w:r>
          </w:p>
        </w:tc>
        <w:tc>
          <w:tcPr>
            <w:tcW w:w="992" w:type="dxa"/>
          </w:tcPr>
          <w:p w14:paraId="0EDCD0F2" w14:textId="39CE1772" w:rsidR="00326A91" w:rsidRPr="008227A0" w:rsidRDefault="00326A91" w:rsidP="00326A91">
            <w:pPr>
              <w:jc w:val="both"/>
              <w:rPr>
                <w:bCs/>
                <w:iCs/>
              </w:rPr>
            </w:pPr>
            <w:r w:rsidRPr="005422F4">
              <w:t>17</w:t>
            </w:r>
          </w:p>
        </w:tc>
        <w:tc>
          <w:tcPr>
            <w:tcW w:w="993" w:type="dxa"/>
          </w:tcPr>
          <w:p w14:paraId="01532859" w14:textId="799D3B1B" w:rsidR="00326A91" w:rsidRPr="008227A0" w:rsidRDefault="00326A91" w:rsidP="00326A91">
            <w:pPr>
              <w:jc w:val="both"/>
              <w:rPr>
                <w:bCs/>
                <w:iCs/>
              </w:rPr>
            </w:pPr>
            <w:r w:rsidRPr="00E33677">
              <w:t>23</w:t>
            </w:r>
          </w:p>
        </w:tc>
        <w:tc>
          <w:tcPr>
            <w:tcW w:w="992" w:type="dxa"/>
          </w:tcPr>
          <w:p w14:paraId="26855FEA" w14:textId="1CE21963" w:rsidR="00326A91" w:rsidRPr="008227A0" w:rsidRDefault="00326A91" w:rsidP="00326A91">
            <w:pPr>
              <w:jc w:val="both"/>
              <w:rPr>
                <w:bCs/>
                <w:iCs/>
              </w:rPr>
            </w:pPr>
            <w:r w:rsidRPr="00975E89">
              <w:t>12</w:t>
            </w:r>
          </w:p>
        </w:tc>
        <w:tc>
          <w:tcPr>
            <w:tcW w:w="992" w:type="dxa"/>
          </w:tcPr>
          <w:p w14:paraId="5AACEC3C" w14:textId="536A5061" w:rsidR="00326A91" w:rsidRPr="008227A0" w:rsidRDefault="00326A91" w:rsidP="00326A91">
            <w:pPr>
              <w:jc w:val="both"/>
              <w:rPr>
                <w:bCs/>
                <w:iCs/>
              </w:rPr>
            </w:pPr>
            <w:r w:rsidRPr="000214A4">
              <w:t>9</w:t>
            </w:r>
          </w:p>
        </w:tc>
        <w:tc>
          <w:tcPr>
            <w:tcW w:w="1011" w:type="dxa"/>
          </w:tcPr>
          <w:p w14:paraId="7F12E1DB" w14:textId="348DB159" w:rsidR="00326A91" w:rsidRPr="008227A0" w:rsidRDefault="00326A91" w:rsidP="00326A91">
            <w:pPr>
              <w:jc w:val="both"/>
              <w:rPr>
                <w:bCs/>
                <w:iCs/>
              </w:rPr>
            </w:pPr>
            <w:r w:rsidRPr="0049795D">
              <w:t>11</w:t>
            </w:r>
          </w:p>
        </w:tc>
        <w:tc>
          <w:tcPr>
            <w:tcW w:w="1084" w:type="dxa"/>
          </w:tcPr>
          <w:p w14:paraId="60DE1526" w14:textId="07F3C4AD" w:rsidR="00326A91" w:rsidRPr="008227A0" w:rsidRDefault="00326A91" w:rsidP="00326A91">
            <w:pPr>
              <w:jc w:val="both"/>
              <w:rPr>
                <w:bCs/>
                <w:iCs/>
              </w:rPr>
            </w:pPr>
            <w:r w:rsidRPr="00162BC6">
              <w:t>11</w:t>
            </w:r>
          </w:p>
        </w:tc>
        <w:tc>
          <w:tcPr>
            <w:tcW w:w="1024" w:type="dxa"/>
            <w:hideMark/>
          </w:tcPr>
          <w:p w14:paraId="4F975F39" w14:textId="454AC7C1" w:rsidR="00326A91" w:rsidRPr="008227A0" w:rsidRDefault="00326A91" w:rsidP="00326A91">
            <w:pPr>
              <w:jc w:val="both"/>
              <w:rPr>
                <w:bCs/>
                <w:iCs/>
              </w:rPr>
            </w:pPr>
            <w:r w:rsidRPr="008227A0">
              <w:rPr>
                <w:bCs/>
                <w:iCs/>
              </w:rPr>
              <w:t>8</w:t>
            </w:r>
          </w:p>
        </w:tc>
      </w:tr>
    </w:tbl>
    <w:p w14:paraId="0C2A7DBF" w14:textId="77777777" w:rsidR="00326A91" w:rsidRDefault="00326A91" w:rsidP="000A2ADE">
      <w:pPr>
        <w:pStyle w:val="Pagrindiniotekstotrauka"/>
        <w:ind w:left="0"/>
        <w:rPr>
          <w:b/>
        </w:rPr>
      </w:pPr>
    </w:p>
    <w:p w14:paraId="08B15146" w14:textId="4D81EB3E" w:rsidR="00213E59" w:rsidRPr="003A13AC" w:rsidRDefault="00213E59" w:rsidP="000A2ADE">
      <w:pPr>
        <w:pStyle w:val="Pagrindiniotekstotrauka"/>
        <w:ind w:left="0"/>
      </w:pPr>
      <w:r w:rsidRPr="003A13AC">
        <w:rPr>
          <w:b/>
        </w:rPr>
        <w:t>3.Sprendimo priėmimo būtinumo pagrindimas, kokių pozityvių rezultatų laukiama</w:t>
      </w:r>
      <w:r w:rsidRPr="003A13AC">
        <w:t>:</w:t>
      </w:r>
    </w:p>
    <w:p w14:paraId="5872A076" w14:textId="6905F083" w:rsidR="00B30982" w:rsidRPr="00B30982" w:rsidRDefault="00213E59" w:rsidP="00B30982">
      <w:pPr>
        <w:ind w:firstLine="748"/>
        <w:jc w:val="both"/>
        <w:rPr>
          <w:bCs/>
        </w:rPr>
      </w:pPr>
      <w:r w:rsidRPr="003A13AC">
        <w:t xml:space="preserve">Pagal Savivaldybės tarybos patvirtintą strateginio plano </w:t>
      </w:r>
      <w:r w:rsidR="003A13AC" w:rsidRPr="003A13AC">
        <w:t>organizavimo tvarkos aprašą</w:t>
      </w:r>
      <w:r w:rsidRPr="003A13AC">
        <w:t xml:space="preserve">, Savivaldybės taryba kiekvienais metais </w:t>
      </w:r>
      <w:r w:rsidR="00095571" w:rsidRPr="003A13AC">
        <w:t xml:space="preserve">svarsto ir </w:t>
      </w:r>
      <w:r w:rsidR="004B1858" w:rsidRPr="003A13AC">
        <w:t xml:space="preserve">priima sprendimus dėl </w:t>
      </w:r>
      <w:r w:rsidRPr="003A13AC">
        <w:t xml:space="preserve"> Strateginio plano įgyvendinimo ataskait</w:t>
      </w:r>
      <w:r w:rsidR="004B1858" w:rsidRPr="003A13AC">
        <w:t>o</w:t>
      </w:r>
      <w:r w:rsidR="00B30982">
        <w:t>s, p</w:t>
      </w:r>
      <w:r w:rsidR="00B30982" w:rsidRPr="00B30982">
        <w:rPr>
          <w:bCs/>
        </w:rPr>
        <w:t>rieš tai ją apsvarsčius Panevėžio miesto plėtros strateginio planavimo  komisijos posėdyje. Strateginio plano ataskaitos projektas už 20</w:t>
      </w:r>
      <w:r w:rsidR="00B30982">
        <w:rPr>
          <w:bCs/>
        </w:rPr>
        <w:t>20</w:t>
      </w:r>
      <w:r w:rsidR="00B30982" w:rsidRPr="00B30982">
        <w:rPr>
          <w:bCs/>
        </w:rPr>
        <w:t xml:space="preserve"> metus apsvarstytas 20</w:t>
      </w:r>
      <w:r w:rsidR="00B30982">
        <w:rPr>
          <w:bCs/>
        </w:rPr>
        <w:t>21</w:t>
      </w:r>
      <w:r w:rsidR="00B30982" w:rsidRPr="00B30982">
        <w:rPr>
          <w:bCs/>
        </w:rPr>
        <w:t xml:space="preserve"> m. </w:t>
      </w:r>
      <w:r w:rsidR="006E7612">
        <w:rPr>
          <w:bCs/>
        </w:rPr>
        <w:t>spalio</w:t>
      </w:r>
      <w:r w:rsidR="00B30982" w:rsidRPr="00B30982">
        <w:rPr>
          <w:bCs/>
        </w:rPr>
        <w:t xml:space="preserve"> 29 d. Komisijos posėdyje ir buvo nutarta ataskaitą teikti tvirtinti Savivaldybės Taryboje.</w:t>
      </w:r>
    </w:p>
    <w:p w14:paraId="15879657" w14:textId="4082A64F" w:rsidR="00213E59" w:rsidRPr="003A13AC" w:rsidRDefault="00213E59" w:rsidP="000A2ADE">
      <w:pPr>
        <w:ind w:firstLine="748"/>
        <w:jc w:val="both"/>
        <w:rPr>
          <w:b/>
        </w:rPr>
      </w:pPr>
    </w:p>
    <w:p w14:paraId="33340913" w14:textId="77777777" w:rsidR="00213E59" w:rsidRPr="00857F3B" w:rsidRDefault="00213E59" w:rsidP="000A2ADE">
      <w:pPr>
        <w:tabs>
          <w:tab w:val="left" w:pos="0"/>
        </w:tabs>
        <w:jc w:val="both"/>
      </w:pPr>
      <w:r w:rsidRPr="00857F3B">
        <w:rPr>
          <w:b/>
        </w:rPr>
        <w:t>4.Skaičiavimai, išlaidų sąmatos, finansavimo šaltiniai:</w:t>
      </w:r>
      <w:r w:rsidRPr="00857F3B">
        <w:t xml:space="preserve"> </w:t>
      </w:r>
    </w:p>
    <w:p w14:paraId="6E4CECA6" w14:textId="77777777" w:rsidR="00213E59" w:rsidRPr="00857F3B" w:rsidRDefault="00213E59" w:rsidP="000A2ADE">
      <w:pPr>
        <w:tabs>
          <w:tab w:val="left" w:pos="0"/>
        </w:tabs>
        <w:ind w:hanging="360"/>
        <w:jc w:val="both"/>
      </w:pPr>
      <w:r w:rsidRPr="00857F3B">
        <w:tab/>
      </w:r>
      <w:r w:rsidRPr="00857F3B">
        <w:tab/>
      </w:r>
      <w:r w:rsidR="00FC4C79" w:rsidRPr="00857F3B">
        <w:t xml:space="preserve">Pateikti  </w:t>
      </w:r>
      <w:r w:rsidR="007108CE" w:rsidRPr="00857F3B">
        <w:t>ataskaito</w:t>
      </w:r>
      <w:r w:rsidR="006D3A70" w:rsidRPr="00857F3B">
        <w:t>s</w:t>
      </w:r>
      <w:r w:rsidR="004E42A9" w:rsidRPr="00857F3B">
        <w:t xml:space="preserve"> </w:t>
      </w:r>
      <w:r w:rsidR="00CA67FF" w:rsidRPr="00857F3B">
        <w:t>3</w:t>
      </w:r>
      <w:r w:rsidR="007108CE" w:rsidRPr="00857F3B">
        <w:t xml:space="preserve"> pr</w:t>
      </w:r>
      <w:r w:rsidR="00FC4C79" w:rsidRPr="00857F3B">
        <w:t>iede</w:t>
      </w:r>
      <w:r w:rsidR="007108CE" w:rsidRPr="00857F3B">
        <w:t>.</w:t>
      </w:r>
    </w:p>
    <w:p w14:paraId="181F98D7" w14:textId="77777777" w:rsidR="007108CE" w:rsidRPr="00857F3B" w:rsidRDefault="007108CE" w:rsidP="000A2ADE">
      <w:pPr>
        <w:tabs>
          <w:tab w:val="left" w:pos="0"/>
        </w:tabs>
        <w:ind w:hanging="360"/>
        <w:jc w:val="both"/>
      </w:pPr>
    </w:p>
    <w:p w14:paraId="0F371F63" w14:textId="77777777" w:rsidR="00213E59" w:rsidRPr="00857F3B" w:rsidRDefault="00213E59" w:rsidP="000A2ADE">
      <w:pPr>
        <w:tabs>
          <w:tab w:val="left" w:pos="0"/>
        </w:tabs>
        <w:jc w:val="both"/>
      </w:pPr>
      <w:r w:rsidRPr="00857F3B">
        <w:rPr>
          <w:b/>
        </w:rPr>
        <w:t>5.Galimos neigiamos pasekmės priėmus sprendimą, kokių priemonių reikėtų imtis, kad tokių pasekmių būtų išvengta</w:t>
      </w:r>
      <w:r w:rsidRPr="00857F3B">
        <w:t xml:space="preserve">:  </w:t>
      </w:r>
    </w:p>
    <w:p w14:paraId="50BBE40B" w14:textId="77777777" w:rsidR="00213E59" w:rsidRPr="00857F3B" w:rsidRDefault="00213E59" w:rsidP="000A2ADE">
      <w:pPr>
        <w:tabs>
          <w:tab w:val="left" w:pos="0"/>
        </w:tabs>
        <w:jc w:val="both"/>
      </w:pPr>
      <w:r w:rsidRPr="00857F3B">
        <w:tab/>
        <w:t>Priėmus sprendimą  neigiamų pasekmių nesitikima.</w:t>
      </w:r>
    </w:p>
    <w:p w14:paraId="532853FC" w14:textId="77777777" w:rsidR="00213E59" w:rsidRPr="00857F3B" w:rsidRDefault="00213E59" w:rsidP="000A2ADE">
      <w:pPr>
        <w:tabs>
          <w:tab w:val="left" w:pos="0"/>
        </w:tabs>
        <w:ind w:left="360"/>
        <w:jc w:val="both"/>
      </w:pPr>
    </w:p>
    <w:p w14:paraId="4D2ACA28" w14:textId="77777777" w:rsidR="00FC4C79" w:rsidRPr="00857F3B" w:rsidRDefault="00213E59" w:rsidP="000A2ADE">
      <w:pPr>
        <w:tabs>
          <w:tab w:val="left" w:pos="0"/>
        </w:tabs>
        <w:jc w:val="both"/>
        <w:rPr>
          <w:b/>
        </w:rPr>
      </w:pPr>
      <w:r w:rsidRPr="00857F3B">
        <w:rPr>
          <w:b/>
        </w:rPr>
        <w:t>6.Kieno iniciatyva parengtas sprendimo projektas</w:t>
      </w:r>
      <w:r w:rsidR="00FC4C79" w:rsidRPr="00857F3B">
        <w:rPr>
          <w:b/>
        </w:rPr>
        <w:t>.</w:t>
      </w:r>
    </w:p>
    <w:p w14:paraId="7D9A31AD" w14:textId="77777777" w:rsidR="00FC4C79" w:rsidRPr="00857F3B" w:rsidRDefault="004C6004" w:rsidP="000A2ADE">
      <w:pPr>
        <w:tabs>
          <w:tab w:val="left" w:pos="0"/>
        </w:tabs>
        <w:jc w:val="both"/>
        <w:rPr>
          <w:b/>
        </w:rPr>
      </w:pPr>
      <w:r w:rsidRPr="00857F3B">
        <w:tab/>
      </w:r>
      <w:r w:rsidR="00FC4C79" w:rsidRPr="00857F3B">
        <w:t xml:space="preserve">Projekto rengėjas – </w:t>
      </w:r>
      <w:r w:rsidR="00105CA9" w:rsidRPr="00857F3B">
        <w:t>Panevėžio miesto s</w:t>
      </w:r>
      <w:r w:rsidR="00FC4C79" w:rsidRPr="00857F3B">
        <w:t>avivaldybės administracij</w:t>
      </w:r>
      <w:r w:rsidR="00F53D2F" w:rsidRPr="00857F3B">
        <w:t>a</w:t>
      </w:r>
      <w:r w:rsidR="00FC4C79" w:rsidRPr="00857F3B">
        <w:t>.</w:t>
      </w:r>
    </w:p>
    <w:p w14:paraId="1F70AF30" w14:textId="77777777" w:rsidR="004B34E9" w:rsidRPr="00857F3B" w:rsidRDefault="004B34E9" w:rsidP="000A2ADE">
      <w:pPr>
        <w:jc w:val="both"/>
      </w:pPr>
    </w:p>
    <w:p w14:paraId="40FD894C" w14:textId="77777777" w:rsidR="00932613" w:rsidRPr="00857F3B" w:rsidRDefault="00AE477B" w:rsidP="000A2ADE">
      <w:pPr>
        <w:pStyle w:val="Porat"/>
        <w:tabs>
          <w:tab w:val="clear" w:pos="4153"/>
          <w:tab w:val="clear" w:pos="8306"/>
        </w:tabs>
        <w:jc w:val="both"/>
        <w:outlineLvl w:val="0"/>
        <w:rPr>
          <w:szCs w:val="24"/>
        </w:rPr>
      </w:pPr>
      <w:r w:rsidRPr="00857F3B">
        <w:rPr>
          <w:szCs w:val="24"/>
        </w:rPr>
        <w:t xml:space="preserve">Priedai. </w:t>
      </w:r>
    </w:p>
    <w:p w14:paraId="5988FFAD" w14:textId="77777777" w:rsidR="00812214" w:rsidRPr="00857F3B" w:rsidRDefault="00812214" w:rsidP="00812214">
      <w:pPr>
        <w:pStyle w:val="Porat"/>
        <w:numPr>
          <w:ilvl w:val="0"/>
          <w:numId w:val="3"/>
        </w:numPr>
        <w:tabs>
          <w:tab w:val="clear" w:pos="4153"/>
          <w:tab w:val="clear" w:pos="8306"/>
        </w:tabs>
        <w:jc w:val="both"/>
        <w:outlineLvl w:val="0"/>
        <w:rPr>
          <w:szCs w:val="24"/>
        </w:rPr>
      </w:pPr>
      <w:r w:rsidRPr="00857F3B">
        <w:rPr>
          <w:szCs w:val="24"/>
        </w:rPr>
        <w:t>priedas. Panevėžio miesto plėtros strateginio plano įgyvendinimo vizijos rodikliai</w:t>
      </w:r>
    </w:p>
    <w:p w14:paraId="77C56C3B" w14:textId="77777777" w:rsidR="00812214" w:rsidRPr="00857F3B" w:rsidRDefault="00812214" w:rsidP="00812214">
      <w:pPr>
        <w:pStyle w:val="Porat"/>
        <w:numPr>
          <w:ilvl w:val="0"/>
          <w:numId w:val="3"/>
        </w:numPr>
        <w:tabs>
          <w:tab w:val="clear" w:pos="4153"/>
          <w:tab w:val="clear" w:pos="8306"/>
        </w:tabs>
        <w:jc w:val="both"/>
        <w:outlineLvl w:val="0"/>
        <w:rPr>
          <w:szCs w:val="24"/>
        </w:rPr>
      </w:pPr>
      <w:r w:rsidRPr="00857F3B">
        <w:rPr>
          <w:szCs w:val="24"/>
        </w:rPr>
        <w:t>priedas. Panevėžio miesto plėtros strateginio plano įgyvendinimo prioritetų rodikliai</w:t>
      </w:r>
    </w:p>
    <w:p w14:paraId="6BD61236" w14:textId="25DC6BE6" w:rsidR="00812214" w:rsidRPr="00857F3B" w:rsidRDefault="00812214" w:rsidP="00812214">
      <w:pPr>
        <w:pStyle w:val="Porat"/>
        <w:numPr>
          <w:ilvl w:val="0"/>
          <w:numId w:val="3"/>
        </w:numPr>
        <w:tabs>
          <w:tab w:val="clear" w:pos="4153"/>
          <w:tab w:val="clear" w:pos="8306"/>
        </w:tabs>
        <w:jc w:val="both"/>
        <w:outlineLvl w:val="0"/>
        <w:rPr>
          <w:szCs w:val="24"/>
        </w:rPr>
      </w:pPr>
      <w:r w:rsidRPr="00857F3B">
        <w:rPr>
          <w:szCs w:val="24"/>
        </w:rPr>
        <w:t>priedas. Priemonių įgyvendinimo lygio rodikliai už 20</w:t>
      </w:r>
      <w:r w:rsidR="00857F3B">
        <w:rPr>
          <w:szCs w:val="24"/>
        </w:rPr>
        <w:t>20</w:t>
      </w:r>
      <w:r w:rsidRPr="00857F3B">
        <w:rPr>
          <w:szCs w:val="24"/>
        </w:rPr>
        <w:t xml:space="preserve"> m.</w:t>
      </w:r>
    </w:p>
    <w:p w14:paraId="0E858859" w14:textId="77777777" w:rsidR="00D14E01" w:rsidRPr="00FB6B5B" w:rsidRDefault="00D14E01" w:rsidP="000A2ADE">
      <w:pPr>
        <w:jc w:val="both"/>
        <w:rPr>
          <w:color w:val="FF0000"/>
        </w:rPr>
      </w:pPr>
    </w:p>
    <w:p w14:paraId="33CC7302" w14:textId="77777777" w:rsidR="00A753B8" w:rsidRPr="00857F3B" w:rsidRDefault="00A753B8" w:rsidP="000A2ADE">
      <w:pPr>
        <w:pStyle w:val="Porat"/>
        <w:tabs>
          <w:tab w:val="clear" w:pos="4153"/>
          <w:tab w:val="clear" w:pos="8306"/>
        </w:tabs>
        <w:ind w:firstLine="748"/>
        <w:jc w:val="both"/>
        <w:outlineLvl w:val="0"/>
      </w:pPr>
    </w:p>
    <w:p w14:paraId="4564E1CD" w14:textId="77777777" w:rsidR="00682A80" w:rsidRPr="00857F3B" w:rsidRDefault="00F53D2F" w:rsidP="000A2ADE">
      <w:pPr>
        <w:pStyle w:val="Pagrindinistekstas2"/>
        <w:rPr>
          <w:b w:val="0"/>
          <w:sz w:val="24"/>
          <w:szCs w:val="24"/>
        </w:rPr>
      </w:pPr>
      <w:r w:rsidRPr="00857F3B">
        <w:rPr>
          <w:b w:val="0"/>
          <w:sz w:val="24"/>
          <w:szCs w:val="24"/>
        </w:rPr>
        <w:t>Strateginio planavimo</w:t>
      </w:r>
      <w:r w:rsidR="00CB3354" w:rsidRPr="00857F3B">
        <w:rPr>
          <w:b w:val="0"/>
          <w:sz w:val="24"/>
          <w:szCs w:val="24"/>
        </w:rPr>
        <w:t xml:space="preserve"> </w:t>
      </w:r>
      <w:r w:rsidRPr="00857F3B">
        <w:rPr>
          <w:b w:val="0"/>
          <w:sz w:val="24"/>
          <w:szCs w:val="24"/>
        </w:rPr>
        <w:t xml:space="preserve">ir </w:t>
      </w:r>
    </w:p>
    <w:p w14:paraId="4A3759A7" w14:textId="77777777" w:rsidR="00B51A18" w:rsidRPr="00857F3B" w:rsidRDefault="00CB3354" w:rsidP="000A2ADE">
      <w:pPr>
        <w:pStyle w:val="Pagrindinistekstas2"/>
        <w:rPr>
          <w:b w:val="0"/>
          <w:noProof/>
          <w:sz w:val="24"/>
          <w:szCs w:val="24"/>
        </w:rPr>
      </w:pPr>
      <w:r w:rsidRPr="00857F3B">
        <w:rPr>
          <w:b w:val="0"/>
          <w:sz w:val="24"/>
          <w:szCs w:val="24"/>
        </w:rPr>
        <w:t xml:space="preserve">finansų </w:t>
      </w:r>
      <w:r w:rsidR="00380DCF" w:rsidRPr="00857F3B">
        <w:rPr>
          <w:b w:val="0"/>
          <w:sz w:val="24"/>
          <w:szCs w:val="24"/>
        </w:rPr>
        <w:t>skyriaus</w:t>
      </w:r>
      <w:r w:rsidR="00682A80" w:rsidRPr="00857F3B">
        <w:rPr>
          <w:b w:val="0"/>
          <w:sz w:val="24"/>
          <w:szCs w:val="24"/>
        </w:rPr>
        <w:t xml:space="preserve"> </w:t>
      </w:r>
      <w:r w:rsidR="00380DCF" w:rsidRPr="00857F3B">
        <w:rPr>
          <w:b w:val="0"/>
          <w:sz w:val="24"/>
          <w:szCs w:val="24"/>
        </w:rPr>
        <w:t xml:space="preserve"> vyr.</w:t>
      </w:r>
      <w:r w:rsidR="00F53D2F" w:rsidRPr="00857F3B">
        <w:rPr>
          <w:b w:val="0"/>
          <w:sz w:val="24"/>
          <w:szCs w:val="24"/>
        </w:rPr>
        <w:t xml:space="preserve"> </w:t>
      </w:r>
      <w:r w:rsidR="00380DCF" w:rsidRPr="00857F3B">
        <w:rPr>
          <w:b w:val="0"/>
          <w:sz w:val="24"/>
          <w:szCs w:val="24"/>
        </w:rPr>
        <w:t>specialistė</w:t>
      </w:r>
      <w:r w:rsidR="00261A04" w:rsidRPr="00857F3B">
        <w:rPr>
          <w:b w:val="0"/>
          <w:sz w:val="24"/>
          <w:szCs w:val="24"/>
        </w:rPr>
        <w:tab/>
      </w:r>
      <w:r w:rsidR="002314B3" w:rsidRPr="00857F3B">
        <w:rPr>
          <w:b w:val="0"/>
          <w:sz w:val="24"/>
          <w:szCs w:val="24"/>
        </w:rPr>
        <w:tab/>
      </w:r>
      <w:r w:rsidR="002314B3" w:rsidRPr="00857F3B">
        <w:rPr>
          <w:b w:val="0"/>
          <w:sz w:val="24"/>
          <w:szCs w:val="24"/>
        </w:rPr>
        <w:tab/>
      </w:r>
      <w:r w:rsidR="00261A04" w:rsidRPr="00857F3B">
        <w:rPr>
          <w:b w:val="0"/>
          <w:sz w:val="24"/>
          <w:szCs w:val="24"/>
        </w:rPr>
        <w:t>Asta Puodžiūnienė</w:t>
      </w:r>
    </w:p>
    <w:sectPr w:rsidR="00B51A18" w:rsidRPr="00857F3B" w:rsidSect="00E475A0">
      <w:footerReference w:type="even" r:id="rId7"/>
      <w:footerReference w:type="default" r:id="rId8"/>
      <w:pgSz w:w="11906" w:h="16838"/>
      <w:pgMar w:top="899" w:right="873" w:bottom="28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376F64" w14:textId="77777777" w:rsidR="00500157" w:rsidRDefault="00500157">
      <w:r>
        <w:separator/>
      </w:r>
    </w:p>
  </w:endnote>
  <w:endnote w:type="continuationSeparator" w:id="0">
    <w:p w14:paraId="5262D961" w14:textId="77777777" w:rsidR="00500157" w:rsidRDefault="00500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6A3263" w14:textId="77777777" w:rsidR="00F711FB" w:rsidRDefault="006D28C8" w:rsidP="00A97BCB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F711FB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A1BCD71" w14:textId="77777777" w:rsidR="00F711FB" w:rsidRDefault="00F711FB" w:rsidP="00A97BCB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CF65A7" w14:textId="77777777" w:rsidR="00F711FB" w:rsidRDefault="006D28C8" w:rsidP="00A97BCB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F711FB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35F5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77BBB2B" w14:textId="77777777" w:rsidR="00F711FB" w:rsidRDefault="00F711FB" w:rsidP="00A97BCB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90353A" w14:textId="77777777" w:rsidR="00500157" w:rsidRDefault="00500157">
      <w:r>
        <w:separator/>
      </w:r>
    </w:p>
  </w:footnote>
  <w:footnote w:type="continuationSeparator" w:id="0">
    <w:p w14:paraId="1169EE65" w14:textId="77777777" w:rsidR="00500157" w:rsidRDefault="00500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87E34"/>
    <w:multiLevelType w:val="hybridMultilevel"/>
    <w:tmpl w:val="7046AC7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894E07"/>
    <w:multiLevelType w:val="hybridMultilevel"/>
    <w:tmpl w:val="45BE0D18"/>
    <w:lvl w:ilvl="0" w:tplc="0427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581C6BBF"/>
    <w:multiLevelType w:val="hybridMultilevel"/>
    <w:tmpl w:val="BF34A28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24540E"/>
    <w:multiLevelType w:val="hybridMultilevel"/>
    <w:tmpl w:val="2AB4C79C"/>
    <w:lvl w:ilvl="0" w:tplc="6854E648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950898"/>
    <w:multiLevelType w:val="hybridMultilevel"/>
    <w:tmpl w:val="3C18BD7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63"/>
    <w:rsid w:val="00002937"/>
    <w:rsid w:val="0001501D"/>
    <w:rsid w:val="00016F50"/>
    <w:rsid w:val="00020C9B"/>
    <w:rsid w:val="00037186"/>
    <w:rsid w:val="000423FC"/>
    <w:rsid w:val="0004255D"/>
    <w:rsid w:val="00050A86"/>
    <w:rsid w:val="000513FF"/>
    <w:rsid w:val="000545B9"/>
    <w:rsid w:val="000618F9"/>
    <w:rsid w:val="00063974"/>
    <w:rsid w:val="0006592E"/>
    <w:rsid w:val="00066BB6"/>
    <w:rsid w:val="00072CBD"/>
    <w:rsid w:val="0007512F"/>
    <w:rsid w:val="000878D5"/>
    <w:rsid w:val="00087F26"/>
    <w:rsid w:val="0009046E"/>
    <w:rsid w:val="00090F4D"/>
    <w:rsid w:val="00091063"/>
    <w:rsid w:val="00091A4B"/>
    <w:rsid w:val="00095571"/>
    <w:rsid w:val="00096B79"/>
    <w:rsid w:val="00096FC8"/>
    <w:rsid w:val="000A2ADE"/>
    <w:rsid w:val="000A3026"/>
    <w:rsid w:val="000A5007"/>
    <w:rsid w:val="000A6A31"/>
    <w:rsid w:val="000B66D7"/>
    <w:rsid w:val="000C3EEE"/>
    <w:rsid w:val="000C5E3F"/>
    <w:rsid w:val="000D02C4"/>
    <w:rsid w:val="000E2338"/>
    <w:rsid w:val="000F3D61"/>
    <w:rsid w:val="00101CFF"/>
    <w:rsid w:val="00105CA9"/>
    <w:rsid w:val="00112CDC"/>
    <w:rsid w:val="00113E55"/>
    <w:rsid w:val="00117BE3"/>
    <w:rsid w:val="0012215A"/>
    <w:rsid w:val="00122AD1"/>
    <w:rsid w:val="00125414"/>
    <w:rsid w:val="001266DA"/>
    <w:rsid w:val="00132034"/>
    <w:rsid w:val="00132586"/>
    <w:rsid w:val="001355AF"/>
    <w:rsid w:val="00135F79"/>
    <w:rsid w:val="0014117F"/>
    <w:rsid w:val="00142E18"/>
    <w:rsid w:val="0015067F"/>
    <w:rsid w:val="00151B7C"/>
    <w:rsid w:val="00153FED"/>
    <w:rsid w:val="001540C9"/>
    <w:rsid w:val="001626AD"/>
    <w:rsid w:val="00162BBD"/>
    <w:rsid w:val="0016309E"/>
    <w:rsid w:val="00166405"/>
    <w:rsid w:val="0016754D"/>
    <w:rsid w:val="00175481"/>
    <w:rsid w:val="0018000A"/>
    <w:rsid w:val="00191A78"/>
    <w:rsid w:val="00193CAF"/>
    <w:rsid w:val="00194A45"/>
    <w:rsid w:val="001967D8"/>
    <w:rsid w:val="001B32F8"/>
    <w:rsid w:val="001B5B5B"/>
    <w:rsid w:val="001B7FAD"/>
    <w:rsid w:val="001C36C5"/>
    <w:rsid w:val="001D1192"/>
    <w:rsid w:val="001D5190"/>
    <w:rsid w:val="001E2F5C"/>
    <w:rsid w:val="001E3B2F"/>
    <w:rsid w:val="001E3C54"/>
    <w:rsid w:val="001F2292"/>
    <w:rsid w:val="001F6FAF"/>
    <w:rsid w:val="002021A4"/>
    <w:rsid w:val="00204AAC"/>
    <w:rsid w:val="0020739B"/>
    <w:rsid w:val="002111F7"/>
    <w:rsid w:val="00211928"/>
    <w:rsid w:val="00213E59"/>
    <w:rsid w:val="0021416D"/>
    <w:rsid w:val="00217B8D"/>
    <w:rsid w:val="00221DCE"/>
    <w:rsid w:val="00222F3F"/>
    <w:rsid w:val="00224417"/>
    <w:rsid w:val="002244D4"/>
    <w:rsid w:val="00224608"/>
    <w:rsid w:val="002265BD"/>
    <w:rsid w:val="002311AB"/>
    <w:rsid w:val="002314B3"/>
    <w:rsid w:val="002327B7"/>
    <w:rsid w:val="00261A04"/>
    <w:rsid w:val="00267A54"/>
    <w:rsid w:val="002724DE"/>
    <w:rsid w:val="00274131"/>
    <w:rsid w:val="00275332"/>
    <w:rsid w:val="0027646C"/>
    <w:rsid w:val="00280917"/>
    <w:rsid w:val="002812D4"/>
    <w:rsid w:val="0028569F"/>
    <w:rsid w:val="00290B36"/>
    <w:rsid w:val="00292B40"/>
    <w:rsid w:val="00293D0E"/>
    <w:rsid w:val="002A0A7B"/>
    <w:rsid w:val="002A3E1E"/>
    <w:rsid w:val="002B646B"/>
    <w:rsid w:val="002C05DB"/>
    <w:rsid w:val="002C0AEE"/>
    <w:rsid w:val="002C28AF"/>
    <w:rsid w:val="002C2F3E"/>
    <w:rsid w:val="002C369D"/>
    <w:rsid w:val="002C44AB"/>
    <w:rsid w:val="002C5927"/>
    <w:rsid w:val="002D30E9"/>
    <w:rsid w:val="002D5212"/>
    <w:rsid w:val="002D5AFA"/>
    <w:rsid w:val="002D6584"/>
    <w:rsid w:val="002E0906"/>
    <w:rsid w:val="002F191F"/>
    <w:rsid w:val="002F308C"/>
    <w:rsid w:val="002F39F1"/>
    <w:rsid w:val="002F75A0"/>
    <w:rsid w:val="00302F1D"/>
    <w:rsid w:val="0030424A"/>
    <w:rsid w:val="003060FE"/>
    <w:rsid w:val="0030620D"/>
    <w:rsid w:val="00307233"/>
    <w:rsid w:val="00307C05"/>
    <w:rsid w:val="0031288A"/>
    <w:rsid w:val="00315E59"/>
    <w:rsid w:val="00316104"/>
    <w:rsid w:val="00326A91"/>
    <w:rsid w:val="0032726E"/>
    <w:rsid w:val="003277D1"/>
    <w:rsid w:val="00327B2C"/>
    <w:rsid w:val="00330ABA"/>
    <w:rsid w:val="00334506"/>
    <w:rsid w:val="0033545C"/>
    <w:rsid w:val="003404F2"/>
    <w:rsid w:val="003433A5"/>
    <w:rsid w:val="00347C32"/>
    <w:rsid w:val="003529EC"/>
    <w:rsid w:val="00354581"/>
    <w:rsid w:val="00354EE0"/>
    <w:rsid w:val="00356370"/>
    <w:rsid w:val="00360BB3"/>
    <w:rsid w:val="00374437"/>
    <w:rsid w:val="00376E04"/>
    <w:rsid w:val="00377A47"/>
    <w:rsid w:val="00380DCF"/>
    <w:rsid w:val="00381984"/>
    <w:rsid w:val="00390C8E"/>
    <w:rsid w:val="003916A8"/>
    <w:rsid w:val="00396535"/>
    <w:rsid w:val="00397438"/>
    <w:rsid w:val="003A13AC"/>
    <w:rsid w:val="003A1B8E"/>
    <w:rsid w:val="003A41FF"/>
    <w:rsid w:val="003A5A8B"/>
    <w:rsid w:val="003A5C79"/>
    <w:rsid w:val="003A6340"/>
    <w:rsid w:val="003A76D4"/>
    <w:rsid w:val="003B7E42"/>
    <w:rsid w:val="003C197D"/>
    <w:rsid w:val="003C249F"/>
    <w:rsid w:val="003C3567"/>
    <w:rsid w:val="003D164D"/>
    <w:rsid w:val="003D3C6D"/>
    <w:rsid w:val="003D6A12"/>
    <w:rsid w:val="003E022D"/>
    <w:rsid w:val="003F4983"/>
    <w:rsid w:val="00401956"/>
    <w:rsid w:val="00407698"/>
    <w:rsid w:val="00414BC9"/>
    <w:rsid w:val="004164C0"/>
    <w:rsid w:val="0042235D"/>
    <w:rsid w:val="00425850"/>
    <w:rsid w:val="00431223"/>
    <w:rsid w:val="004347E8"/>
    <w:rsid w:val="0044231D"/>
    <w:rsid w:val="00443E73"/>
    <w:rsid w:val="00444774"/>
    <w:rsid w:val="004465FE"/>
    <w:rsid w:val="00455EEA"/>
    <w:rsid w:val="00463CEE"/>
    <w:rsid w:val="00464A5B"/>
    <w:rsid w:val="0046783D"/>
    <w:rsid w:val="00477082"/>
    <w:rsid w:val="0048148B"/>
    <w:rsid w:val="004847F2"/>
    <w:rsid w:val="004848AF"/>
    <w:rsid w:val="00487558"/>
    <w:rsid w:val="00492007"/>
    <w:rsid w:val="004924B7"/>
    <w:rsid w:val="004A15A1"/>
    <w:rsid w:val="004A2C39"/>
    <w:rsid w:val="004B1858"/>
    <w:rsid w:val="004B34E9"/>
    <w:rsid w:val="004B3982"/>
    <w:rsid w:val="004C6004"/>
    <w:rsid w:val="004C6300"/>
    <w:rsid w:val="004E0401"/>
    <w:rsid w:val="004E42A9"/>
    <w:rsid w:val="004E65BB"/>
    <w:rsid w:val="004F193B"/>
    <w:rsid w:val="004F1A26"/>
    <w:rsid w:val="004F1F96"/>
    <w:rsid w:val="004F6BE3"/>
    <w:rsid w:val="0050013E"/>
    <w:rsid w:val="00500157"/>
    <w:rsid w:val="00502191"/>
    <w:rsid w:val="00502319"/>
    <w:rsid w:val="0050578F"/>
    <w:rsid w:val="00505ED1"/>
    <w:rsid w:val="00511127"/>
    <w:rsid w:val="0051398B"/>
    <w:rsid w:val="005164A9"/>
    <w:rsid w:val="0052143E"/>
    <w:rsid w:val="00522935"/>
    <w:rsid w:val="00527425"/>
    <w:rsid w:val="00530771"/>
    <w:rsid w:val="00530BAB"/>
    <w:rsid w:val="00534EB6"/>
    <w:rsid w:val="00535285"/>
    <w:rsid w:val="005424F9"/>
    <w:rsid w:val="00555719"/>
    <w:rsid w:val="0056133D"/>
    <w:rsid w:val="00565289"/>
    <w:rsid w:val="00567F84"/>
    <w:rsid w:val="0057010F"/>
    <w:rsid w:val="005735D8"/>
    <w:rsid w:val="00577DF5"/>
    <w:rsid w:val="00581306"/>
    <w:rsid w:val="00581608"/>
    <w:rsid w:val="005822C1"/>
    <w:rsid w:val="00583551"/>
    <w:rsid w:val="00584040"/>
    <w:rsid w:val="00584047"/>
    <w:rsid w:val="005841DC"/>
    <w:rsid w:val="00591E4C"/>
    <w:rsid w:val="0059545A"/>
    <w:rsid w:val="00596563"/>
    <w:rsid w:val="005A56FF"/>
    <w:rsid w:val="005A5F5F"/>
    <w:rsid w:val="005A63E1"/>
    <w:rsid w:val="005B49A3"/>
    <w:rsid w:val="005B4F01"/>
    <w:rsid w:val="005B5217"/>
    <w:rsid w:val="005B722A"/>
    <w:rsid w:val="005C2EB7"/>
    <w:rsid w:val="005C4E66"/>
    <w:rsid w:val="005D1781"/>
    <w:rsid w:val="005D63C1"/>
    <w:rsid w:val="005E2183"/>
    <w:rsid w:val="005E3BC6"/>
    <w:rsid w:val="005E6B95"/>
    <w:rsid w:val="005F0CC4"/>
    <w:rsid w:val="005F3A5D"/>
    <w:rsid w:val="006049DC"/>
    <w:rsid w:val="00616D16"/>
    <w:rsid w:val="00616EC4"/>
    <w:rsid w:val="00617478"/>
    <w:rsid w:val="00635314"/>
    <w:rsid w:val="00635879"/>
    <w:rsid w:val="00637C72"/>
    <w:rsid w:val="00641184"/>
    <w:rsid w:val="00643660"/>
    <w:rsid w:val="0066260E"/>
    <w:rsid w:val="00662F9E"/>
    <w:rsid w:val="0066416B"/>
    <w:rsid w:val="00665022"/>
    <w:rsid w:val="006672BB"/>
    <w:rsid w:val="006678DF"/>
    <w:rsid w:val="006765ED"/>
    <w:rsid w:val="00676720"/>
    <w:rsid w:val="006776CE"/>
    <w:rsid w:val="00682A80"/>
    <w:rsid w:val="00687035"/>
    <w:rsid w:val="0068786F"/>
    <w:rsid w:val="00691A32"/>
    <w:rsid w:val="00692CEE"/>
    <w:rsid w:val="006A52F4"/>
    <w:rsid w:val="006A6584"/>
    <w:rsid w:val="006A749A"/>
    <w:rsid w:val="006A7769"/>
    <w:rsid w:val="006B0DD9"/>
    <w:rsid w:val="006B220C"/>
    <w:rsid w:val="006B3F9C"/>
    <w:rsid w:val="006B45CE"/>
    <w:rsid w:val="006B6273"/>
    <w:rsid w:val="006C23E1"/>
    <w:rsid w:val="006C4BAD"/>
    <w:rsid w:val="006D00D6"/>
    <w:rsid w:val="006D1F20"/>
    <w:rsid w:val="006D28C8"/>
    <w:rsid w:val="006D3A70"/>
    <w:rsid w:val="006D3BF7"/>
    <w:rsid w:val="006E5210"/>
    <w:rsid w:val="006E6CB8"/>
    <w:rsid w:val="006E7612"/>
    <w:rsid w:val="006F5C2F"/>
    <w:rsid w:val="00701C13"/>
    <w:rsid w:val="007027AF"/>
    <w:rsid w:val="007032CD"/>
    <w:rsid w:val="00704A92"/>
    <w:rsid w:val="007108CE"/>
    <w:rsid w:val="00710B3D"/>
    <w:rsid w:val="007139AE"/>
    <w:rsid w:val="00723353"/>
    <w:rsid w:val="00726957"/>
    <w:rsid w:val="007415C6"/>
    <w:rsid w:val="0074483A"/>
    <w:rsid w:val="00746205"/>
    <w:rsid w:val="0075313A"/>
    <w:rsid w:val="00756192"/>
    <w:rsid w:val="00756897"/>
    <w:rsid w:val="00765B55"/>
    <w:rsid w:val="00771F6B"/>
    <w:rsid w:val="00774AC3"/>
    <w:rsid w:val="00775078"/>
    <w:rsid w:val="007758C3"/>
    <w:rsid w:val="00776DFA"/>
    <w:rsid w:val="007770C5"/>
    <w:rsid w:val="007812A1"/>
    <w:rsid w:val="007813EC"/>
    <w:rsid w:val="00781920"/>
    <w:rsid w:val="00790729"/>
    <w:rsid w:val="00792F74"/>
    <w:rsid w:val="0079760E"/>
    <w:rsid w:val="00797A91"/>
    <w:rsid w:val="00797DB1"/>
    <w:rsid w:val="007A2304"/>
    <w:rsid w:val="007A6236"/>
    <w:rsid w:val="007B1D7B"/>
    <w:rsid w:val="007B2537"/>
    <w:rsid w:val="007C4B79"/>
    <w:rsid w:val="007C6322"/>
    <w:rsid w:val="007C7210"/>
    <w:rsid w:val="007D1BE7"/>
    <w:rsid w:val="007D2461"/>
    <w:rsid w:val="007E03A6"/>
    <w:rsid w:val="007E36AC"/>
    <w:rsid w:val="007E61C1"/>
    <w:rsid w:val="007E71A5"/>
    <w:rsid w:val="007E762C"/>
    <w:rsid w:val="007F0796"/>
    <w:rsid w:val="007F2C11"/>
    <w:rsid w:val="007F36EF"/>
    <w:rsid w:val="007F3A90"/>
    <w:rsid w:val="00804F83"/>
    <w:rsid w:val="00805015"/>
    <w:rsid w:val="0081004C"/>
    <w:rsid w:val="00810794"/>
    <w:rsid w:val="00812214"/>
    <w:rsid w:val="00813C43"/>
    <w:rsid w:val="00813DBC"/>
    <w:rsid w:val="00815A07"/>
    <w:rsid w:val="00820677"/>
    <w:rsid w:val="008227A0"/>
    <w:rsid w:val="00822A7F"/>
    <w:rsid w:val="0082350B"/>
    <w:rsid w:val="0082531B"/>
    <w:rsid w:val="0082635B"/>
    <w:rsid w:val="00826BF0"/>
    <w:rsid w:val="00827169"/>
    <w:rsid w:val="008304B2"/>
    <w:rsid w:val="00830F9E"/>
    <w:rsid w:val="00836848"/>
    <w:rsid w:val="00840BBD"/>
    <w:rsid w:val="0084568F"/>
    <w:rsid w:val="00850FC1"/>
    <w:rsid w:val="008514FF"/>
    <w:rsid w:val="00852634"/>
    <w:rsid w:val="00857F3B"/>
    <w:rsid w:val="0086348C"/>
    <w:rsid w:val="008661A7"/>
    <w:rsid w:val="00871B24"/>
    <w:rsid w:val="00891B8C"/>
    <w:rsid w:val="00891C6C"/>
    <w:rsid w:val="00894D20"/>
    <w:rsid w:val="0089515C"/>
    <w:rsid w:val="008A095F"/>
    <w:rsid w:val="008A2210"/>
    <w:rsid w:val="008A61F3"/>
    <w:rsid w:val="008A77FA"/>
    <w:rsid w:val="008B5F7E"/>
    <w:rsid w:val="008C192A"/>
    <w:rsid w:val="008E7FA4"/>
    <w:rsid w:val="008F292A"/>
    <w:rsid w:val="008F4DF4"/>
    <w:rsid w:val="008F78EF"/>
    <w:rsid w:val="00904BE1"/>
    <w:rsid w:val="00906C1B"/>
    <w:rsid w:val="00910589"/>
    <w:rsid w:val="00910F1A"/>
    <w:rsid w:val="00913154"/>
    <w:rsid w:val="009148B7"/>
    <w:rsid w:val="0091562E"/>
    <w:rsid w:val="009233C2"/>
    <w:rsid w:val="00926BE9"/>
    <w:rsid w:val="00932613"/>
    <w:rsid w:val="0093333C"/>
    <w:rsid w:val="00933B1D"/>
    <w:rsid w:val="0093726E"/>
    <w:rsid w:val="00944CC0"/>
    <w:rsid w:val="00947415"/>
    <w:rsid w:val="0094758F"/>
    <w:rsid w:val="009504C4"/>
    <w:rsid w:val="00962487"/>
    <w:rsid w:val="0096390F"/>
    <w:rsid w:val="00972C25"/>
    <w:rsid w:val="0098153E"/>
    <w:rsid w:val="00991274"/>
    <w:rsid w:val="0099341A"/>
    <w:rsid w:val="00997902"/>
    <w:rsid w:val="009A041D"/>
    <w:rsid w:val="009A09DF"/>
    <w:rsid w:val="009A0E4E"/>
    <w:rsid w:val="009A1F50"/>
    <w:rsid w:val="009A2326"/>
    <w:rsid w:val="009A5161"/>
    <w:rsid w:val="009B002C"/>
    <w:rsid w:val="009B0F82"/>
    <w:rsid w:val="009B3612"/>
    <w:rsid w:val="009C0754"/>
    <w:rsid w:val="009C44E7"/>
    <w:rsid w:val="009C5077"/>
    <w:rsid w:val="009C68F3"/>
    <w:rsid w:val="009D2DE1"/>
    <w:rsid w:val="009D44C8"/>
    <w:rsid w:val="009E6E03"/>
    <w:rsid w:val="009F026E"/>
    <w:rsid w:val="009F5AA3"/>
    <w:rsid w:val="00A02F88"/>
    <w:rsid w:val="00A074F2"/>
    <w:rsid w:val="00A10A92"/>
    <w:rsid w:val="00A10DB1"/>
    <w:rsid w:val="00A205AF"/>
    <w:rsid w:val="00A206DC"/>
    <w:rsid w:val="00A22E6F"/>
    <w:rsid w:val="00A278EF"/>
    <w:rsid w:val="00A3102F"/>
    <w:rsid w:val="00A32B40"/>
    <w:rsid w:val="00A32CEB"/>
    <w:rsid w:val="00A36132"/>
    <w:rsid w:val="00A44E1F"/>
    <w:rsid w:val="00A456AF"/>
    <w:rsid w:val="00A465F3"/>
    <w:rsid w:val="00A47067"/>
    <w:rsid w:val="00A503BB"/>
    <w:rsid w:val="00A525AC"/>
    <w:rsid w:val="00A55610"/>
    <w:rsid w:val="00A60693"/>
    <w:rsid w:val="00A625CA"/>
    <w:rsid w:val="00A65D19"/>
    <w:rsid w:val="00A753B8"/>
    <w:rsid w:val="00A80B9E"/>
    <w:rsid w:val="00A945C6"/>
    <w:rsid w:val="00A94990"/>
    <w:rsid w:val="00A95083"/>
    <w:rsid w:val="00A97BCB"/>
    <w:rsid w:val="00AA44F1"/>
    <w:rsid w:val="00AB6A08"/>
    <w:rsid w:val="00AC614A"/>
    <w:rsid w:val="00AD099E"/>
    <w:rsid w:val="00AD1E85"/>
    <w:rsid w:val="00AD2E02"/>
    <w:rsid w:val="00AE477B"/>
    <w:rsid w:val="00AE7308"/>
    <w:rsid w:val="00AE7F69"/>
    <w:rsid w:val="00AF03D4"/>
    <w:rsid w:val="00AF1BCF"/>
    <w:rsid w:val="00AF2690"/>
    <w:rsid w:val="00AF55EC"/>
    <w:rsid w:val="00AF6538"/>
    <w:rsid w:val="00AF7076"/>
    <w:rsid w:val="00AF7A73"/>
    <w:rsid w:val="00B02996"/>
    <w:rsid w:val="00B0488F"/>
    <w:rsid w:val="00B06423"/>
    <w:rsid w:val="00B071D9"/>
    <w:rsid w:val="00B079F9"/>
    <w:rsid w:val="00B11DEA"/>
    <w:rsid w:val="00B142BB"/>
    <w:rsid w:val="00B150BC"/>
    <w:rsid w:val="00B218AE"/>
    <w:rsid w:val="00B21EC6"/>
    <w:rsid w:val="00B24FAC"/>
    <w:rsid w:val="00B2745B"/>
    <w:rsid w:val="00B30982"/>
    <w:rsid w:val="00B349AB"/>
    <w:rsid w:val="00B37126"/>
    <w:rsid w:val="00B40189"/>
    <w:rsid w:val="00B43BD0"/>
    <w:rsid w:val="00B44882"/>
    <w:rsid w:val="00B46216"/>
    <w:rsid w:val="00B46CA0"/>
    <w:rsid w:val="00B47487"/>
    <w:rsid w:val="00B506F9"/>
    <w:rsid w:val="00B51A18"/>
    <w:rsid w:val="00B5349C"/>
    <w:rsid w:val="00B56F6C"/>
    <w:rsid w:val="00B60772"/>
    <w:rsid w:val="00B66C40"/>
    <w:rsid w:val="00B66D4B"/>
    <w:rsid w:val="00B70E69"/>
    <w:rsid w:val="00B7773D"/>
    <w:rsid w:val="00B777AA"/>
    <w:rsid w:val="00B8166F"/>
    <w:rsid w:val="00B81E7B"/>
    <w:rsid w:val="00B86934"/>
    <w:rsid w:val="00B87030"/>
    <w:rsid w:val="00B93A2D"/>
    <w:rsid w:val="00B9697C"/>
    <w:rsid w:val="00BA480E"/>
    <w:rsid w:val="00BA5347"/>
    <w:rsid w:val="00BB0036"/>
    <w:rsid w:val="00BB16A4"/>
    <w:rsid w:val="00BB250F"/>
    <w:rsid w:val="00BC02E5"/>
    <w:rsid w:val="00BC1A2A"/>
    <w:rsid w:val="00BC39D0"/>
    <w:rsid w:val="00BC69D3"/>
    <w:rsid w:val="00BD01F4"/>
    <w:rsid w:val="00BE0A0B"/>
    <w:rsid w:val="00BF0C7F"/>
    <w:rsid w:val="00BF698A"/>
    <w:rsid w:val="00BF6B1A"/>
    <w:rsid w:val="00C00058"/>
    <w:rsid w:val="00C13114"/>
    <w:rsid w:val="00C201C8"/>
    <w:rsid w:val="00C22BE0"/>
    <w:rsid w:val="00C2400E"/>
    <w:rsid w:val="00C27FED"/>
    <w:rsid w:val="00C3714B"/>
    <w:rsid w:val="00C37AB7"/>
    <w:rsid w:val="00C41948"/>
    <w:rsid w:val="00C50677"/>
    <w:rsid w:val="00C51BAA"/>
    <w:rsid w:val="00C53BCC"/>
    <w:rsid w:val="00C5408F"/>
    <w:rsid w:val="00C72D23"/>
    <w:rsid w:val="00C7371F"/>
    <w:rsid w:val="00C754C4"/>
    <w:rsid w:val="00C75A01"/>
    <w:rsid w:val="00C771A9"/>
    <w:rsid w:val="00C775D1"/>
    <w:rsid w:val="00C83F19"/>
    <w:rsid w:val="00CA0F0E"/>
    <w:rsid w:val="00CA67FF"/>
    <w:rsid w:val="00CB2112"/>
    <w:rsid w:val="00CB3354"/>
    <w:rsid w:val="00CB727B"/>
    <w:rsid w:val="00CC0B6E"/>
    <w:rsid w:val="00CC2C92"/>
    <w:rsid w:val="00CC6CA6"/>
    <w:rsid w:val="00CC7960"/>
    <w:rsid w:val="00CD43B5"/>
    <w:rsid w:val="00CD4A58"/>
    <w:rsid w:val="00CD7556"/>
    <w:rsid w:val="00CD7879"/>
    <w:rsid w:val="00CD79F2"/>
    <w:rsid w:val="00CE2D66"/>
    <w:rsid w:val="00CE47FE"/>
    <w:rsid w:val="00CF2E4E"/>
    <w:rsid w:val="00CF3458"/>
    <w:rsid w:val="00CF4D9F"/>
    <w:rsid w:val="00CF55A9"/>
    <w:rsid w:val="00D04AC1"/>
    <w:rsid w:val="00D06583"/>
    <w:rsid w:val="00D102D4"/>
    <w:rsid w:val="00D10495"/>
    <w:rsid w:val="00D14E01"/>
    <w:rsid w:val="00D2520C"/>
    <w:rsid w:val="00D36A79"/>
    <w:rsid w:val="00D406DA"/>
    <w:rsid w:val="00D43856"/>
    <w:rsid w:val="00D5019F"/>
    <w:rsid w:val="00D54C38"/>
    <w:rsid w:val="00D558FB"/>
    <w:rsid w:val="00D6056A"/>
    <w:rsid w:val="00D6094E"/>
    <w:rsid w:val="00D62489"/>
    <w:rsid w:val="00D6344F"/>
    <w:rsid w:val="00D64CD2"/>
    <w:rsid w:val="00D661EE"/>
    <w:rsid w:val="00D668AF"/>
    <w:rsid w:val="00D71850"/>
    <w:rsid w:val="00D73D5F"/>
    <w:rsid w:val="00D77B3E"/>
    <w:rsid w:val="00D81ED0"/>
    <w:rsid w:val="00D90390"/>
    <w:rsid w:val="00D96045"/>
    <w:rsid w:val="00DA024F"/>
    <w:rsid w:val="00DA0D81"/>
    <w:rsid w:val="00DA6293"/>
    <w:rsid w:val="00DA7250"/>
    <w:rsid w:val="00DA78A5"/>
    <w:rsid w:val="00DB5196"/>
    <w:rsid w:val="00DB74BD"/>
    <w:rsid w:val="00DC1E71"/>
    <w:rsid w:val="00DD0C93"/>
    <w:rsid w:val="00DD1EC4"/>
    <w:rsid w:val="00DD37FF"/>
    <w:rsid w:val="00DD3B02"/>
    <w:rsid w:val="00DD534F"/>
    <w:rsid w:val="00DD673B"/>
    <w:rsid w:val="00DD74BB"/>
    <w:rsid w:val="00DE507B"/>
    <w:rsid w:val="00DE5747"/>
    <w:rsid w:val="00DF0BA1"/>
    <w:rsid w:val="00DF1AFC"/>
    <w:rsid w:val="00DF29AA"/>
    <w:rsid w:val="00DF76A2"/>
    <w:rsid w:val="00E02E16"/>
    <w:rsid w:val="00E067FF"/>
    <w:rsid w:val="00E22BA7"/>
    <w:rsid w:val="00E238A2"/>
    <w:rsid w:val="00E27C01"/>
    <w:rsid w:val="00E30A52"/>
    <w:rsid w:val="00E34093"/>
    <w:rsid w:val="00E35E70"/>
    <w:rsid w:val="00E36EB9"/>
    <w:rsid w:val="00E41D88"/>
    <w:rsid w:val="00E43C8E"/>
    <w:rsid w:val="00E45315"/>
    <w:rsid w:val="00E4627A"/>
    <w:rsid w:val="00E47599"/>
    <w:rsid w:val="00E475A0"/>
    <w:rsid w:val="00E51322"/>
    <w:rsid w:val="00E51436"/>
    <w:rsid w:val="00E53187"/>
    <w:rsid w:val="00E54B2B"/>
    <w:rsid w:val="00E55ED6"/>
    <w:rsid w:val="00E566BF"/>
    <w:rsid w:val="00E56CBC"/>
    <w:rsid w:val="00E57CC3"/>
    <w:rsid w:val="00E61076"/>
    <w:rsid w:val="00E616A6"/>
    <w:rsid w:val="00E675F1"/>
    <w:rsid w:val="00E77B42"/>
    <w:rsid w:val="00E812BA"/>
    <w:rsid w:val="00E85617"/>
    <w:rsid w:val="00E90A9E"/>
    <w:rsid w:val="00E95F9D"/>
    <w:rsid w:val="00EA0AA8"/>
    <w:rsid w:val="00EA1B81"/>
    <w:rsid w:val="00EA268A"/>
    <w:rsid w:val="00EA58FB"/>
    <w:rsid w:val="00EA7F5B"/>
    <w:rsid w:val="00EB277C"/>
    <w:rsid w:val="00EB30E5"/>
    <w:rsid w:val="00EC0A51"/>
    <w:rsid w:val="00EC1F10"/>
    <w:rsid w:val="00ED057B"/>
    <w:rsid w:val="00ED0CDC"/>
    <w:rsid w:val="00ED35DE"/>
    <w:rsid w:val="00ED73F5"/>
    <w:rsid w:val="00EE0E0A"/>
    <w:rsid w:val="00EE1C62"/>
    <w:rsid w:val="00EE2F5D"/>
    <w:rsid w:val="00EE4173"/>
    <w:rsid w:val="00EE43BA"/>
    <w:rsid w:val="00EE463F"/>
    <w:rsid w:val="00EE4730"/>
    <w:rsid w:val="00EE5B0A"/>
    <w:rsid w:val="00EF24AC"/>
    <w:rsid w:val="00EF4EFF"/>
    <w:rsid w:val="00F05123"/>
    <w:rsid w:val="00F05BD9"/>
    <w:rsid w:val="00F0656E"/>
    <w:rsid w:val="00F14E62"/>
    <w:rsid w:val="00F17660"/>
    <w:rsid w:val="00F24546"/>
    <w:rsid w:val="00F30BAF"/>
    <w:rsid w:val="00F33727"/>
    <w:rsid w:val="00F34CB5"/>
    <w:rsid w:val="00F34D03"/>
    <w:rsid w:val="00F35F56"/>
    <w:rsid w:val="00F433DD"/>
    <w:rsid w:val="00F473E2"/>
    <w:rsid w:val="00F52F6A"/>
    <w:rsid w:val="00F53D2F"/>
    <w:rsid w:val="00F554AD"/>
    <w:rsid w:val="00F56C9D"/>
    <w:rsid w:val="00F658E8"/>
    <w:rsid w:val="00F6747F"/>
    <w:rsid w:val="00F6770F"/>
    <w:rsid w:val="00F711FB"/>
    <w:rsid w:val="00F75B04"/>
    <w:rsid w:val="00F75B9F"/>
    <w:rsid w:val="00F803F2"/>
    <w:rsid w:val="00F8115C"/>
    <w:rsid w:val="00F811D5"/>
    <w:rsid w:val="00F84BBB"/>
    <w:rsid w:val="00F97EAB"/>
    <w:rsid w:val="00FA13EB"/>
    <w:rsid w:val="00FA1DE0"/>
    <w:rsid w:val="00FA2226"/>
    <w:rsid w:val="00FA32CD"/>
    <w:rsid w:val="00FB0AE9"/>
    <w:rsid w:val="00FB1D5F"/>
    <w:rsid w:val="00FB3169"/>
    <w:rsid w:val="00FB6B5B"/>
    <w:rsid w:val="00FC4C79"/>
    <w:rsid w:val="00FC6296"/>
    <w:rsid w:val="00FC7D4D"/>
    <w:rsid w:val="00FD2F92"/>
    <w:rsid w:val="00FD4216"/>
    <w:rsid w:val="00FE13BB"/>
    <w:rsid w:val="00FE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A738F0"/>
  <w15:docId w15:val="{D00838DF-0344-4022-819F-3693A7063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C4B79"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7C4B79"/>
    <w:rPr>
      <w:b/>
      <w:bCs/>
      <w:sz w:val="28"/>
      <w:szCs w:val="20"/>
      <w:lang w:eastAsia="en-US"/>
    </w:rPr>
  </w:style>
  <w:style w:type="paragraph" w:styleId="Debesliotekstas">
    <w:name w:val="Balloon Text"/>
    <w:basedOn w:val="prastasis"/>
    <w:semiHidden/>
    <w:rsid w:val="00A80B9E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380DCF"/>
    <w:pPr>
      <w:tabs>
        <w:tab w:val="center" w:pos="4153"/>
        <w:tab w:val="right" w:pos="8306"/>
      </w:tabs>
    </w:pPr>
    <w:rPr>
      <w:szCs w:val="20"/>
    </w:rPr>
  </w:style>
  <w:style w:type="table" w:styleId="Lentelstinklelis">
    <w:name w:val="Table Grid"/>
    <w:basedOn w:val="prastojilentel"/>
    <w:rsid w:val="009B0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rsid w:val="00D71850"/>
    <w:rPr>
      <w:color w:val="0000FF"/>
      <w:u w:val="single"/>
    </w:rPr>
  </w:style>
  <w:style w:type="character" w:styleId="Grietas">
    <w:name w:val="Strong"/>
    <w:basedOn w:val="Numatytasispastraiposriftas"/>
    <w:qFormat/>
    <w:rsid w:val="00EE0E0A"/>
    <w:rPr>
      <w:b/>
      <w:bCs/>
    </w:rPr>
  </w:style>
  <w:style w:type="character" w:styleId="Puslapionumeris">
    <w:name w:val="page number"/>
    <w:basedOn w:val="Numatytasispastraiposriftas"/>
    <w:rsid w:val="00A97BCB"/>
  </w:style>
  <w:style w:type="paragraph" w:styleId="Pagrindinistekstas">
    <w:name w:val="Body Text"/>
    <w:basedOn w:val="prastasis"/>
    <w:rsid w:val="00591E4C"/>
    <w:pPr>
      <w:spacing w:after="120"/>
    </w:pPr>
  </w:style>
  <w:style w:type="paragraph" w:customStyle="1" w:styleId="DiagramaDiagrama1CharChar">
    <w:name w:val="Diagrama Diagrama1 Char Char"/>
    <w:basedOn w:val="prastasis"/>
    <w:rsid w:val="008F78EF"/>
    <w:pPr>
      <w:spacing w:after="160" w:line="240" w:lineRule="exact"/>
    </w:pPr>
    <w:rPr>
      <w:rFonts w:ascii="Verdana" w:hAnsi="Verdana"/>
      <w:sz w:val="16"/>
      <w:szCs w:val="20"/>
      <w:lang w:val="en-US" w:eastAsia="en-US"/>
    </w:rPr>
  </w:style>
  <w:style w:type="character" w:styleId="Emfaz">
    <w:name w:val="Emphasis"/>
    <w:basedOn w:val="Numatytasispastraiposriftas"/>
    <w:qFormat/>
    <w:rsid w:val="00962487"/>
    <w:rPr>
      <w:b/>
      <w:bCs/>
      <w:i w:val="0"/>
      <w:iCs w:val="0"/>
    </w:rPr>
  </w:style>
  <w:style w:type="paragraph" w:styleId="Pagrindiniotekstotrauka3">
    <w:name w:val="Body Text Indent 3"/>
    <w:basedOn w:val="prastasis"/>
    <w:rsid w:val="002A3E1E"/>
    <w:pPr>
      <w:spacing w:after="120"/>
      <w:ind w:left="283"/>
    </w:pPr>
    <w:rPr>
      <w:sz w:val="16"/>
      <w:szCs w:val="16"/>
    </w:rPr>
  </w:style>
  <w:style w:type="paragraph" w:styleId="Pagrindiniotekstotrauka">
    <w:name w:val="Body Text Indent"/>
    <w:basedOn w:val="prastasis"/>
    <w:rsid w:val="00B51A18"/>
    <w:pPr>
      <w:spacing w:after="120"/>
      <w:ind w:left="283"/>
    </w:pPr>
  </w:style>
  <w:style w:type="paragraph" w:customStyle="1" w:styleId="CharCharCharCharChar">
    <w:name w:val="Char Char Char Char Char"/>
    <w:basedOn w:val="prastasis"/>
    <w:semiHidden/>
    <w:rsid w:val="00FC6296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styleId="Sraopastraipa">
    <w:name w:val="List Paragraph"/>
    <w:basedOn w:val="prastasis"/>
    <w:uiPriority w:val="34"/>
    <w:qFormat/>
    <w:rsid w:val="008122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4730</Characters>
  <Application>Microsoft Office Word</Application>
  <DocSecurity>4</DocSecurity>
  <Lines>39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5406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All users</dc:creator>
  <cp:keywords/>
  <dc:description/>
  <cp:lastModifiedBy>Daiva Breivienė</cp:lastModifiedBy>
  <cp:revision>2</cp:revision>
  <cp:lastPrinted>2021-09-16T08:29:00Z</cp:lastPrinted>
  <dcterms:created xsi:type="dcterms:W3CDTF">2021-11-11T13:36:00Z</dcterms:created>
  <dcterms:modified xsi:type="dcterms:W3CDTF">2021-11-11T13:36:00Z</dcterms:modified>
</cp:coreProperties>
</file>