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CE1" w:rsidRDefault="008D3CE1" w:rsidP="008D3CE1">
      <w:pPr>
        <w:jc w:val="both"/>
        <w:rPr>
          <w:sz w:val="24"/>
        </w:rPr>
      </w:pPr>
      <w:bookmarkStart w:id="0" w:name="_GoBack"/>
      <w:bookmarkEnd w:id="0"/>
    </w:p>
    <w:p w:rsidR="008D3CE1" w:rsidRDefault="008D3CE1" w:rsidP="008D3CE1">
      <w:pPr>
        <w:jc w:val="center"/>
        <w:rPr>
          <w:b/>
          <w:sz w:val="24"/>
          <w:szCs w:val="24"/>
        </w:rPr>
      </w:pPr>
      <w:r w:rsidRPr="00577078">
        <w:rPr>
          <w:b/>
          <w:sz w:val="24"/>
          <w:szCs w:val="24"/>
        </w:rPr>
        <w:t>AIŠKINAMASIS RAŠTAS</w:t>
      </w:r>
    </w:p>
    <w:p w:rsidR="0026132F" w:rsidRPr="0026132F" w:rsidRDefault="0026132F" w:rsidP="0026132F">
      <w:pPr>
        <w:pStyle w:val="Antrat1"/>
        <w:ind w:left="0" w:firstLine="0"/>
        <w:jc w:val="center"/>
        <w:rPr>
          <w:b/>
        </w:rPr>
      </w:pPr>
      <w:r w:rsidRPr="0026132F">
        <w:rPr>
          <w:b/>
        </w:rPr>
        <w:t>DĖL 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PAKEITIMO</w:t>
      </w:r>
    </w:p>
    <w:p w:rsidR="008D3CE1" w:rsidRPr="00577078" w:rsidRDefault="008D3CE1" w:rsidP="008D3CE1">
      <w:pPr>
        <w:jc w:val="center"/>
        <w:rPr>
          <w:sz w:val="24"/>
          <w:szCs w:val="24"/>
        </w:rPr>
      </w:pPr>
      <w:r w:rsidRPr="00577078">
        <w:rPr>
          <w:sz w:val="24"/>
          <w:szCs w:val="24"/>
        </w:rPr>
        <w:t>20</w:t>
      </w:r>
      <w:r w:rsidR="00BE67DF">
        <w:rPr>
          <w:sz w:val="24"/>
          <w:szCs w:val="24"/>
        </w:rPr>
        <w:t>2</w:t>
      </w:r>
      <w:r w:rsidR="00BC38DD">
        <w:rPr>
          <w:sz w:val="24"/>
          <w:szCs w:val="24"/>
        </w:rPr>
        <w:t>1</w:t>
      </w:r>
      <w:r w:rsidRPr="00577078">
        <w:rPr>
          <w:sz w:val="24"/>
          <w:szCs w:val="24"/>
        </w:rPr>
        <w:t xml:space="preserve"> m</w:t>
      </w:r>
      <w:r w:rsidR="00AD3DB0">
        <w:rPr>
          <w:sz w:val="24"/>
          <w:szCs w:val="24"/>
        </w:rPr>
        <w:t>.</w:t>
      </w:r>
      <w:r w:rsidRPr="00577078">
        <w:rPr>
          <w:sz w:val="24"/>
          <w:szCs w:val="24"/>
        </w:rPr>
        <w:t xml:space="preserve"> </w:t>
      </w:r>
      <w:r w:rsidR="003160F7">
        <w:rPr>
          <w:sz w:val="24"/>
          <w:szCs w:val="24"/>
        </w:rPr>
        <w:t>gruodž</w:t>
      </w:r>
      <w:r w:rsidR="0016798F">
        <w:rPr>
          <w:sz w:val="24"/>
          <w:szCs w:val="24"/>
        </w:rPr>
        <w:t>io</w:t>
      </w:r>
      <w:r w:rsidR="00746FB2">
        <w:rPr>
          <w:sz w:val="24"/>
          <w:szCs w:val="24"/>
        </w:rPr>
        <w:t xml:space="preserve"> </w:t>
      </w:r>
      <w:r w:rsidR="003160F7">
        <w:rPr>
          <w:sz w:val="24"/>
          <w:szCs w:val="24"/>
        </w:rPr>
        <w:t>6</w:t>
      </w:r>
      <w:r w:rsidR="000C581A">
        <w:rPr>
          <w:sz w:val="24"/>
          <w:szCs w:val="24"/>
        </w:rPr>
        <w:t xml:space="preserve"> </w:t>
      </w:r>
      <w:r w:rsidRPr="00577078">
        <w:rPr>
          <w:sz w:val="24"/>
          <w:szCs w:val="24"/>
        </w:rPr>
        <w:t>d.</w:t>
      </w:r>
    </w:p>
    <w:p w:rsidR="008D3CE1" w:rsidRPr="00577078" w:rsidRDefault="008D3CE1" w:rsidP="008D3CE1">
      <w:pPr>
        <w:jc w:val="center"/>
        <w:rPr>
          <w:sz w:val="24"/>
          <w:szCs w:val="24"/>
        </w:rPr>
      </w:pPr>
      <w:r w:rsidRPr="00577078">
        <w:rPr>
          <w:sz w:val="24"/>
          <w:szCs w:val="24"/>
        </w:rPr>
        <w:t>Panevėžys</w:t>
      </w:r>
    </w:p>
    <w:p w:rsidR="008D3CE1" w:rsidRPr="00577078" w:rsidRDefault="008D3CE1" w:rsidP="008D3CE1">
      <w:pPr>
        <w:rPr>
          <w:sz w:val="24"/>
          <w:szCs w:val="24"/>
        </w:rPr>
      </w:pPr>
    </w:p>
    <w:p w:rsidR="003160F7" w:rsidRDefault="003C2B17" w:rsidP="00BC050C">
      <w:pPr>
        <w:ind w:firstLine="720"/>
        <w:rPr>
          <w:b/>
          <w:sz w:val="24"/>
          <w:szCs w:val="24"/>
          <w:lang w:val="sv-SE"/>
        </w:rPr>
      </w:pPr>
      <w:r>
        <w:rPr>
          <w:b/>
          <w:sz w:val="24"/>
          <w:szCs w:val="24"/>
          <w:lang w:val="sv-SE"/>
        </w:rPr>
        <w:t>1.</w:t>
      </w:r>
      <w:r w:rsidR="008D3CE1" w:rsidRPr="00577078">
        <w:rPr>
          <w:b/>
          <w:sz w:val="24"/>
          <w:szCs w:val="24"/>
          <w:lang w:val="sv-SE"/>
        </w:rPr>
        <w:t xml:space="preserve">Problemos esmė: </w:t>
      </w:r>
    </w:p>
    <w:p w:rsidR="003160F7" w:rsidRDefault="003160F7" w:rsidP="003160F7">
      <w:pPr>
        <w:ind w:firstLine="720"/>
        <w:jc w:val="both"/>
        <w:rPr>
          <w:sz w:val="24"/>
          <w:szCs w:val="24"/>
          <w:lang w:val="sv-SE"/>
        </w:rPr>
      </w:pPr>
      <w:r>
        <w:rPr>
          <w:sz w:val="24"/>
          <w:szCs w:val="24"/>
          <w:lang w:val="sv-SE"/>
        </w:rPr>
        <w:t xml:space="preserve">Lietuvos Respublikos geriamojo vandens tiekimo ir nuotekų tvarkymo įstatymo (toliau – LR GVTNTĮ) 10 str. 7 punkte nurodyta, kad </w:t>
      </w:r>
      <w:r w:rsidRPr="00E16A9E">
        <w:rPr>
          <w:sz w:val="22"/>
          <w:szCs w:val="22"/>
          <w:lang w:val="sv-SE"/>
        </w:rPr>
        <w:t>„</w:t>
      </w:r>
      <w:r w:rsidRPr="003160F7">
        <w:rPr>
          <w:i/>
          <w:sz w:val="22"/>
          <w:szCs w:val="22"/>
        </w:rPr>
        <w:t xml:space="preserve">tarybos, </w:t>
      </w:r>
      <w:r w:rsidRPr="003160F7">
        <w:rPr>
          <w:i/>
          <w:color w:val="000000"/>
          <w:sz w:val="22"/>
          <w:szCs w:val="22"/>
        </w:rPr>
        <w:t xml:space="preserve">vadovaudamosi Valstybinės kainų ir energetikos kontrolės komisijos nustatyta </w:t>
      </w:r>
      <w:r w:rsidRPr="003160F7">
        <w:rPr>
          <w:i/>
          <w:sz w:val="22"/>
          <w:szCs w:val="22"/>
        </w:rPr>
        <w:t>Geriamojo vandens tiekimo ir nuotekų tvarkymo paslaugų kainų nustatymo metodika,</w:t>
      </w:r>
      <w:r w:rsidRPr="003160F7">
        <w:rPr>
          <w:i/>
          <w:color w:val="000000"/>
          <w:sz w:val="22"/>
          <w:szCs w:val="22"/>
        </w:rPr>
        <w:t xml:space="preserve"> nustato geriamojo vandens tiekėjų ir nuotekų tvarkytojų </w:t>
      </w:r>
      <w:r w:rsidRPr="003160F7">
        <w:rPr>
          <w:i/>
          <w:sz w:val="22"/>
          <w:szCs w:val="22"/>
        </w:rPr>
        <w:t>tiekiamo geriamojo vandens ir teikiamų nuotekų tvarkymo paslaugų kainas</w:t>
      </w:r>
      <w:r w:rsidRPr="00E16A9E">
        <w:rPr>
          <w:sz w:val="22"/>
          <w:szCs w:val="22"/>
        </w:rPr>
        <w:t>“.</w:t>
      </w:r>
      <w:r>
        <w:t xml:space="preserve"> </w:t>
      </w:r>
      <w:r>
        <w:rPr>
          <w:sz w:val="24"/>
          <w:szCs w:val="24"/>
          <w:lang w:val="sv-SE"/>
        </w:rPr>
        <w:t xml:space="preserve">UAB „Aukštaitijos vandenys“ (toliau – Bendrovė) 2021 m. </w:t>
      </w:r>
      <w:r w:rsidR="005A28E7">
        <w:rPr>
          <w:sz w:val="24"/>
          <w:szCs w:val="24"/>
          <w:lang w:val="sv-SE"/>
        </w:rPr>
        <w:t>r</w:t>
      </w:r>
      <w:r>
        <w:rPr>
          <w:sz w:val="24"/>
          <w:szCs w:val="24"/>
          <w:lang w:val="sv-SE"/>
        </w:rPr>
        <w:t>ugsėjo 29 d. raštu Nr. S2.1-720 „Dėl UAB „Aukštaitijos vandenys“ perskaičiuotų geriamojo vandens tiekimo ir nuotekų tvarkymo paslaugų bazinių kainų derinimo“ pateikė Valstybinės energetikos reguliavimo tarybai (toliau –VERT) perskaičiuotų geriamojo vandens tiekimo ir nuotekų tvarkymo</w:t>
      </w:r>
      <w:r w:rsidR="005A28E7">
        <w:rPr>
          <w:sz w:val="24"/>
          <w:szCs w:val="24"/>
          <w:lang w:val="sv-SE"/>
        </w:rPr>
        <w:t xml:space="preserve"> paslaugų bazinių</w:t>
      </w:r>
      <w:r>
        <w:rPr>
          <w:sz w:val="24"/>
          <w:szCs w:val="24"/>
          <w:lang w:val="sv-SE"/>
        </w:rPr>
        <w:t xml:space="preserve"> kainų projektą bei dokumentus, reikalingus skaičiavimams pagrįsti (toliau – Prašymas). Apie Bendrovės </w:t>
      </w:r>
      <w:r w:rsidR="005A28E7">
        <w:rPr>
          <w:sz w:val="24"/>
          <w:szCs w:val="24"/>
          <w:lang w:val="sv-SE"/>
        </w:rPr>
        <w:t>Prašymo teikimą VERT</w:t>
      </w:r>
      <w:r>
        <w:rPr>
          <w:sz w:val="24"/>
          <w:szCs w:val="24"/>
          <w:lang w:val="sv-SE"/>
        </w:rPr>
        <w:t xml:space="preserve"> dėl geriamojo vandens tiekimo ir nuotekų tvarkymo paslaugų bazinių kainų perskaičiavimo Panevėžio miesto ir Panevėžio rajono savivaldybės administracijos buvo informuotos.</w:t>
      </w:r>
    </w:p>
    <w:p w:rsidR="008D3CE1" w:rsidRPr="005A28E7" w:rsidRDefault="008D3CE1" w:rsidP="00C35BEC">
      <w:pPr>
        <w:ind w:firstLine="720"/>
        <w:jc w:val="both"/>
        <w:rPr>
          <w:sz w:val="24"/>
          <w:szCs w:val="24"/>
          <w:lang w:val="sv-SE"/>
        </w:rPr>
      </w:pPr>
      <w:r>
        <w:rPr>
          <w:b/>
          <w:sz w:val="24"/>
          <w:szCs w:val="24"/>
          <w:lang w:val="sv-SE"/>
        </w:rPr>
        <w:t xml:space="preserve">   </w:t>
      </w:r>
      <w:r w:rsidR="005A28E7" w:rsidRPr="005A28E7">
        <w:rPr>
          <w:sz w:val="24"/>
          <w:szCs w:val="24"/>
          <w:lang w:val="sv-SE"/>
        </w:rPr>
        <w:t xml:space="preserve">VERT Šilumos ir vandens departamento Vandens skyrius (toliau – Skyrius) 2021 m. </w:t>
      </w:r>
      <w:r w:rsidR="005A28E7">
        <w:rPr>
          <w:sz w:val="24"/>
          <w:szCs w:val="24"/>
          <w:lang w:val="sv-SE"/>
        </w:rPr>
        <w:t>l</w:t>
      </w:r>
      <w:r w:rsidR="005A28E7" w:rsidRPr="005A28E7">
        <w:rPr>
          <w:sz w:val="24"/>
          <w:szCs w:val="24"/>
          <w:lang w:val="sv-SE"/>
        </w:rPr>
        <w:t xml:space="preserve">apkričio 18 d. </w:t>
      </w:r>
      <w:r w:rsidR="005A28E7">
        <w:rPr>
          <w:sz w:val="24"/>
          <w:szCs w:val="24"/>
          <w:lang w:val="sv-SE"/>
        </w:rPr>
        <w:t>p</w:t>
      </w:r>
      <w:r w:rsidR="005A28E7" w:rsidRPr="005A28E7">
        <w:rPr>
          <w:sz w:val="24"/>
          <w:szCs w:val="24"/>
          <w:lang w:val="sv-SE"/>
        </w:rPr>
        <w:t>ažyma Nr. O5E-1418 ir VERT</w:t>
      </w:r>
      <w:r w:rsidR="005A28E7">
        <w:rPr>
          <w:sz w:val="24"/>
          <w:szCs w:val="24"/>
          <w:lang w:val="sv-SE"/>
        </w:rPr>
        <w:t xml:space="preserve"> 2021m. </w:t>
      </w:r>
      <w:r w:rsidR="000F2D42">
        <w:rPr>
          <w:sz w:val="24"/>
          <w:szCs w:val="24"/>
          <w:lang w:val="sv-SE"/>
        </w:rPr>
        <w:t>l</w:t>
      </w:r>
      <w:r w:rsidR="005A28E7">
        <w:rPr>
          <w:sz w:val="24"/>
          <w:szCs w:val="24"/>
          <w:lang w:val="sv-SE"/>
        </w:rPr>
        <w:t xml:space="preserve">apkričio 29 d. nutarimu </w:t>
      </w:r>
      <w:r w:rsidR="005A28E7" w:rsidRPr="005A28E7">
        <w:rPr>
          <w:sz w:val="24"/>
          <w:szCs w:val="24"/>
          <w:lang w:val="sv-SE"/>
        </w:rPr>
        <w:t xml:space="preserve"> </w:t>
      </w:r>
      <w:r w:rsidR="005A28E7">
        <w:rPr>
          <w:sz w:val="24"/>
          <w:szCs w:val="24"/>
          <w:lang w:val="sv-SE"/>
        </w:rPr>
        <w:t>Nr. O3E-1599</w:t>
      </w:r>
      <w:r w:rsidR="00CB45A3">
        <w:rPr>
          <w:sz w:val="24"/>
          <w:szCs w:val="24"/>
          <w:lang w:val="sv-SE"/>
        </w:rPr>
        <w:t xml:space="preserve"> „Dėl UAB „Aukštaitijos vandenys“ perskaičiuotų geriamojo vandens tiekimo ir nuotekų tvarkymo paslaugų bazinių kainų derinimo“, suderino Bendrovės perskaičiuotas geriamojo vandens tiekimo ir nuotekų tvarkymo paslaugų bazines kainas (be pridėtinės vertės mokesčio).</w:t>
      </w:r>
      <w:r w:rsidRPr="005A28E7">
        <w:rPr>
          <w:sz w:val="24"/>
          <w:szCs w:val="24"/>
          <w:lang w:val="sv-SE"/>
        </w:rPr>
        <w:t xml:space="preserve">           </w:t>
      </w:r>
    </w:p>
    <w:p w:rsidR="008D3CE1" w:rsidRPr="00577078" w:rsidRDefault="008D3CE1" w:rsidP="00BC050C">
      <w:pPr>
        <w:ind w:firstLine="720"/>
        <w:jc w:val="both"/>
        <w:rPr>
          <w:sz w:val="24"/>
          <w:szCs w:val="24"/>
          <w:lang w:val="sv-SE"/>
        </w:rPr>
      </w:pPr>
      <w:r w:rsidRPr="00577078">
        <w:rPr>
          <w:sz w:val="24"/>
          <w:szCs w:val="24"/>
          <w:lang w:val="sv-SE"/>
        </w:rPr>
        <w:t xml:space="preserve"> </w:t>
      </w:r>
      <w:r w:rsidR="00CB45A3">
        <w:rPr>
          <w:sz w:val="24"/>
          <w:szCs w:val="24"/>
          <w:lang w:val="sv-SE"/>
        </w:rPr>
        <w:t>G</w:t>
      </w:r>
      <w:r w:rsidR="00B42BE5">
        <w:rPr>
          <w:sz w:val="24"/>
          <w:szCs w:val="24"/>
          <w:lang w:val="sv-SE"/>
        </w:rPr>
        <w:t>autas</w:t>
      </w:r>
      <w:r w:rsidR="00CB45A3">
        <w:rPr>
          <w:sz w:val="24"/>
          <w:szCs w:val="24"/>
          <w:lang w:val="sv-SE"/>
        </w:rPr>
        <w:t xml:space="preserve"> 2021-11-30</w:t>
      </w:r>
      <w:r w:rsidR="00B42BE5">
        <w:rPr>
          <w:sz w:val="24"/>
          <w:szCs w:val="24"/>
          <w:lang w:val="sv-SE"/>
        </w:rPr>
        <w:t xml:space="preserve"> UAB „Aukštaitijos vandenys“</w:t>
      </w:r>
      <w:r w:rsidR="00605736">
        <w:rPr>
          <w:sz w:val="24"/>
          <w:szCs w:val="24"/>
          <w:lang w:val="sv-SE"/>
        </w:rPr>
        <w:t xml:space="preserve"> raštas </w:t>
      </w:r>
      <w:r w:rsidR="00CB45A3">
        <w:rPr>
          <w:sz w:val="24"/>
          <w:szCs w:val="24"/>
          <w:lang w:val="sv-SE"/>
        </w:rPr>
        <w:t xml:space="preserve">Nr. S2.2-919 </w:t>
      </w:r>
      <w:r w:rsidR="00605736">
        <w:rPr>
          <w:sz w:val="24"/>
          <w:szCs w:val="24"/>
          <w:lang w:val="sv-SE"/>
        </w:rPr>
        <w:t xml:space="preserve">„Dėl  </w:t>
      </w:r>
      <w:r w:rsidR="00BE67DF">
        <w:rPr>
          <w:sz w:val="24"/>
          <w:szCs w:val="24"/>
          <w:lang w:val="sv-SE"/>
        </w:rPr>
        <w:t>UAB</w:t>
      </w:r>
      <w:r w:rsidR="00E16A9E">
        <w:rPr>
          <w:sz w:val="24"/>
          <w:szCs w:val="24"/>
          <w:lang w:val="sv-SE"/>
        </w:rPr>
        <w:t xml:space="preserve">  </w:t>
      </w:r>
      <w:r w:rsidR="004A6176">
        <w:rPr>
          <w:sz w:val="24"/>
          <w:szCs w:val="24"/>
          <w:lang w:val="sv-SE"/>
        </w:rPr>
        <w:t>„</w:t>
      </w:r>
      <w:r w:rsidR="00605736">
        <w:rPr>
          <w:sz w:val="24"/>
          <w:szCs w:val="24"/>
          <w:lang w:val="sv-SE"/>
        </w:rPr>
        <w:t xml:space="preserve">Aukštaitijos vandenys“ </w:t>
      </w:r>
      <w:r w:rsidR="004416EB">
        <w:rPr>
          <w:sz w:val="24"/>
          <w:szCs w:val="24"/>
          <w:lang w:val="sv-SE"/>
        </w:rPr>
        <w:t xml:space="preserve">perskaičiuotų </w:t>
      </w:r>
      <w:r w:rsidR="00605736">
        <w:rPr>
          <w:sz w:val="24"/>
          <w:szCs w:val="24"/>
          <w:lang w:val="sv-SE"/>
        </w:rPr>
        <w:t xml:space="preserve">geriamojo vandens tiekimo ir nuotekų tvarkymo paslaugų </w:t>
      </w:r>
      <w:r w:rsidR="0016798F">
        <w:rPr>
          <w:sz w:val="24"/>
          <w:szCs w:val="24"/>
          <w:lang w:val="sv-SE"/>
        </w:rPr>
        <w:t xml:space="preserve">bazinių </w:t>
      </w:r>
      <w:r w:rsidR="00605736">
        <w:rPr>
          <w:sz w:val="24"/>
          <w:szCs w:val="24"/>
          <w:lang w:val="sv-SE"/>
        </w:rPr>
        <w:t xml:space="preserve">kainų </w:t>
      </w:r>
      <w:r w:rsidR="0016798F">
        <w:rPr>
          <w:sz w:val="24"/>
          <w:szCs w:val="24"/>
          <w:lang w:val="sv-SE"/>
        </w:rPr>
        <w:t>nustaty</w:t>
      </w:r>
      <w:r w:rsidR="00605736">
        <w:rPr>
          <w:sz w:val="24"/>
          <w:szCs w:val="24"/>
          <w:lang w:val="sv-SE"/>
        </w:rPr>
        <w:t>mo“</w:t>
      </w:r>
      <w:r w:rsidR="00FA4856">
        <w:rPr>
          <w:sz w:val="24"/>
          <w:szCs w:val="24"/>
          <w:lang w:val="sv-SE"/>
        </w:rPr>
        <w:t>.</w:t>
      </w:r>
      <w:r w:rsidR="008E06E6">
        <w:rPr>
          <w:sz w:val="24"/>
          <w:szCs w:val="24"/>
          <w:lang w:val="sv-SE"/>
        </w:rPr>
        <w:t xml:space="preserve"> Prie rašto pridėti </w:t>
      </w:r>
      <w:r w:rsidR="000F2D42">
        <w:rPr>
          <w:sz w:val="24"/>
          <w:szCs w:val="24"/>
          <w:lang w:val="sv-SE"/>
        </w:rPr>
        <w:t xml:space="preserve">Skyriaus </w:t>
      </w:r>
      <w:r w:rsidR="008E06E6">
        <w:rPr>
          <w:sz w:val="24"/>
          <w:szCs w:val="24"/>
          <w:lang w:val="sv-SE"/>
        </w:rPr>
        <w:t>20</w:t>
      </w:r>
      <w:r w:rsidR="00BE67DF">
        <w:rPr>
          <w:sz w:val="24"/>
          <w:szCs w:val="24"/>
          <w:lang w:val="sv-SE"/>
        </w:rPr>
        <w:t>2</w:t>
      </w:r>
      <w:r w:rsidR="000F2D42">
        <w:rPr>
          <w:sz w:val="24"/>
          <w:szCs w:val="24"/>
          <w:lang w:val="sv-SE"/>
        </w:rPr>
        <w:t>1</w:t>
      </w:r>
      <w:r w:rsidR="0016798F">
        <w:rPr>
          <w:sz w:val="24"/>
          <w:szCs w:val="24"/>
          <w:lang w:val="sv-SE"/>
        </w:rPr>
        <w:t xml:space="preserve"> </w:t>
      </w:r>
      <w:r w:rsidR="008E06E6">
        <w:rPr>
          <w:sz w:val="24"/>
          <w:szCs w:val="24"/>
          <w:lang w:val="sv-SE"/>
        </w:rPr>
        <w:t xml:space="preserve">m. </w:t>
      </w:r>
      <w:r w:rsidR="000F2D42">
        <w:rPr>
          <w:sz w:val="24"/>
          <w:szCs w:val="24"/>
          <w:lang w:val="sv-SE"/>
        </w:rPr>
        <w:t>lapkri</w:t>
      </w:r>
      <w:r w:rsidR="00BE67DF">
        <w:rPr>
          <w:sz w:val="24"/>
          <w:szCs w:val="24"/>
          <w:lang w:val="sv-SE"/>
        </w:rPr>
        <w:t>či</w:t>
      </w:r>
      <w:r w:rsidR="00A46103">
        <w:rPr>
          <w:sz w:val="24"/>
          <w:szCs w:val="24"/>
          <w:lang w:val="sv-SE"/>
        </w:rPr>
        <w:t>o</w:t>
      </w:r>
      <w:r w:rsidR="004416EB">
        <w:rPr>
          <w:sz w:val="24"/>
          <w:szCs w:val="24"/>
          <w:lang w:val="sv-SE"/>
        </w:rPr>
        <w:t xml:space="preserve"> </w:t>
      </w:r>
      <w:r w:rsidR="00BE67DF">
        <w:rPr>
          <w:sz w:val="24"/>
          <w:szCs w:val="24"/>
          <w:lang w:val="sv-SE"/>
        </w:rPr>
        <w:t>18</w:t>
      </w:r>
      <w:r w:rsidR="008E06E6">
        <w:rPr>
          <w:sz w:val="24"/>
          <w:szCs w:val="24"/>
          <w:lang w:val="sv-SE"/>
        </w:rPr>
        <w:t xml:space="preserve"> d. pažyma Nr.</w:t>
      </w:r>
      <w:r w:rsidR="003C6453">
        <w:rPr>
          <w:sz w:val="24"/>
          <w:szCs w:val="24"/>
          <w:lang w:val="sv-SE"/>
        </w:rPr>
        <w:t xml:space="preserve"> </w:t>
      </w:r>
      <w:r w:rsidR="008E06E6">
        <w:rPr>
          <w:sz w:val="24"/>
          <w:szCs w:val="24"/>
          <w:lang w:val="sv-SE"/>
        </w:rPr>
        <w:t>O</w:t>
      </w:r>
      <w:r w:rsidR="00A46103">
        <w:rPr>
          <w:sz w:val="24"/>
          <w:szCs w:val="24"/>
          <w:lang w:val="sv-SE"/>
        </w:rPr>
        <w:t>5</w:t>
      </w:r>
      <w:r w:rsidR="00BE67DF">
        <w:rPr>
          <w:sz w:val="24"/>
          <w:szCs w:val="24"/>
          <w:lang w:val="sv-SE"/>
        </w:rPr>
        <w:t>E</w:t>
      </w:r>
      <w:r w:rsidR="008E06E6">
        <w:rPr>
          <w:sz w:val="24"/>
          <w:szCs w:val="24"/>
          <w:lang w:val="sv-SE"/>
        </w:rPr>
        <w:t>-</w:t>
      </w:r>
      <w:r w:rsidR="000F2D42">
        <w:rPr>
          <w:sz w:val="24"/>
          <w:szCs w:val="24"/>
          <w:lang w:val="sv-SE"/>
        </w:rPr>
        <w:t>1418</w:t>
      </w:r>
      <w:r w:rsidR="008E06E6">
        <w:rPr>
          <w:sz w:val="24"/>
          <w:szCs w:val="24"/>
          <w:lang w:val="sv-SE"/>
        </w:rPr>
        <w:t xml:space="preserve"> ir </w:t>
      </w:r>
      <w:r w:rsidR="000F2D42">
        <w:rPr>
          <w:sz w:val="24"/>
          <w:szCs w:val="24"/>
          <w:lang w:val="sv-SE"/>
        </w:rPr>
        <w:t>VERT</w:t>
      </w:r>
      <w:r w:rsidR="00BF22B5">
        <w:rPr>
          <w:sz w:val="24"/>
          <w:szCs w:val="24"/>
          <w:lang w:val="sv-SE"/>
        </w:rPr>
        <w:t xml:space="preserve"> </w:t>
      </w:r>
      <w:r w:rsidR="008E06E6">
        <w:rPr>
          <w:sz w:val="24"/>
          <w:szCs w:val="24"/>
          <w:lang w:val="sv-SE"/>
        </w:rPr>
        <w:t>20</w:t>
      </w:r>
      <w:r w:rsidR="00BE67DF">
        <w:rPr>
          <w:sz w:val="24"/>
          <w:szCs w:val="24"/>
          <w:lang w:val="sv-SE"/>
        </w:rPr>
        <w:t>2</w:t>
      </w:r>
      <w:r w:rsidR="007459A5">
        <w:rPr>
          <w:sz w:val="24"/>
          <w:szCs w:val="24"/>
          <w:lang w:val="sv-SE"/>
        </w:rPr>
        <w:t>1</w:t>
      </w:r>
      <w:r w:rsidR="008E06E6">
        <w:rPr>
          <w:sz w:val="24"/>
          <w:szCs w:val="24"/>
          <w:lang w:val="sv-SE"/>
        </w:rPr>
        <w:t xml:space="preserve">m. </w:t>
      </w:r>
      <w:r w:rsidR="007459A5">
        <w:rPr>
          <w:sz w:val="24"/>
          <w:szCs w:val="24"/>
          <w:lang w:val="sv-SE"/>
        </w:rPr>
        <w:t>lapkri</w:t>
      </w:r>
      <w:r w:rsidR="00BE67DF">
        <w:rPr>
          <w:sz w:val="24"/>
          <w:szCs w:val="24"/>
          <w:lang w:val="sv-SE"/>
        </w:rPr>
        <w:t>čio</w:t>
      </w:r>
      <w:r w:rsidR="008E06E6">
        <w:rPr>
          <w:sz w:val="24"/>
          <w:szCs w:val="24"/>
          <w:lang w:val="sv-SE"/>
        </w:rPr>
        <w:t xml:space="preserve"> </w:t>
      </w:r>
      <w:r w:rsidR="007459A5">
        <w:rPr>
          <w:sz w:val="24"/>
          <w:szCs w:val="24"/>
          <w:lang w:val="sv-SE"/>
        </w:rPr>
        <w:t>29</w:t>
      </w:r>
      <w:r w:rsidR="008E06E6">
        <w:rPr>
          <w:sz w:val="24"/>
          <w:szCs w:val="24"/>
          <w:lang w:val="sv-SE"/>
        </w:rPr>
        <w:t xml:space="preserve"> d. nutarimas Nr. O3</w:t>
      </w:r>
      <w:r w:rsidR="00BE67DF">
        <w:rPr>
          <w:sz w:val="24"/>
          <w:szCs w:val="24"/>
          <w:lang w:val="sv-SE"/>
        </w:rPr>
        <w:t>E</w:t>
      </w:r>
      <w:r w:rsidR="008E06E6">
        <w:rPr>
          <w:sz w:val="24"/>
          <w:szCs w:val="24"/>
          <w:lang w:val="sv-SE"/>
        </w:rPr>
        <w:t>-</w:t>
      </w:r>
      <w:r w:rsidR="007459A5">
        <w:rPr>
          <w:sz w:val="24"/>
          <w:szCs w:val="24"/>
          <w:lang w:val="sv-SE"/>
        </w:rPr>
        <w:t>1599</w:t>
      </w:r>
      <w:r w:rsidR="008E06E6">
        <w:rPr>
          <w:sz w:val="24"/>
          <w:szCs w:val="24"/>
          <w:lang w:val="sv-SE"/>
        </w:rPr>
        <w:t xml:space="preserve"> „Dėl </w:t>
      </w:r>
      <w:r w:rsidR="00BE67DF">
        <w:rPr>
          <w:sz w:val="24"/>
          <w:szCs w:val="24"/>
          <w:lang w:val="sv-SE"/>
        </w:rPr>
        <w:t>UAB</w:t>
      </w:r>
      <w:r w:rsidR="008E06E6">
        <w:rPr>
          <w:sz w:val="24"/>
          <w:szCs w:val="24"/>
          <w:lang w:val="sv-SE"/>
        </w:rPr>
        <w:t xml:space="preserve"> „Aukštaitijos vandenys“ </w:t>
      </w:r>
      <w:r w:rsidR="004416EB">
        <w:rPr>
          <w:sz w:val="24"/>
          <w:szCs w:val="24"/>
          <w:lang w:val="sv-SE"/>
        </w:rPr>
        <w:t xml:space="preserve">perskaičiuotų </w:t>
      </w:r>
      <w:r w:rsidR="008E06E6">
        <w:rPr>
          <w:sz w:val="24"/>
          <w:szCs w:val="24"/>
          <w:lang w:val="sv-SE"/>
        </w:rPr>
        <w:t>geriamojo vandens tiekimo ir nuotekų tvarkymo paslaugų</w:t>
      </w:r>
      <w:r w:rsidR="00AD3DB0">
        <w:rPr>
          <w:sz w:val="24"/>
          <w:szCs w:val="24"/>
          <w:lang w:val="sv-SE"/>
        </w:rPr>
        <w:t xml:space="preserve"> bazinių</w:t>
      </w:r>
      <w:r w:rsidR="008E06E6">
        <w:rPr>
          <w:sz w:val="24"/>
          <w:szCs w:val="24"/>
          <w:lang w:val="sv-SE"/>
        </w:rPr>
        <w:t xml:space="preserve"> kainų derinimo“</w:t>
      </w:r>
      <w:r w:rsidR="00AD3DB0">
        <w:rPr>
          <w:sz w:val="24"/>
          <w:szCs w:val="24"/>
          <w:lang w:val="sv-SE"/>
        </w:rPr>
        <w:t>.</w:t>
      </w:r>
    </w:p>
    <w:p w:rsidR="008D3CE1" w:rsidRPr="00577078" w:rsidRDefault="008D3CE1" w:rsidP="00BC050C">
      <w:pPr>
        <w:ind w:firstLine="720"/>
        <w:rPr>
          <w:sz w:val="24"/>
          <w:szCs w:val="24"/>
          <w:lang w:val="sv-SE"/>
        </w:rPr>
      </w:pPr>
      <w:r w:rsidRPr="00577078">
        <w:rPr>
          <w:b/>
          <w:sz w:val="24"/>
          <w:szCs w:val="24"/>
          <w:lang w:val="sv-SE"/>
        </w:rPr>
        <w:t>2. Kaip šiuo metu sprendžiami projekte aptarti klausimai</w:t>
      </w:r>
      <w:r w:rsidRPr="00577078">
        <w:rPr>
          <w:sz w:val="24"/>
          <w:szCs w:val="24"/>
          <w:lang w:val="sv-SE"/>
        </w:rPr>
        <w:t>:</w:t>
      </w:r>
    </w:p>
    <w:p w:rsidR="003C2B17" w:rsidRPr="00203A34" w:rsidRDefault="007459A5" w:rsidP="00BC050C">
      <w:pPr>
        <w:ind w:firstLine="720"/>
        <w:jc w:val="both"/>
        <w:rPr>
          <w:sz w:val="24"/>
          <w:szCs w:val="24"/>
          <w:lang w:val="sv-SE"/>
        </w:rPr>
      </w:pPr>
      <w:r>
        <w:rPr>
          <w:color w:val="000000"/>
          <w:sz w:val="24"/>
          <w:szCs w:val="24"/>
        </w:rPr>
        <w:t>Sprendimo projektas parengtas atsižvelgiant į VERT</w:t>
      </w:r>
      <w:r w:rsidR="005E7120" w:rsidRPr="00203A34">
        <w:rPr>
          <w:color w:val="000000"/>
          <w:sz w:val="24"/>
          <w:szCs w:val="24"/>
        </w:rPr>
        <w:t xml:space="preserve"> 20</w:t>
      </w:r>
      <w:r w:rsidR="005F1CF9">
        <w:rPr>
          <w:color w:val="000000"/>
          <w:sz w:val="24"/>
          <w:szCs w:val="24"/>
        </w:rPr>
        <w:t>2</w:t>
      </w:r>
      <w:r>
        <w:rPr>
          <w:color w:val="000000"/>
          <w:sz w:val="24"/>
          <w:szCs w:val="24"/>
        </w:rPr>
        <w:t>1</w:t>
      </w:r>
      <w:r w:rsidR="005E7120" w:rsidRPr="00203A34">
        <w:rPr>
          <w:color w:val="000000"/>
          <w:sz w:val="24"/>
          <w:szCs w:val="24"/>
        </w:rPr>
        <w:t xml:space="preserve"> m. </w:t>
      </w:r>
      <w:r>
        <w:rPr>
          <w:color w:val="000000"/>
          <w:sz w:val="24"/>
          <w:szCs w:val="24"/>
        </w:rPr>
        <w:t>lapkri</w:t>
      </w:r>
      <w:r w:rsidR="005F1CF9">
        <w:rPr>
          <w:color w:val="000000"/>
          <w:sz w:val="24"/>
          <w:szCs w:val="24"/>
        </w:rPr>
        <w:t>či</w:t>
      </w:r>
      <w:r w:rsidR="00105F4F" w:rsidRPr="00203A34">
        <w:rPr>
          <w:color w:val="000000"/>
          <w:sz w:val="24"/>
          <w:szCs w:val="24"/>
        </w:rPr>
        <w:t>o</w:t>
      </w:r>
      <w:r w:rsidR="005E7120" w:rsidRPr="00203A34">
        <w:rPr>
          <w:color w:val="000000"/>
          <w:sz w:val="24"/>
          <w:szCs w:val="24"/>
        </w:rPr>
        <w:t xml:space="preserve"> </w:t>
      </w:r>
      <w:r>
        <w:rPr>
          <w:color w:val="000000"/>
          <w:sz w:val="24"/>
          <w:szCs w:val="24"/>
        </w:rPr>
        <w:t>29</w:t>
      </w:r>
      <w:r w:rsidR="005E7120" w:rsidRPr="00203A34">
        <w:rPr>
          <w:color w:val="000000"/>
          <w:sz w:val="24"/>
          <w:szCs w:val="24"/>
        </w:rPr>
        <w:t xml:space="preserve"> d. nutarimu </w:t>
      </w:r>
      <w:r w:rsidR="005E7120" w:rsidRPr="00203A34">
        <w:rPr>
          <w:sz w:val="24"/>
          <w:szCs w:val="24"/>
          <w:lang w:val="sv-SE"/>
        </w:rPr>
        <w:t>Nr. O3</w:t>
      </w:r>
      <w:r w:rsidR="005F1CF9">
        <w:rPr>
          <w:sz w:val="24"/>
          <w:szCs w:val="24"/>
          <w:lang w:val="sv-SE"/>
        </w:rPr>
        <w:t>E-</w:t>
      </w:r>
      <w:r>
        <w:rPr>
          <w:sz w:val="24"/>
          <w:szCs w:val="24"/>
          <w:lang w:val="sv-SE"/>
        </w:rPr>
        <w:t>1599</w:t>
      </w:r>
      <w:r w:rsidR="005E7120" w:rsidRPr="00203A34">
        <w:rPr>
          <w:sz w:val="24"/>
          <w:szCs w:val="24"/>
          <w:lang w:val="sv-SE"/>
        </w:rPr>
        <w:t xml:space="preserve"> „Dėl </w:t>
      </w:r>
      <w:r w:rsidR="005F1CF9">
        <w:rPr>
          <w:sz w:val="24"/>
          <w:szCs w:val="24"/>
          <w:lang w:val="sv-SE"/>
        </w:rPr>
        <w:t>UAB</w:t>
      </w:r>
      <w:r w:rsidR="008B28F0" w:rsidRPr="00203A34">
        <w:rPr>
          <w:sz w:val="24"/>
          <w:szCs w:val="24"/>
          <w:lang w:val="sv-SE"/>
        </w:rPr>
        <w:t xml:space="preserve"> </w:t>
      </w:r>
      <w:r w:rsidR="005E7120" w:rsidRPr="00203A34">
        <w:rPr>
          <w:sz w:val="24"/>
          <w:szCs w:val="24"/>
          <w:lang w:val="sv-SE"/>
        </w:rPr>
        <w:t xml:space="preserve">„Aukštaitijos vandenys“ </w:t>
      </w:r>
      <w:r w:rsidR="00105F4F" w:rsidRPr="00203A34">
        <w:rPr>
          <w:sz w:val="24"/>
          <w:szCs w:val="24"/>
          <w:lang w:val="sv-SE"/>
        </w:rPr>
        <w:t xml:space="preserve">perskaičiuotų </w:t>
      </w:r>
      <w:r w:rsidR="005E7120" w:rsidRPr="00203A34">
        <w:rPr>
          <w:sz w:val="24"/>
          <w:szCs w:val="24"/>
          <w:lang w:val="sv-SE"/>
        </w:rPr>
        <w:t xml:space="preserve">geriamojo vandens tiekimo ir nuotekų tvarkymo paslaugų </w:t>
      </w:r>
      <w:r w:rsidR="008B28F0" w:rsidRPr="00203A34">
        <w:rPr>
          <w:sz w:val="24"/>
          <w:szCs w:val="24"/>
          <w:lang w:val="sv-SE"/>
        </w:rPr>
        <w:t xml:space="preserve">bazinių </w:t>
      </w:r>
      <w:r w:rsidR="005E7120" w:rsidRPr="00203A34">
        <w:rPr>
          <w:sz w:val="24"/>
          <w:szCs w:val="24"/>
          <w:lang w:val="sv-SE"/>
        </w:rPr>
        <w:t>kainų derinimo“ suderin</w:t>
      </w:r>
      <w:r>
        <w:rPr>
          <w:sz w:val="24"/>
          <w:szCs w:val="24"/>
          <w:lang w:val="sv-SE"/>
        </w:rPr>
        <w:t>tas</w:t>
      </w:r>
      <w:r w:rsidR="005E7120" w:rsidRPr="00203A34">
        <w:rPr>
          <w:sz w:val="24"/>
          <w:szCs w:val="24"/>
          <w:lang w:val="sv-SE"/>
        </w:rPr>
        <w:t xml:space="preserve"> </w:t>
      </w:r>
      <w:r w:rsidR="00C35BEC">
        <w:rPr>
          <w:sz w:val="24"/>
          <w:szCs w:val="24"/>
          <w:lang w:val="sv-SE"/>
        </w:rPr>
        <w:t>Bendrovės</w:t>
      </w:r>
      <w:r w:rsidR="005E7120" w:rsidRPr="00203A34">
        <w:rPr>
          <w:sz w:val="24"/>
          <w:szCs w:val="24"/>
          <w:lang w:val="sv-SE"/>
        </w:rPr>
        <w:t xml:space="preserve"> </w:t>
      </w:r>
      <w:r w:rsidR="00105F4F" w:rsidRPr="00203A34">
        <w:rPr>
          <w:sz w:val="24"/>
          <w:szCs w:val="24"/>
          <w:lang w:val="sv-SE"/>
        </w:rPr>
        <w:t xml:space="preserve">perskaičiuotas geriamojo vandens tiekimo ir nuotekų tvarkymo paslaugų </w:t>
      </w:r>
      <w:r w:rsidR="008B28F0" w:rsidRPr="00203A34">
        <w:rPr>
          <w:sz w:val="24"/>
          <w:szCs w:val="24"/>
          <w:lang w:val="sv-SE"/>
        </w:rPr>
        <w:t xml:space="preserve">bazines </w:t>
      </w:r>
      <w:r w:rsidR="005E7120" w:rsidRPr="00203A34">
        <w:rPr>
          <w:sz w:val="24"/>
          <w:szCs w:val="24"/>
          <w:lang w:val="sv-SE"/>
        </w:rPr>
        <w:t>kainas</w:t>
      </w:r>
      <w:r w:rsidR="008B28F0" w:rsidRPr="00203A34">
        <w:rPr>
          <w:sz w:val="24"/>
          <w:szCs w:val="24"/>
          <w:lang w:val="sv-SE"/>
        </w:rPr>
        <w:t xml:space="preserve"> (be PVM)</w:t>
      </w:r>
      <w:r w:rsidR="005E7120" w:rsidRPr="00203A34">
        <w:rPr>
          <w:sz w:val="24"/>
          <w:szCs w:val="24"/>
          <w:lang w:val="sv-SE"/>
        </w:rPr>
        <w:t>.</w:t>
      </w:r>
    </w:p>
    <w:p w:rsidR="008D3CE1" w:rsidRDefault="008D3CE1" w:rsidP="00BC050C">
      <w:pPr>
        <w:ind w:firstLine="720"/>
        <w:rPr>
          <w:b/>
          <w:sz w:val="24"/>
          <w:szCs w:val="24"/>
          <w:lang w:val="sv-SE"/>
        </w:rPr>
      </w:pPr>
      <w:r w:rsidRPr="00577078">
        <w:rPr>
          <w:b/>
          <w:sz w:val="24"/>
          <w:szCs w:val="24"/>
          <w:lang w:val="sv-SE"/>
        </w:rPr>
        <w:t>3. Sprendimo priėmimo būtinumo pagrindimas, kokių pozityvių rezultatų laukiama:</w:t>
      </w:r>
    </w:p>
    <w:p w:rsidR="00B4085D" w:rsidRDefault="00B4085D" w:rsidP="00B4085D">
      <w:pPr>
        <w:ind w:firstLine="720"/>
        <w:jc w:val="both"/>
        <w:rPr>
          <w:sz w:val="24"/>
          <w:szCs w:val="24"/>
        </w:rPr>
      </w:pPr>
      <w:r>
        <w:rPr>
          <w:sz w:val="24"/>
          <w:szCs w:val="24"/>
          <w:lang w:val="sv-SE"/>
        </w:rPr>
        <w:t>Panevėžio miesto savivaldybės tarybos 201</w:t>
      </w:r>
      <w:r w:rsidR="005F1CF9">
        <w:rPr>
          <w:sz w:val="24"/>
          <w:szCs w:val="24"/>
          <w:lang w:val="sv-SE"/>
        </w:rPr>
        <w:t>9</w:t>
      </w:r>
      <w:r>
        <w:rPr>
          <w:sz w:val="24"/>
          <w:szCs w:val="24"/>
          <w:lang w:val="sv-SE"/>
        </w:rPr>
        <w:t xml:space="preserve"> m. b</w:t>
      </w:r>
      <w:r w:rsidR="005F1CF9">
        <w:rPr>
          <w:sz w:val="24"/>
          <w:szCs w:val="24"/>
          <w:lang w:val="sv-SE"/>
        </w:rPr>
        <w:t>alandž</w:t>
      </w:r>
      <w:r>
        <w:rPr>
          <w:sz w:val="24"/>
          <w:szCs w:val="24"/>
          <w:lang w:val="sv-SE"/>
        </w:rPr>
        <w:t xml:space="preserve">io </w:t>
      </w:r>
      <w:r w:rsidR="005F1CF9">
        <w:rPr>
          <w:sz w:val="24"/>
          <w:szCs w:val="24"/>
          <w:lang w:val="sv-SE"/>
        </w:rPr>
        <w:t>1</w:t>
      </w:r>
      <w:r>
        <w:rPr>
          <w:sz w:val="24"/>
          <w:szCs w:val="24"/>
          <w:lang w:val="sv-SE"/>
        </w:rPr>
        <w:t>2 d. sprendimu Nr. 1-1</w:t>
      </w:r>
      <w:r w:rsidR="005F1CF9">
        <w:rPr>
          <w:sz w:val="24"/>
          <w:szCs w:val="24"/>
          <w:lang w:val="sv-SE"/>
        </w:rPr>
        <w:t>18</w:t>
      </w:r>
      <w:r>
        <w:rPr>
          <w:sz w:val="24"/>
          <w:szCs w:val="24"/>
          <w:lang w:val="sv-SE"/>
        </w:rPr>
        <w:t xml:space="preserve"> buvo nustatytos</w:t>
      </w:r>
      <w:r w:rsidRPr="00B4085D">
        <w:rPr>
          <w:sz w:val="24"/>
          <w:szCs w:val="24"/>
        </w:rPr>
        <w:t xml:space="preserve"> </w:t>
      </w:r>
      <w:r>
        <w:rPr>
          <w:sz w:val="24"/>
          <w:szCs w:val="24"/>
        </w:rPr>
        <w:t>Bazinės kainos 3 metų laikotarpiui</w:t>
      </w:r>
      <w:r>
        <w:rPr>
          <w:sz w:val="24"/>
          <w:szCs w:val="24"/>
          <w:lang w:val="sv-SE"/>
        </w:rPr>
        <w:t xml:space="preserve">. Vadovaujantis </w:t>
      </w:r>
      <w:r w:rsidR="007459A5">
        <w:rPr>
          <w:sz w:val="24"/>
          <w:szCs w:val="24"/>
          <w:lang w:val="sv-SE"/>
        </w:rPr>
        <w:t xml:space="preserve">LR GVTNTĮ </w:t>
      </w:r>
      <w:r>
        <w:rPr>
          <w:sz w:val="24"/>
          <w:szCs w:val="24"/>
          <w:lang w:val="sv-SE"/>
        </w:rPr>
        <w:t>34 straipsnio 12 punktu savivaldybių tarybų nustatytos bazinės kainos perskaičiuojamos kiekvienais metais ir perskaičiuotos geriamojo vandens tiekimo ir nuotekų tvarkymo paslaugų bazinės kainos galioja 12 mėnesių nuo šių kainų įsigaliojimo dienos.</w:t>
      </w:r>
    </w:p>
    <w:p w:rsidR="00420401" w:rsidRDefault="00420401" w:rsidP="00420401">
      <w:pPr>
        <w:pStyle w:val="Default"/>
        <w:ind w:firstLine="720"/>
        <w:jc w:val="both"/>
        <w:rPr>
          <w:bCs/>
        </w:rPr>
      </w:pPr>
      <w:r>
        <w:rPr>
          <w:bCs/>
        </w:rPr>
        <w:t xml:space="preserve">Priėmus </w:t>
      </w:r>
      <w:r w:rsidR="005F1CF9">
        <w:rPr>
          <w:bCs/>
        </w:rPr>
        <w:t>teikia</w:t>
      </w:r>
      <w:r>
        <w:rPr>
          <w:bCs/>
        </w:rPr>
        <w:t xml:space="preserve">mą sprendimo projektą, bus nustatytos </w:t>
      </w:r>
      <w:r>
        <w:t xml:space="preserve">UAB „Aukštaitijos vandenys“ </w:t>
      </w:r>
      <w:r w:rsidR="00105F4F">
        <w:t xml:space="preserve">perskaičiuotos </w:t>
      </w:r>
      <w:r>
        <w:t>geriamojo vandens tiekimo ir nuotekų tvarkymo paslaugų bazinės kaino</w:t>
      </w:r>
      <w:r>
        <w:rPr>
          <w:bCs/>
        </w:rPr>
        <w:t>s.</w:t>
      </w:r>
    </w:p>
    <w:p w:rsidR="003A165E" w:rsidRPr="003E74A9" w:rsidRDefault="003A165E" w:rsidP="003A165E">
      <w:pPr>
        <w:ind w:firstLine="720"/>
        <w:jc w:val="both"/>
        <w:rPr>
          <w:sz w:val="24"/>
          <w:szCs w:val="24"/>
        </w:rPr>
      </w:pPr>
      <w:r>
        <w:rPr>
          <w:sz w:val="24"/>
          <w:szCs w:val="24"/>
        </w:rPr>
        <w:t>Tarybos suderintos kainos bus pradėtos taikyti jas patvirtinus Panevėžio miesto ir Panevėžio rajono savivaldybės taryboms</w:t>
      </w:r>
      <w:r w:rsidR="00B30936">
        <w:rPr>
          <w:sz w:val="24"/>
          <w:szCs w:val="24"/>
        </w:rPr>
        <w:t>, t.y. nuo 202</w:t>
      </w:r>
      <w:r w:rsidR="007459A5">
        <w:rPr>
          <w:sz w:val="24"/>
          <w:szCs w:val="24"/>
        </w:rPr>
        <w:t>2</w:t>
      </w:r>
      <w:r w:rsidR="00B30936">
        <w:rPr>
          <w:sz w:val="24"/>
          <w:szCs w:val="24"/>
        </w:rPr>
        <w:t xml:space="preserve"> m. </w:t>
      </w:r>
      <w:r w:rsidR="007459A5">
        <w:rPr>
          <w:sz w:val="24"/>
          <w:szCs w:val="24"/>
        </w:rPr>
        <w:t>v</w:t>
      </w:r>
      <w:r w:rsidR="00B30936">
        <w:rPr>
          <w:sz w:val="24"/>
          <w:szCs w:val="24"/>
        </w:rPr>
        <w:t>a</w:t>
      </w:r>
      <w:r w:rsidR="007459A5">
        <w:rPr>
          <w:sz w:val="24"/>
          <w:szCs w:val="24"/>
        </w:rPr>
        <w:t>sar</w:t>
      </w:r>
      <w:r w:rsidR="00B30936">
        <w:rPr>
          <w:sz w:val="24"/>
          <w:szCs w:val="24"/>
        </w:rPr>
        <w:t>io</w:t>
      </w:r>
      <w:r w:rsidR="00C35BEC">
        <w:rPr>
          <w:sz w:val="24"/>
          <w:szCs w:val="24"/>
        </w:rPr>
        <w:t xml:space="preserve"> 1 </w:t>
      </w:r>
      <w:r w:rsidR="00B30936">
        <w:rPr>
          <w:sz w:val="24"/>
          <w:szCs w:val="24"/>
        </w:rPr>
        <w:t>d</w:t>
      </w:r>
      <w:r>
        <w:rPr>
          <w:sz w:val="24"/>
          <w:szCs w:val="24"/>
        </w:rPr>
        <w:t>.</w:t>
      </w:r>
    </w:p>
    <w:p w:rsidR="008D3CE1" w:rsidRDefault="008D3CE1" w:rsidP="00F91DF8">
      <w:pPr>
        <w:ind w:firstLine="720"/>
        <w:rPr>
          <w:b/>
          <w:sz w:val="24"/>
          <w:szCs w:val="24"/>
          <w:lang w:val="sv-SE"/>
        </w:rPr>
      </w:pPr>
      <w:r w:rsidRPr="00577078">
        <w:rPr>
          <w:b/>
          <w:sz w:val="24"/>
          <w:szCs w:val="24"/>
          <w:lang w:val="sv-SE"/>
        </w:rPr>
        <w:t>4. Skaičiavimai, išlaidų sąmatos, finansavimo šaltiniai:</w:t>
      </w:r>
    </w:p>
    <w:p w:rsidR="00FF6B56" w:rsidRPr="00FF6B56" w:rsidRDefault="00FF6B56" w:rsidP="00564830">
      <w:pPr>
        <w:ind w:firstLine="720"/>
        <w:jc w:val="both"/>
        <w:rPr>
          <w:sz w:val="24"/>
          <w:szCs w:val="24"/>
          <w:lang w:val="sv-SE"/>
        </w:rPr>
      </w:pPr>
      <w:r w:rsidRPr="00FF6B56">
        <w:rPr>
          <w:sz w:val="24"/>
          <w:szCs w:val="24"/>
          <w:lang w:val="sv-SE"/>
        </w:rPr>
        <w:t>Pateiktą Prašymą nagrinėjo VERT</w:t>
      </w:r>
      <w:r w:rsidR="00D07106">
        <w:rPr>
          <w:sz w:val="24"/>
          <w:szCs w:val="24"/>
          <w:lang w:val="sv-SE"/>
        </w:rPr>
        <w:t xml:space="preserve"> Skyrius vadovaudamasis </w:t>
      </w:r>
      <w:r w:rsidR="0007745C">
        <w:rPr>
          <w:sz w:val="24"/>
          <w:szCs w:val="24"/>
          <w:lang w:val="sv-SE"/>
        </w:rPr>
        <w:t xml:space="preserve">LR GVTNTĮ 9 straipsnio 1 dalies 3 punktu, 34 straipsniu, Geriamojo vandens tiekimo ir nuotekų tvarkymo bei paviršinių nuotekų </w:t>
      </w:r>
      <w:r w:rsidR="0007745C">
        <w:rPr>
          <w:sz w:val="24"/>
          <w:szCs w:val="24"/>
          <w:lang w:val="sv-SE"/>
        </w:rPr>
        <w:lastRenderedPageBreak/>
        <w:t>tvarkymo paslaugų kainų nustatymo metodika, patvirtinta VERT 2006 m. gruodžio 21 d. nutarimu Nr. O3-92 „Dėl Geriamojo vandens tiekimo ir nuotekų tvarkymo bei paviršinių nuotekų tvarkymo paslaugų kainų nustatymo metodikos patvirtinimo“</w:t>
      </w:r>
      <w:r w:rsidR="00564830">
        <w:rPr>
          <w:sz w:val="24"/>
          <w:szCs w:val="24"/>
          <w:lang w:val="sv-SE"/>
        </w:rPr>
        <w:t xml:space="preserve"> (toliau – Metodika) ir Geriamojo vandens tiekimo ir nuotekų tvarkymo bei paviršinių nuotekų tvarkymo paslaugų įmonių apskaitos atskyrimo ir susijusiųreikalavimų aprašu, patvirtintu VERT 2018 m. gruodžio 21 d. nutarimu Nr. O3E-459 „Dėl</w:t>
      </w:r>
      <w:r w:rsidR="00564830" w:rsidRPr="00564830">
        <w:rPr>
          <w:sz w:val="24"/>
          <w:szCs w:val="24"/>
          <w:lang w:val="sv-SE"/>
        </w:rPr>
        <w:t xml:space="preserve"> </w:t>
      </w:r>
      <w:r w:rsidR="00564830">
        <w:rPr>
          <w:sz w:val="24"/>
          <w:szCs w:val="24"/>
          <w:lang w:val="sv-SE"/>
        </w:rPr>
        <w:t>Geriamojo vandens tiekimo ir nuotekų tvarkymo bei paviršinių nuotekų tvarkymo paslaugų įmonių apskaitos atskyrimo ir susijusių reikalavimų aprašo patvirtinimo“ (toliau – Aprašas).</w:t>
      </w:r>
    </w:p>
    <w:p w:rsidR="006B1C76" w:rsidRDefault="00F828CD" w:rsidP="004A6176">
      <w:pPr>
        <w:ind w:firstLine="720"/>
        <w:jc w:val="both"/>
        <w:rPr>
          <w:sz w:val="24"/>
          <w:szCs w:val="24"/>
          <w:lang w:val="sv-SE"/>
        </w:rPr>
      </w:pPr>
      <w:r>
        <w:rPr>
          <w:sz w:val="24"/>
          <w:szCs w:val="24"/>
          <w:lang w:val="sv-SE"/>
        </w:rPr>
        <w:t>Bazinės kainos, g</w:t>
      </w:r>
      <w:r w:rsidR="00B66CE2">
        <w:rPr>
          <w:sz w:val="24"/>
          <w:szCs w:val="24"/>
          <w:lang w:val="sv-SE"/>
        </w:rPr>
        <w:t>aliojančios</w:t>
      </w:r>
      <w:r>
        <w:rPr>
          <w:sz w:val="24"/>
          <w:szCs w:val="24"/>
          <w:lang w:val="sv-SE"/>
        </w:rPr>
        <w:t xml:space="preserve"> perskaičiuotos</w:t>
      </w:r>
      <w:r w:rsidR="00B66CE2">
        <w:rPr>
          <w:sz w:val="24"/>
          <w:szCs w:val="24"/>
          <w:lang w:val="sv-SE"/>
        </w:rPr>
        <w:t xml:space="preserve"> bazinės ir </w:t>
      </w:r>
      <w:r>
        <w:rPr>
          <w:sz w:val="24"/>
          <w:szCs w:val="24"/>
          <w:lang w:val="sv-SE"/>
        </w:rPr>
        <w:t>VERT</w:t>
      </w:r>
      <w:r w:rsidR="00B66CE2">
        <w:rPr>
          <w:sz w:val="24"/>
          <w:szCs w:val="24"/>
          <w:lang w:val="sv-SE"/>
        </w:rPr>
        <w:t xml:space="preserve"> suderintos perskaičiuotos  </w:t>
      </w:r>
      <w:r w:rsidR="00B66CE2" w:rsidRPr="00105F4F">
        <w:rPr>
          <w:sz w:val="24"/>
          <w:szCs w:val="24"/>
        </w:rPr>
        <w:t xml:space="preserve">geriamojo vandens tiekimo ir nuotekų tvarkymo paslaugų </w:t>
      </w:r>
      <w:r w:rsidR="00B66CE2">
        <w:rPr>
          <w:sz w:val="24"/>
          <w:szCs w:val="24"/>
        </w:rPr>
        <w:t xml:space="preserve">bazinės </w:t>
      </w:r>
      <w:r w:rsidR="00B66CE2" w:rsidRPr="00105F4F">
        <w:rPr>
          <w:sz w:val="24"/>
          <w:szCs w:val="24"/>
        </w:rPr>
        <w:t>kain</w:t>
      </w:r>
      <w:r w:rsidR="00B66CE2">
        <w:rPr>
          <w:sz w:val="24"/>
          <w:szCs w:val="24"/>
        </w:rPr>
        <w:t>os (be PVM)</w:t>
      </w:r>
      <w:r w:rsidR="006B57AD">
        <w:rPr>
          <w:sz w:val="24"/>
          <w:szCs w:val="24"/>
        </w:rPr>
        <w:t xml:space="preserve"> ir jų pokytis proc.</w:t>
      </w:r>
      <w:r w:rsidR="00B66CE2">
        <w:rPr>
          <w:sz w:val="24"/>
          <w:szCs w:val="24"/>
        </w:rPr>
        <w:t xml:space="preserve"> pateik</w:t>
      </w:r>
      <w:r w:rsidR="00B91136">
        <w:rPr>
          <w:sz w:val="24"/>
          <w:szCs w:val="24"/>
        </w:rPr>
        <w:t>iam</w:t>
      </w:r>
      <w:r w:rsidR="00B66CE2">
        <w:rPr>
          <w:sz w:val="24"/>
          <w:szCs w:val="24"/>
        </w:rPr>
        <w:t>os 1 lentelėje.</w:t>
      </w:r>
    </w:p>
    <w:p w:rsidR="00D87C1E" w:rsidRDefault="00B66CE2" w:rsidP="00F91DF8">
      <w:pPr>
        <w:ind w:firstLine="720"/>
        <w:rPr>
          <w:sz w:val="22"/>
          <w:szCs w:val="22"/>
          <w:lang w:val="sv-SE"/>
        </w:rPr>
      </w:pPr>
      <w:r>
        <w:rPr>
          <w:sz w:val="24"/>
          <w:szCs w:val="24"/>
          <w:lang w:val="sv-SE"/>
        </w:rPr>
        <w:tab/>
      </w:r>
      <w:r>
        <w:rPr>
          <w:sz w:val="24"/>
          <w:szCs w:val="24"/>
          <w:lang w:val="sv-SE"/>
        </w:rPr>
        <w:tab/>
      </w:r>
      <w:r>
        <w:rPr>
          <w:sz w:val="24"/>
          <w:szCs w:val="24"/>
          <w:lang w:val="sv-SE"/>
        </w:rPr>
        <w:tab/>
      </w:r>
      <w:r w:rsidRPr="00B66CE2">
        <w:rPr>
          <w:sz w:val="22"/>
          <w:szCs w:val="22"/>
          <w:lang w:val="sv-SE"/>
        </w:rPr>
        <w:t xml:space="preserve">          </w:t>
      </w:r>
    </w:p>
    <w:p w:rsidR="003B40A6" w:rsidRPr="00B66CE2" w:rsidRDefault="00B66CE2" w:rsidP="00D87C1E">
      <w:pPr>
        <w:ind w:left="7776"/>
        <w:rPr>
          <w:sz w:val="22"/>
          <w:szCs w:val="22"/>
          <w:lang w:val="sv-SE"/>
        </w:rPr>
      </w:pPr>
      <w:r w:rsidRPr="00B66CE2">
        <w:rPr>
          <w:sz w:val="22"/>
          <w:szCs w:val="22"/>
          <w:lang w:val="sv-SE"/>
        </w:rPr>
        <w:t xml:space="preserve">  </w:t>
      </w:r>
      <w:r w:rsidR="00431DCE">
        <w:rPr>
          <w:sz w:val="22"/>
          <w:szCs w:val="22"/>
          <w:lang w:val="sv-SE"/>
        </w:rPr>
        <w:t xml:space="preserve">                 </w:t>
      </w:r>
      <w:r w:rsidRPr="00B66CE2">
        <w:rPr>
          <w:sz w:val="22"/>
          <w:szCs w:val="22"/>
          <w:lang w:val="sv-SE"/>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3704"/>
        <w:gridCol w:w="879"/>
        <w:gridCol w:w="1389"/>
        <w:gridCol w:w="1591"/>
        <w:gridCol w:w="1433"/>
      </w:tblGrid>
      <w:tr w:rsidR="00C27347" w:rsidRPr="00DA2323" w:rsidTr="00514CEC">
        <w:trPr>
          <w:trHeight w:val="835"/>
        </w:trPr>
        <w:tc>
          <w:tcPr>
            <w:tcW w:w="0" w:type="auto"/>
          </w:tcPr>
          <w:p w:rsidR="00C27347" w:rsidRDefault="00C27347" w:rsidP="00D0090B">
            <w:pPr>
              <w:jc w:val="center"/>
              <w:rPr>
                <w:sz w:val="22"/>
                <w:szCs w:val="22"/>
              </w:rPr>
            </w:pPr>
          </w:p>
          <w:p w:rsidR="007B2210" w:rsidRDefault="00C27347" w:rsidP="00D0090B">
            <w:pPr>
              <w:jc w:val="center"/>
              <w:rPr>
                <w:sz w:val="22"/>
                <w:szCs w:val="22"/>
              </w:rPr>
            </w:pPr>
            <w:r>
              <w:rPr>
                <w:sz w:val="22"/>
                <w:szCs w:val="22"/>
              </w:rPr>
              <w:t>Eil.</w:t>
            </w:r>
          </w:p>
          <w:p w:rsidR="00C27347" w:rsidRDefault="00C27347" w:rsidP="00D0090B">
            <w:pPr>
              <w:jc w:val="center"/>
              <w:rPr>
                <w:sz w:val="22"/>
                <w:szCs w:val="22"/>
              </w:rPr>
            </w:pPr>
            <w:r>
              <w:rPr>
                <w:sz w:val="22"/>
                <w:szCs w:val="22"/>
              </w:rPr>
              <w:t>Nr.</w:t>
            </w:r>
          </w:p>
        </w:tc>
        <w:tc>
          <w:tcPr>
            <w:tcW w:w="0" w:type="auto"/>
            <w:shd w:val="clear" w:color="auto" w:fill="auto"/>
          </w:tcPr>
          <w:p w:rsidR="007B2210" w:rsidRDefault="007B2210" w:rsidP="00D0090B">
            <w:pPr>
              <w:jc w:val="center"/>
              <w:rPr>
                <w:sz w:val="22"/>
                <w:szCs w:val="22"/>
              </w:rPr>
            </w:pPr>
          </w:p>
          <w:p w:rsidR="007B2210" w:rsidRDefault="007B2210" w:rsidP="00082BB5">
            <w:pPr>
              <w:jc w:val="center"/>
              <w:rPr>
                <w:sz w:val="22"/>
                <w:szCs w:val="22"/>
              </w:rPr>
            </w:pPr>
            <w:r>
              <w:rPr>
                <w:sz w:val="22"/>
                <w:szCs w:val="22"/>
              </w:rPr>
              <w:t>Rodiklis</w:t>
            </w:r>
          </w:p>
          <w:p w:rsidR="007B2210" w:rsidRPr="00181D49" w:rsidRDefault="007B2210" w:rsidP="00082BB5">
            <w:pPr>
              <w:rPr>
                <w:sz w:val="22"/>
                <w:szCs w:val="22"/>
              </w:rPr>
            </w:pPr>
          </w:p>
        </w:tc>
        <w:tc>
          <w:tcPr>
            <w:tcW w:w="0" w:type="auto"/>
            <w:shd w:val="clear" w:color="auto" w:fill="auto"/>
          </w:tcPr>
          <w:p w:rsidR="007B2210" w:rsidRDefault="007B2210" w:rsidP="00D0090B">
            <w:pPr>
              <w:jc w:val="center"/>
              <w:rPr>
                <w:sz w:val="22"/>
                <w:szCs w:val="22"/>
              </w:rPr>
            </w:pPr>
          </w:p>
          <w:p w:rsidR="007B2210" w:rsidRPr="00181D49" w:rsidRDefault="007B2210" w:rsidP="00E96B4E">
            <w:pPr>
              <w:jc w:val="center"/>
              <w:rPr>
                <w:sz w:val="22"/>
                <w:szCs w:val="22"/>
              </w:rPr>
            </w:pPr>
            <w:r>
              <w:rPr>
                <w:sz w:val="22"/>
                <w:szCs w:val="22"/>
              </w:rPr>
              <w:t>Bazinė</w:t>
            </w:r>
            <w:r w:rsidRPr="00181D49">
              <w:rPr>
                <w:sz w:val="22"/>
                <w:szCs w:val="22"/>
              </w:rPr>
              <w:t xml:space="preserve"> kaina</w:t>
            </w:r>
          </w:p>
        </w:tc>
        <w:tc>
          <w:tcPr>
            <w:tcW w:w="0" w:type="auto"/>
            <w:shd w:val="clear" w:color="auto" w:fill="auto"/>
          </w:tcPr>
          <w:p w:rsidR="007B2210" w:rsidRDefault="007B2210" w:rsidP="007B2210">
            <w:pPr>
              <w:rPr>
                <w:sz w:val="22"/>
                <w:szCs w:val="22"/>
              </w:rPr>
            </w:pPr>
            <w:r>
              <w:rPr>
                <w:sz w:val="22"/>
                <w:szCs w:val="22"/>
              </w:rPr>
              <w:t xml:space="preserve">Galiojanti </w:t>
            </w:r>
          </w:p>
          <w:p w:rsidR="007B2210" w:rsidRDefault="007B2210" w:rsidP="007B2210">
            <w:pPr>
              <w:rPr>
                <w:sz w:val="22"/>
                <w:szCs w:val="22"/>
              </w:rPr>
            </w:pPr>
            <w:r>
              <w:rPr>
                <w:sz w:val="22"/>
                <w:szCs w:val="22"/>
              </w:rPr>
              <w:t xml:space="preserve">perskaičiuota </w:t>
            </w:r>
          </w:p>
          <w:p w:rsidR="007B2210" w:rsidRPr="00181D49" w:rsidRDefault="007B2210" w:rsidP="007B2210">
            <w:pPr>
              <w:rPr>
                <w:sz w:val="22"/>
                <w:szCs w:val="22"/>
              </w:rPr>
            </w:pPr>
            <w:r>
              <w:rPr>
                <w:sz w:val="22"/>
                <w:szCs w:val="22"/>
              </w:rPr>
              <w:t>bazinė kaina</w:t>
            </w:r>
          </w:p>
        </w:tc>
        <w:tc>
          <w:tcPr>
            <w:tcW w:w="0" w:type="auto"/>
            <w:shd w:val="clear" w:color="auto" w:fill="auto"/>
          </w:tcPr>
          <w:p w:rsidR="007B2210" w:rsidRPr="00181D49" w:rsidRDefault="007B2210" w:rsidP="00D0090B">
            <w:pPr>
              <w:jc w:val="center"/>
              <w:rPr>
                <w:sz w:val="22"/>
                <w:szCs w:val="22"/>
              </w:rPr>
            </w:pPr>
            <w:r>
              <w:rPr>
                <w:sz w:val="22"/>
                <w:szCs w:val="22"/>
              </w:rPr>
              <w:t>Suderinta perskaičiuota bazinė kaina</w:t>
            </w:r>
          </w:p>
        </w:tc>
        <w:tc>
          <w:tcPr>
            <w:tcW w:w="0" w:type="auto"/>
            <w:shd w:val="clear" w:color="auto" w:fill="auto"/>
          </w:tcPr>
          <w:p w:rsidR="007B2210" w:rsidRPr="00181D49" w:rsidRDefault="00514CEC" w:rsidP="00AF302C">
            <w:pPr>
              <w:jc w:val="center"/>
              <w:rPr>
                <w:sz w:val="22"/>
                <w:szCs w:val="22"/>
              </w:rPr>
            </w:pPr>
            <w:r>
              <w:rPr>
                <w:sz w:val="22"/>
                <w:szCs w:val="22"/>
              </w:rPr>
              <w:t>Pasikeitimas</w:t>
            </w:r>
            <w:r w:rsidR="00C27347">
              <w:rPr>
                <w:sz w:val="22"/>
                <w:szCs w:val="22"/>
              </w:rPr>
              <w:t>,</w:t>
            </w:r>
            <w:r w:rsidR="007B2210" w:rsidRPr="00181D49">
              <w:rPr>
                <w:sz w:val="22"/>
                <w:szCs w:val="22"/>
              </w:rPr>
              <w:t xml:space="preserve"> proc</w:t>
            </w:r>
            <w:r w:rsidR="007B2210">
              <w:rPr>
                <w:sz w:val="22"/>
                <w:szCs w:val="22"/>
              </w:rPr>
              <w:t xml:space="preserve">. </w:t>
            </w:r>
          </w:p>
          <w:p w:rsidR="007B2210" w:rsidRPr="00181D49" w:rsidRDefault="007B2210" w:rsidP="00677847">
            <w:pPr>
              <w:jc w:val="center"/>
              <w:rPr>
                <w:sz w:val="22"/>
                <w:szCs w:val="22"/>
              </w:rPr>
            </w:pPr>
          </w:p>
        </w:tc>
      </w:tr>
      <w:tr w:rsidR="00C27347" w:rsidRPr="00DA2323" w:rsidTr="00514CEC">
        <w:tc>
          <w:tcPr>
            <w:tcW w:w="0" w:type="auto"/>
          </w:tcPr>
          <w:p w:rsidR="007B2210" w:rsidRPr="00B66CE2" w:rsidRDefault="00C27347" w:rsidP="00D0090B">
            <w:pPr>
              <w:jc w:val="center"/>
              <w:rPr>
                <w:sz w:val="22"/>
                <w:szCs w:val="22"/>
              </w:rPr>
            </w:pPr>
            <w:r>
              <w:rPr>
                <w:sz w:val="22"/>
                <w:szCs w:val="22"/>
              </w:rPr>
              <w:t>1</w:t>
            </w:r>
          </w:p>
        </w:tc>
        <w:tc>
          <w:tcPr>
            <w:tcW w:w="0" w:type="auto"/>
            <w:shd w:val="clear" w:color="auto" w:fill="auto"/>
          </w:tcPr>
          <w:p w:rsidR="007B2210" w:rsidRPr="00B66CE2" w:rsidRDefault="00C27347" w:rsidP="00D0090B">
            <w:pPr>
              <w:jc w:val="center"/>
              <w:rPr>
                <w:sz w:val="22"/>
                <w:szCs w:val="22"/>
              </w:rPr>
            </w:pPr>
            <w:r>
              <w:rPr>
                <w:sz w:val="22"/>
                <w:szCs w:val="22"/>
              </w:rPr>
              <w:t>2</w:t>
            </w:r>
          </w:p>
        </w:tc>
        <w:tc>
          <w:tcPr>
            <w:tcW w:w="0" w:type="auto"/>
            <w:shd w:val="clear" w:color="auto" w:fill="auto"/>
          </w:tcPr>
          <w:p w:rsidR="007B2210" w:rsidRPr="00B66CE2" w:rsidRDefault="00C27347" w:rsidP="00D0090B">
            <w:pPr>
              <w:jc w:val="center"/>
              <w:rPr>
                <w:sz w:val="22"/>
                <w:szCs w:val="22"/>
              </w:rPr>
            </w:pPr>
            <w:r>
              <w:rPr>
                <w:sz w:val="22"/>
                <w:szCs w:val="22"/>
              </w:rPr>
              <w:t>3</w:t>
            </w:r>
          </w:p>
        </w:tc>
        <w:tc>
          <w:tcPr>
            <w:tcW w:w="0" w:type="auto"/>
            <w:shd w:val="clear" w:color="auto" w:fill="auto"/>
          </w:tcPr>
          <w:p w:rsidR="007B2210" w:rsidRPr="00B66CE2" w:rsidRDefault="00C27347" w:rsidP="00554A6A">
            <w:pPr>
              <w:jc w:val="center"/>
              <w:rPr>
                <w:sz w:val="22"/>
                <w:szCs w:val="22"/>
              </w:rPr>
            </w:pPr>
            <w:r>
              <w:rPr>
                <w:sz w:val="22"/>
                <w:szCs w:val="22"/>
              </w:rPr>
              <w:t>4</w:t>
            </w:r>
          </w:p>
        </w:tc>
        <w:tc>
          <w:tcPr>
            <w:tcW w:w="0" w:type="auto"/>
            <w:shd w:val="clear" w:color="auto" w:fill="auto"/>
          </w:tcPr>
          <w:p w:rsidR="007B2210" w:rsidRPr="00B66CE2" w:rsidRDefault="00C27347" w:rsidP="00D0090B">
            <w:pPr>
              <w:jc w:val="center"/>
              <w:rPr>
                <w:sz w:val="22"/>
                <w:szCs w:val="22"/>
              </w:rPr>
            </w:pPr>
            <w:r>
              <w:rPr>
                <w:sz w:val="22"/>
                <w:szCs w:val="22"/>
              </w:rPr>
              <w:t>5</w:t>
            </w:r>
          </w:p>
        </w:tc>
        <w:tc>
          <w:tcPr>
            <w:tcW w:w="0" w:type="auto"/>
            <w:shd w:val="clear" w:color="auto" w:fill="auto"/>
          </w:tcPr>
          <w:p w:rsidR="007B2210" w:rsidRPr="00B66CE2" w:rsidRDefault="00C27347" w:rsidP="00D0090B">
            <w:pPr>
              <w:jc w:val="center"/>
              <w:rPr>
                <w:sz w:val="22"/>
                <w:szCs w:val="22"/>
              </w:rPr>
            </w:pPr>
            <w:r>
              <w:rPr>
                <w:sz w:val="22"/>
                <w:szCs w:val="22"/>
              </w:rPr>
              <w:t>6</w:t>
            </w:r>
          </w:p>
        </w:tc>
      </w:tr>
      <w:tr w:rsidR="00C27347" w:rsidRPr="00D0090B" w:rsidTr="00514CEC">
        <w:tc>
          <w:tcPr>
            <w:tcW w:w="0" w:type="auto"/>
          </w:tcPr>
          <w:p w:rsidR="00C27347" w:rsidRDefault="00C27347" w:rsidP="00C27347">
            <w:pPr>
              <w:jc w:val="center"/>
              <w:rPr>
                <w:color w:val="000000"/>
                <w:sz w:val="21"/>
                <w:szCs w:val="21"/>
                <w:lang w:eastAsia="lt-LT"/>
              </w:rPr>
            </w:pPr>
          </w:p>
          <w:p w:rsidR="007B2210" w:rsidRPr="00181D49" w:rsidRDefault="00C27347" w:rsidP="00C27347">
            <w:pPr>
              <w:jc w:val="center"/>
              <w:rPr>
                <w:color w:val="000000"/>
                <w:sz w:val="21"/>
                <w:szCs w:val="21"/>
                <w:lang w:eastAsia="lt-LT"/>
              </w:rPr>
            </w:pPr>
            <w:r>
              <w:rPr>
                <w:color w:val="000000"/>
                <w:sz w:val="21"/>
                <w:szCs w:val="21"/>
                <w:lang w:eastAsia="lt-LT"/>
              </w:rPr>
              <w:t>1.</w:t>
            </w:r>
          </w:p>
        </w:tc>
        <w:tc>
          <w:tcPr>
            <w:tcW w:w="0" w:type="auto"/>
            <w:shd w:val="clear" w:color="auto" w:fill="auto"/>
          </w:tcPr>
          <w:p w:rsidR="007B2210" w:rsidRDefault="007B2210" w:rsidP="00C27347">
            <w:pPr>
              <w:rPr>
                <w:color w:val="000000"/>
                <w:sz w:val="21"/>
                <w:szCs w:val="21"/>
                <w:lang w:eastAsia="lt-LT"/>
              </w:rPr>
            </w:pPr>
            <w:r w:rsidRPr="00181D49">
              <w:rPr>
                <w:color w:val="000000"/>
                <w:sz w:val="21"/>
                <w:szCs w:val="21"/>
                <w:lang w:eastAsia="lt-LT"/>
              </w:rPr>
              <w:t xml:space="preserve">Geriamojo vandens tiekimo ir nuotekų </w:t>
            </w:r>
          </w:p>
          <w:p w:rsidR="007B2210" w:rsidRDefault="007B2210" w:rsidP="00C27347">
            <w:pPr>
              <w:rPr>
                <w:color w:val="000000"/>
                <w:sz w:val="21"/>
                <w:szCs w:val="21"/>
                <w:lang w:eastAsia="lt-LT"/>
              </w:rPr>
            </w:pPr>
            <w:r w:rsidRPr="00181D49">
              <w:rPr>
                <w:color w:val="000000"/>
                <w:sz w:val="21"/>
                <w:szCs w:val="21"/>
                <w:lang w:eastAsia="lt-LT"/>
              </w:rPr>
              <w:t xml:space="preserve">tvarkymo paslaugų kainos vartotojams, </w:t>
            </w:r>
          </w:p>
          <w:p w:rsidR="007B2210" w:rsidRPr="00D0090B" w:rsidRDefault="007B2210" w:rsidP="00C27347">
            <w:pPr>
              <w:rPr>
                <w:b/>
                <w:sz w:val="24"/>
                <w:szCs w:val="24"/>
              </w:rPr>
            </w:pPr>
            <w:r>
              <w:rPr>
                <w:color w:val="000000"/>
                <w:sz w:val="21"/>
                <w:szCs w:val="21"/>
                <w:lang w:eastAsia="lt-LT"/>
              </w:rPr>
              <w:t>perkantiems paslaugas</w:t>
            </w:r>
            <w:r w:rsidRPr="00181D49">
              <w:rPr>
                <w:color w:val="000000"/>
                <w:sz w:val="21"/>
                <w:szCs w:val="21"/>
                <w:lang w:eastAsia="lt-LT"/>
              </w:rPr>
              <w:t xml:space="preserve"> </w:t>
            </w:r>
            <w:r w:rsidRPr="00025839">
              <w:rPr>
                <w:b/>
                <w:color w:val="000000"/>
                <w:sz w:val="21"/>
                <w:szCs w:val="21"/>
                <w:lang w:eastAsia="lt-LT"/>
              </w:rPr>
              <w:t>bute</w:t>
            </w:r>
            <w:r w:rsidRPr="00181D49">
              <w:rPr>
                <w:color w:val="000000"/>
                <w:sz w:val="21"/>
                <w:szCs w:val="21"/>
                <w:lang w:eastAsia="lt-LT"/>
              </w:rPr>
              <w:t>, Eur/</w:t>
            </w:r>
            <w:r w:rsidR="00C27347">
              <w:rPr>
                <w:color w:val="000000"/>
                <w:sz w:val="21"/>
                <w:szCs w:val="21"/>
                <w:lang w:eastAsia="lt-LT"/>
              </w:rPr>
              <w:t>m³</w:t>
            </w:r>
            <w:r w:rsidRPr="00181D49">
              <w:rPr>
                <w:color w:val="000000"/>
                <w:sz w:val="21"/>
                <w:szCs w:val="21"/>
                <w:lang w:eastAsia="lt-LT"/>
              </w:rPr>
              <w:t>:</w:t>
            </w:r>
          </w:p>
        </w:tc>
        <w:tc>
          <w:tcPr>
            <w:tcW w:w="0" w:type="auto"/>
            <w:shd w:val="clear" w:color="auto" w:fill="auto"/>
          </w:tcPr>
          <w:p w:rsidR="007B2210" w:rsidRPr="005470C1" w:rsidRDefault="007B2210" w:rsidP="00D0090B">
            <w:pPr>
              <w:jc w:val="center"/>
              <w:rPr>
                <w:b/>
                <w:sz w:val="22"/>
                <w:szCs w:val="22"/>
              </w:rPr>
            </w:pPr>
          </w:p>
          <w:p w:rsidR="007B2210" w:rsidRPr="005470C1" w:rsidRDefault="007B2210" w:rsidP="00970089">
            <w:pPr>
              <w:jc w:val="center"/>
              <w:rPr>
                <w:b/>
                <w:sz w:val="22"/>
                <w:szCs w:val="22"/>
              </w:rPr>
            </w:pPr>
            <w:r>
              <w:rPr>
                <w:b/>
                <w:sz w:val="22"/>
                <w:szCs w:val="22"/>
              </w:rPr>
              <w:t>1,29</w:t>
            </w:r>
          </w:p>
        </w:tc>
        <w:tc>
          <w:tcPr>
            <w:tcW w:w="0" w:type="auto"/>
            <w:shd w:val="clear" w:color="auto" w:fill="auto"/>
          </w:tcPr>
          <w:p w:rsidR="007B2210" w:rsidRDefault="007B2210" w:rsidP="00D0090B">
            <w:pPr>
              <w:jc w:val="center"/>
              <w:rPr>
                <w:b/>
                <w:sz w:val="22"/>
                <w:szCs w:val="22"/>
              </w:rPr>
            </w:pPr>
          </w:p>
          <w:p w:rsidR="007B2210" w:rsidRPr="005470C1" w:rsidRDefault="007B2210" w:rsidP="00970089">
            <w:pPr>
              <w:jc w:val="center"/>
              <w:rPr>
                <w:b/>
                <w:sz w:val="22"/>
                <w:szCs w:val="22"/>
              </w:rPr>
            </w:pPr>
            <w:r>
              <w:rPr>
                <w:b/>
                <w:sz w:val="22"/>
                <w:szCs w:val="22"/>
              </w:rPr>
              <w:t>1,31</w:t>
            </w:r>
          </w:p>
        </w:tc>
        <w:tc>
          <w:tcPr>
            <w:tcW w:w="0" w:type="auto"/>
            <w:shd w:val="clear" w:color="auto" w:fill="auto"/>
          </w:tcPr>
          <w:p w:rsidR="007B2210" w:rsidRDefault="007B2210" w:rsidP="00554A6A">
            <w:pPr>
              <w:jc w:val="center"/>
              <w:rPr>
                <w:b/>
                <w:sz w:val="22"/>
                <w:szCs w:val="22"/>
              </w:rPr>
            </w:pPr>
          </w:p>
          <w:p w:rsidR="007B2210" w:rsidRPr="005470C1" w:rsidRDefault="007E4A7B" w:rsidP="00970089">
            <w:pPr>
              <w:jc w:val="center"/>
              <w:rPr>
                <w:b/>
                <w:sz w:val="22"/>
                <w:szCs w:val="22"/>
              </w:rPr>
            </w:pPr>
            <w:r>
              <w:rPr>
                <w:b/>
                <w:sz w:val="22"/>
                <w:szCs w:val="22"/>
              </w:rPr>
              <w:t>1,54</w:t>
            </w:r>
          </w:p>
        </w:tc>
        <w:tc>
          <w:tcPr>
            <w:tcW w:w="0" w:type="auto"/>
            <w:shd w:val="clear" w:color="auto" w:fill="auto"/>
          </w:tcPr>
          <w:p w:rsidR="007B2210" w:rsidRPr="005470C1" w:rsidRDefault="007B2210" w:rsidP="00D0090B">
            <w:pPr>
              <w:jc w:val="center"/>
              <w:rPr>
                <w:b/>
                <w:sz w:val="22"/>
                <w:szCs w:val="22"/>
              </w:rPr>
            </w:pPr>
          </w:p>
          <w:p w:rsidR="007B2210" w:rsidRPr="007E4A7B" w:rsidRDefault="007E4A7B" w:rsidP="00970089">
            <w:pPr>
              <w:jc w:val="center"/>
              <w:rPr>
                <w:sz w:val="22"/>
                <w:szCs w:val="22"/>
              </w:rPr>
            </w:pPr>
            <w:r>
              <w:rPr>
                <w:sz w:val="22"/>
                <w:szCs w:val="22"/>
              </w:rPr>
              <w:t>19,4/17,6</w:t>
            </w:r>
          </w:p>
        </w:tc>
      </w:tr>
      <w:tr w:rsidR="00C27347" w:rsidRPr="00DA2323" w:rsidTr="00514CEC">
        <w:tc>
          <w:tcPr>
            <w:tcW w:w="0" w:type="auto"/>
          </w:tcPr>
          <w:p w:rsidR="007B2210" w:rsidRPr="00181D49" w:rsidRDefault="00C27347" w:rsidP="00AF302C">
            <w:pPr>
              <w:jc w:val="right"/>
              <w:rPr>
                <w:color w:val="000000"/>
                <w:sz w:val="21"/>
                <w:szCs w:val="21"/>
                <w:lang w:eastAsia="lt-LT"/>
              </w:rPr>
            </w:pPr>
            <w:r>
              <w:rPr>
                <w:color w:val="000000"/>
                <w:sz w:val="21"/>
                <w:szCs w:val="21"/>
                <w:lang w:eastAsia="lt-LT"/>
              </w:rPr>
              <w:t>1.1.</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Geriamojo vandens tiekimo</w:t>
            </w:r>
          </w:p>
        </w:tc>
        <w:tc>
          <w:tcPr>
            <w:tcW w:w="0" w:type="auto"/>
            <w:shd w:val="clear" w:color="auto" w:fill="auto"/>
          </w:tcPr>
          <w:p w:rsidR="007B2210" w:rsidRPr="005470C1" w:rsidRDefault="007B2210" w:rsidP="00554A6A">
            <w:pPr>
              <w:jc w:val="center"/>
              <w:rPr>
                <w:sz w:val="22"/>
                <w:szCs w:val="22"/>
              </w:rPr>
            </w:pPr>
            <w:r>
              <w:rPr>
                <w:sz w:val="22"/>
                <w:szCs w:val="22"/>
              </w:rPr>
              <w:t>0,58</w:t>
            </w:r>
          </w:p>
        </w:tc>
        <w:tc>
          <w:tcPr>
            <w:tcW w:w="0" w:type="auto"/>
            <w:shd w:val="clear" w:color="auto" w:fill="auto"/>
          </w:tcPr>
          <w:p w:rsidR="007B2210" w:rsidRPr="005470C1" w:rsidRDefault="007B2210" w:rsidP="00554A6A">
            <w:pPr>
              <w:jc w:val="center"/>
              <w:rPr>
                <w:sz w:val="22"/>
                <w:szCs w:val="22"/>
              </w:rPr>
            </w:pPr>
            <w:r>
              <w:rPr>
                <w:sz w:val="22"/>
                <w:szCs w:val="22"/>
              </w:rPr>
              <w:t>0,56</w:t>
            </w:r>
          </w:p>
        </w:tc>
        <w:tc>
          <w:tcPr>
            <w:tcW w:w="0" w:type="auto"/>
            <w:shd w:val="clear" w:color="auto" w:fill="auto"/>
          </w:tcPr>
          <w:p w:rsidR="007B2210" w:rsidRPr="005470C1" w:rsidRDefault="007E4A7B" w:rsidP="00554A6A">
            <w:pPr>
              <w:jc w:val="center"/>
              <w:rPr>
                <w:sz w:val="22"/>
                <w:szCs w:val="22"/>
              </w:rPr>
            </w:pPr>
            <w:r>
              <w:rPr>
                <w:sz w:val="22"/>
                <w:szCs w:val="22"/>
              </w:rPr>
              <w:t>0,62</w:t>
            </w:r>
          </w:p>
        </w:tc>
        <w:tc>
          <w:tcPr>
            <w:tcW w:w="0" w:type="auto"/>
            <w:shd w:val="clear" w:color="auto" w:fill="auto"/>
          </w:tcPr>
          <w:p w:rsidR="007B2210" w:rsidRPr="005470C1" w:rsidRDefault="007E4A7B" w:rsidP="00554A6A">
            <w:pPr>
              <w:jc w:val="center"/>
              <w:rPr>
                <w:sz w:val="22"/>
                <w:szCs w:val="22"/>
              </w:rPr>
            </w:pPr>
            <w:r>
              <w:rPr>
                <w:sz w:val="22"/>
                <w:szCs w:val="22"/>
              </w:rPr>
              <w:t>6,9/10,7</w:t>
            </w:r>
          </w:p>
        </w:tc>
      </w:tr>
      <w:tr w:rsidR="00C27347" w:rsidRPr="00DA2323" w:rsidTr="00514CEC">
        <w:tc>
          <w:tcPr>
            <w:tcW w:w="0" w:type="auto"/>
          </w:tcPr>
          <w:p w:rsidR="007B2210" w:rsidRPr="00181D49" w:rsidRDefault="00C27347" w:rsidP="00AF302C">
            <w:pPr>
              <w:jc w:val="right"/>
              <w:rPr>
                <w:color w:val="000000"/>
                <w:sz w:val="21"/>
                <w:szCs w:val="21"/>
                <w:lang w:eastAsia="lt-LT"/>
              </w:rPr>
            </w:pPr>
            <w:r>
              <w:rPr>
                <w:color w:val="000000"/>
                <w:sz w:val="21"/>
                <w:szCs w:val="21"/>
                <w:lang w:eastAsia="lt-LT"/>
              </w:rPr>
              <w:t>1.2.</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Nuotekų tvarkymo:</w:t>
            </w:r>
          </w:p>
        </w:tc>
        <w:tc>
          <w:tcPr>
            <w:tcW w:w="0" w:type="auto"/>
            <w:shd w:val="clear" w:color="auto" w:fill="auto"/>
          </w:tcPr>
          <w:p w:rsidR="007B2210" w:rsidRPr="005470C1" w:rsidRDefault="007B2210" w:rsidP="00554A6A">
            <w:pPr>
              <w:jc w:val="center"/>
              <w:rPr>
                <w:sz w:val="22"/>
                <w:szCs w:val="22"/>
              </w:rPr>
            </w:pPr>
            <w:r>
              <w:rPr>
                <w:sz w:val="22"/>
                <w:szCs w:val="22"/>
              </w:rPr>
              <w:t>0,71</w:t>
            </w:r>
          </w:p>
        </w:tc>
        <w:tc>
          <w:tcPr>
            <w:tcW w:w="0" w:type="auto"/>
            <w:shd w:val="clear" w:color="auto" w:fill="auto"/>
          </w:tcPr>
          <w:p w:rsidR="007B2210" w:rsidRPr="005470C1" w:rsidRDefault="007B2210" w:rsidP="00554A6A">
            <w:pPr>
              <w:jc w:val="center"/>
              <w:rPr>
                <w:sz w:val="22"/>
                <w:szCs w:val="22"/>
              </w:rPr>
            </w:pPr>
            <w:r>
              <w:rPr>
                <w:sz w:val="22"/>
                <w:szCs w:val="22"/>
              </w:rPr>
              <w:t>0,75</w:t>
            </w:r>
          </w:p>
        </w:tc>
        <w:tc>
          <w:tcPr>
            <w:tcW w:w="0" w:type="auto"/>
            <w:shd w:val="clear" w:color="auto" w:fill="auto"/>
          </w:tcPr>
          <w:p w:rsidR="007B2210" w:rsidRPr="005470C1" w:rsidRDefault="007E4A7B" w:rsidP="00554A6A">
            <w:pPr>
              <w:jc w:val="center"/>
              <w:rPr>
                <w:sz w:val="22"/>
                <w:szCs w:val="22"/>
              </w:rPr>
            </w:pPr>
            <w:r>
              <w:rPr>
                <w:sz w:val="22"/>
                <w:szCs w:val="22"/>
              </w:rPr>
              <w:t>0,92</w:t>
            </w:r>
          </w:p>
        </w:tc>
        <w:tc>
          <w:tcPr>
            <w:tcW w:w="0" w:type="auto"/>
            <w:shd w:val="clear" w:color="auto" w:fill="auto"/>
          </w:tcPr>
          <w:p w:rsidR="007B2210" w:rsidRPr="005470C1" w:rsidRDefault="007E4A7B" w:rsidP="00554A6A">
            <w:pPr>
              <w:jc w:val="center"/>
              <w:rPr>
                <w:sz w:val="22"/>
                <w:szCs w:val="22"/>
              </w:rPr>
            </w:pPr>
            <w:r>
              <w:rPr>
                <w:sz w:val="22"/>
                <w:szCs w:val="22"/>
              </w:rPr>
              <w:t>29,6/22,7</w:t>
            </w:r>
          </w:p>
        </w:tc>
      </w:tr>
      <w:tr w:rsidR="00C27347" w:rsidRPr="00DA2323" w:rsidTr="00514CEC">
        <w:tc>
          <w:tcPr>
            <w:tcW w:w="0" w:type="auto"/>
          </w:tcPr>
          <w:p w:rsidR="007B2210" w:rsidRPr="00181D49" w:rsidRDefault="00C27347" w:rsidP="00AF302C">
            <w:pPr>
              <w:autoSpaceDE w:val="0"/>
              <w:autoSpaceDN w:val="0"/>
              <w:adjustRightInd w:val="0"/>
              <w:jc w:val="right"/>
              <w:rPr>
                <w:color w:val="000000"/>
                <w:sz w:val="21"/>
                <w:szCs w:val="21"/>
                <w:lang w:eastAsia="lt-LT"/>
              </w:rPr>
            </w:pPr>
            <w:r>
              <w:rPr>
                <w:color w:val="000000"/>
                <w:sz w:val="21"/>
                <w:szCs w:val="21"/>
                <w:lang w:eastAsia="lt-LT"/>
              </w:rPr>
              <w:t>1.2.1.</w:t>
            </w:r>
          </w:p>
        </w:tc>
        <w:tc>
          <w:tcPr>
            <w:tcW w:w="0" w:type="auto"/>
            <w:shd w:val="clear" w:color="auto" w:fill="auto"/>
          </w:tcPr>
          <w:p w:rsidR="007B2210" w:rsidRPr="00181D49" w:rsidRDefault="007B2210" w:rsidP="00C27347">
            <w:pPr>
              <w:autoSpaceDE w:val="0"/>
              <w:autoSpaceDN w:val="0"/>
              <w:adjustRightInd w:val="0"/>
              <w:rPr>
                <w:color w:val="000000"/>
                <w:sz w:val="21"/>
                <w:szCs w:val="21"/>
                <w:lang w:eastAsia="lt-LT"/>
              </w:rPr>
            </w:pPr>
            <w:r w:rsidRPr="00181D49">
              <w:rPr>
                <w:color w:val="000000"/>
                <w:sz w:val="21"/>
                <w:szCs w:val="21"/>
                <w:lang w:eastAsia="lt-LT"/>
              </w:rPr>
              <w:t xml:space="preserve">nuotekų surinkimo </w:t>
            </w:r>
          </w:p>
        </w:tc>
        <w:tc>
          <w:tcPr>
            <w:tcW w:w="0" w:type="auto"/>
            <w:shd w:val="clear" w:color="auto" w:fill="auto"/>
          </w:tcPr>
          <w:p w:rsidR="007B2210" w:rsidRPr="005470C1" w:rsidRDefault="007B2210" w:rsidP="00554A6A">
            <w:pPr>
              <w:jc w:val="center"/>
              <w:rPr>
                <w:sz w:val="22"/>
                <w:szCs w:val="22"/>
              </w:rPr>
            </w:pPr>
            <w:r>
              <w:rPr>
                <w:sz w:val="22"/>
                <w:szCs w:val="22"/>
              </w:rPr>
              <w:t>0,32</w:t>
            </w:r>
          </w:p>
        </w:tc>
        <w:tc>
          <w:tcPr>
            <w:tcW w:w="0" w:type="auto"/>
            <w:shd w:val="clear" w:color="auto" w:fill="auto"/>
          </w:tcPr>
          <w:p w:rsidR="007B2210" w:rsidRPr="005470C1" w:rsidRDefault="007B2210" w:rsidP="00554A6A">
            <w:pPr>
              <w:jc w:val="center"/>
              <w:rPr>
                <w:sz w:val="22"/>
                <w:szCs w:val="22"/>
              </w:rPr>
            </w:pPr>
            <w:r>
              <w:rPr>
                <w:sz w:val="22"/>
                <w:szCs w:val="22"/>
              </w:rPr>
              <w:t>0,33</w:t>
            </w:r>
          </w:p>
        </w:tc>
        <w:tc>
          <w:tcPr>
            <w:tcW w:w="0" w:type="auto"/>
            <w:shd w:val="clear" w:color="auto" w:fill="auto"/>
          </w:tcPr>
          <w:p w:rsidR="007B2210" w:rsidRPr="005470C1" w:rsidRDefault="007E4A7B" w:rsidP="00554A6A">
            <w:pPr>
              <w:jc w:val="center"/>
              <w:rPr>
                <w:sz w:val="22"/>
                <w:szCs w:val="22"/>
              </w:rPr>
            </w:pPr>
            <w:r>
              <w:rPr>
                <w:sz w:val="22"/>
                <w:szCs w:val="22"/>
              </w:rPr>
              <w:t>0,37</w:t>
            </w:r>
          </w:p>
        </w:tc>
        <w:tc>
          <w:tcPr>
            <w:tcW w:w="0" w:type="auto"/>
            <w:shd w:val="clear" w:color="auto" w:fill="auto"/>
          </w:tcPr>
          <w:p w:rsidR="007B2210" w:rsidRDefault="007E4A7B" w:rsidP="00554A6A">
            <w:pPr>
              <w:jc w:val="center"/>
              <w:rPr>
                <w:sz w:val="22"/>
                <w:szCs w:val="22"/>
              </w:rPr>
            </w:pPr>
            <w:r>
              <w:rPr>
                <w:sz w:val="22"/>
                <w:szCs w:val="22"/>
              </w:rPr>
              <w:t>15,6/12,1</w:t>
            </w:r>
          </w:p>
          <w:p w:rsidR="007E4A7B" w:rsidRPr="005470C1" w:rsidRDefault="007E4A7B" w:rsidP="007E4A7B">
            <w:pPr>
              <w:rPr>
                <w:sz w:val="22"/>
                <w:szCs w:val="22"/>
              </w:rPr>
            </w:pPr>
          </w:p>
        </w:tc>
      </w:tr>
      <w:tr w:rsidR="00C27347" w:rsidRPr="00DA2323" w:rsidTr="00514CEC">
        <w:tc>
          <w:tcPr>
            <w:tcW w:w="0" w:type="auto"/>
          </w:tcPr>
          <w:p w:rsidR="007B2210" w:rsidRPr="00181D49" w:rsidRDefault="00C27347" w:rsidP="00AF302C">
            <w:pPr>
              <w:jc w:val="right"/>
              <w:rPr>
                <w:color w:val="000000"/>
                <w:sz w:val="21"/>
                <w:szCs w:val="21"/>
                <w:lang w:eastAsia="lt-LT"/>
              </w:rPr>
            </w:pPr>
            <w:r>
              <w:rPr>
                <w:color w:val="000000"/>
                <w:sz w:val="21"/>
                <w:szCs w:val="21"/>
                <w:lang w:eastAsia="lt-LT"/>
              </w:rPr>
              <w:t>1.2.2.</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nuotekų valymo</w:t>
            </w:r>
          </w:p>
        </w:tc>
        <w:tc>
          <w:tcPr>
            <w:tcW w:w="0" w:type="auto"/>
            <w:shd w:val="clear" w:color="auto" w:fill="auto"/>
          </w:tcPr>
          <w:p w:rsidR="007B2210" w:rsidRPr="005470C1" w:rsidRDefault="007B2210" w:rsidP="00554A6A">
            <w:pPr>
              <w:jc w:val="center"/>
              <w:rPr>
                <w:sz w:val="22"/>
                <w:szCs w:val="22"/>
              </w:rPr>
            </w:pPr>
            <w:r>
              <w:rPr>
                <w:sz w:val="22"/>
                <w:szCs w:val="22"/>
              </w:rPr>
              <w:t>0,23</w:t>
            </w:r>
          </w:p>
        </w:tc>
        <w:tc>
          <w:tcPr>
            <w:tcW w:w="0" w:type="auto"/>
            <w:shd w:val="clear" w:color="auto" w:fill="auto"/>
          </w:tcPr>
          <w:p w:rsidR="007B2210" w:rsidRPr="005470C1" w:rsidRDefault="007B2210" w:rsidP="00554A6A">
            <w:pPr>
              <w:jc w:val="center"/>
              <w:rPr>
                <w:sz w:val="22"/>
                <w:szCs w:val="22"/>
              </w:rPr>
            </w:pPr>
            <w:r>
              <w:rPr>
                <w:sz w:val="22"/>
                <w:szCs w:val="22"/>
              </w:rPr>
              <w:t>0,22</w:t>
            </w:r>
          </w:p>
        </w:tc>
        <w:tc>
          <w:tcPr>
            <w:tcW w:w="0" w:type="auto"/>
            <w:shd w:val="clear" w:color="auto" w:fill="auto"/>
          </w:tcPr>
          <w:p w:rsidR="007B2210" w:rsidRPr="005470C1" w:rsidRDefault="007E4A7B" w:rsidP="00554A6A">
            <w:pPr>
              <w:jc w:val="center"/>
              <w:rPr>
                <w:sz w:val="22"/>
                <w:szCs w:val="22"/>
              </w:rPr>
            </w:pPr>
            <w:r>
              <w:rPr>
                <w:sz w:val="22"/>
                <w:szCs w:val="22"/>
              </w:rPr>
              <w:t>0,28</w:t>
            </w:r>
          </w:p>
        </w:tc>
        <w:tc>
          <w:tcPr>
            <w:tcW w:w="0" w:type="auto"/>
            <w:shd w:val="clear" w:color="auto" w:fill="auto"/>
          </w:tcPr>
          <w:p w:rsidR="007B2210" w:rsidRPr="005470C1" w:rsidRDefault="007E4A7B" w:rsidP="00554A6A">
            <w:pPr>
              <w:jc w:val="center"/>
              <w:rPr>
                <w:sz w:val="22"/>
                <w:szCs w:val="22"/>
              </w:rPr>
            </w:pPr>
            <w:r>
              <w:rPr>
                <w:sz w:val="22"/>
                <w:szCs w:val="22"/>
              </w:rPr>
              <w:t>21,7/27,3</w:t>
            </w:r>
          </w:p>
        </w:tc>
      </w:tr>
      <w:tr w:rsidR="00C27347" w:rsidRPr="00DA2323" w:rsidTr="00514CEC">
        <w:tc>
          <w:tcPr>
            <w:tcW w:w="0" w:type="auto"/>
          </w:tcPr>
          <w:p w:rsidR="007B2210" w:rsidRDefault="00C27347" w:rsidP="00AF302C">
            <w:pPr>
              <w:jc w:val="right"/>
              <w:rPr>
                <w:color w:val="000000"/>
                <w:sz w:val="21"/>
                <w:szCs w:val="21"/>
                <w:lang w:eastAsia="lt-LT"/>
              </w:rPr>
            </w:pPr>
            <w:r>
              <w:rPr>
                <w:color w:val="000000"/>
                <w:sz w:val="21"/>
                <w:szCs w:val="21"/>
                <w:lang w:eastAsia="lt-LT"/>
              </w:rPr>
              <w:t>1.2.3.</w:t>
            </w:r>
          </w:p>
        </w:tc>
        <w:tc>
          <w:tcPr>
            <w:tcW w:w="0" w:type="auto"/>
            <w:shd w:val="clear" w:color="auto" w:fill="auto"/>
          </w:tcPr>
          <w:p w:rsidR="007B2210" w:rsidRPr="00D0090B" w:rsidRDefault="007B2210" w:rsidP="00C27347">
            <w:pPr>
              <w:rPr>
                <w:sz w:val="24"/>
                <w:szCs w:val="24"/>
              </w:rPr>
            </w:pPr>
            <w:r>
              <w:rPr>
                <w:color w:val="000000"/>
                <w:sz w:val="21"/>
                <w:szCs w:val="21"/>
                <w:lang w:eastAsia="lt-LT"/>
              </w:rPr>
              <w:t xml:space="preserve">nuotekų </w:t>
            </w:r>
            <w:r w:rsidRPr="00181D49">
              <w:rPr>
                <w:color w:val="000000"/>
                <w:sz w:val="21"/>
                <w:szCs w:val="21"/>
                <w:lang w:eastAsia="lt-LT"/>
              </w:rPr>
              <w:t>dumblo tvarkymo</w:t>
            </w:r>
          </w:p>
        </w:tc>
        <w:tc>
          <w:tcPr>
            <w:tcW w:w="0" w:type="auto"/>
            <w:shd w:val="clear" w:color="auto" w:fill="auto"/>
          </w:tcPr>
          <w:p w:rsidR="007B2210" w:rsidRPr="005470C1" w:rsidRDefault="007B2210" w:rsidP="00554A6A">
            <w:pPr>
              <w:jc w:val="center"/>
              <w:rPr>
                <w:sz w:val="22"/>
                <w:szCs w:val="22"/>
              </w:rPr>
            </w:pPr>
            <w:r>
              <w:rPr>
                <w:sz w:val="22"/>
                <w:szCs w:val="22"/>
              </w:rPr>
              <w:t>0,16</w:t>
            </w:r>
          </w:p>
        </w:tc>
        <w:tc>
          <w:tcPr>
            <w:tcW w:w="0" w:type="auto"/>
            <w:shd w:val="clear" w:color="auto" w:fill="auto"/>
          </w:tcPr>
          <w:p w:rsidR="007B2210" w:rsidRPr="005470C1" w:rsidRDefault="007B2210" w:rsidP="00554A6A">
            <w:pPr>
              <w:jc w:val="center"/>
              <w:rPr>
                <w:sz w:val="22"/>
                <w:szCs w:val="22"/>
              </w:rPr>
            </w:pPr>
            <w:r>
              <w:rPr>
                <w:sz w:val="22"/>
                <w:szCs w:val="22"/>
              </w:rPr>
              <w:t>0,20</w:t>
            </w:r>
          </w:p>
        </w:tc>
        <w:tc>
          <w:tcPr>
            <w:tcW w:w="0" w:type="auto"/>
            <w:shd w:val="clear" w:color="auto" w:fill="auto"/>
          </w:tcPr>
          <w:p w:rsidR="007B2210" w:rsidRPr="005470C1" w:rsidRDefault="007E4A7B" w:rsidP="00554A6A">
            <w:pPr>
              <w:jc w:val="center"/>
              <w:rPr>
                <w:sz w:val="22"/>
                <w:szCs w:val="22"/>
              </w:rPr>
            </w:pPr>
            <w:r>
              <w:rPr>
                <w:sz w:val="22"/>
                <w:szCs w:val="22"/>
              </w:rPr>
              <w:t>0,27</w:t>
            </w:r>
          </w:p>
        </w:tc>
        <w:tc>
          <w:tcPr>
            <w:tcW w:w="0" w:type="auto"/>
            <w:shd w:val="clear" w:color="auto" w:fill="auto"/>
          </w:tcPr>
          <w:p w:rsidR="007B2210" w:rsidRPr="005470C1" w:rsidRDefault="007E4A7B" w:rsidP="00554A6A">
            <w:pPr>
              <w:jc w:val="center"/>
              <w:rPr>
                <w:sz w:val="22"/>
                <w:szCs w:val="22"/>
              </w:rPr>
            </w:pPr>
            <w:r>
              <w:rPr>
                <w:sz w:val="22"/>
                <w:szCs w:val="22"/>
              </w:rPr>
              <w:t>68,7/35,0</w:t>
            </w:r>
          </w:p>
        </w:tc>
      </w:tr>
      <w:tr w:rsidR="00C27347" w:rsidRPr="00DA2323" w:rsidTr="00514CEC">
        <w:tc>
          <w:tcPr>
            <w:tcW w:w="0" w:type="auto"/>
          </w:tcPr>
          <w:p w:rsidR="00C27347" w:rsidRDefault="00C27347" w:rsidP="00C27347">
            <w:pPr>
              <w:jc w:val="center"/>
              <w:rPr>
                <w:color w:val="000000"/>
                <w:sz w:val="21"/>
                <w:szCs w:val="21"/>
                <w:lang w:eastAsia="lt-LT"/>
              </w:rPr>
            </w:pPr>
          </w:p>
          <w:p w:rsidR="00C27347" w:rsidRDefault="00C27347" w:rsidP="00C27347">
            <w:pPr>
              <w:jc w:val="center"/>
              <w:rPr>
                <w:color w:val="000000"/>
                <w:sz w:val="21"/>
                <w:szCs w:val="21"/>
                <w:lang w:eastAsia="lt-LT"/>
              </w:rPr>
            </w:pPr>
          </w:p>
          <w:p w:rsidR="007B2210" w:rsidRPr="00181D49" w:rsidRDefault="00C27347" w:rsidP="00C27347">
            <w:pPr>
              <w:jc w:val="center"/>
              <w:rPr>
                <w:color w:val="000000"/>
                <w:sz w:val="21"/>
                <w:szCs w:val="21"/>
                <w:lang w:eastAsia="lt-LT"/>
              </w:rPr>
            </w:pPr>
            <w:r>
              <w:rPr>
                <w:color w:val="000000"/>
                <w:sz w:val="21"/>
                <w:szCs w:val="21"/>
                <w:lang w:eastAsia="lt-LT"/>
              </w:rPr>
              <w:t>2.</w:t>
            </w:r>
          </w:p>
        </w:tc>
        <w:tc>
          <w:tcPr>
            <w:tcW w:w="0" w:type="auto"/>
            <w:shd w:val="clear" w:color="auto" w:fill="auto"/>
          </w:tcPr>
          <w:p w:rsidR="007B2210" w:rsidRDefault="007B2210" w:rsidP="00C27347">
            <w:pPr>
              <w:rPr>
                <w:color w:val="000000"/>
                <w:sz w:val="21"/>
                <w:szCs w:val="21"/>
                <w:lang w:eastAsia="lt-LT"/>
              </w:rPr>
            </w:pPr>
            <w:r w:rsidRPr="00181D49">
              <w:rPr>
                <w:color w:val="000000"/>
                <w:sz w:val="21"/>
                <w:szCs w:val="21"/>
                <w:lang w:eastAsia="lt-LT"/>
              </w:rPr>
              <w:t xml:space="preserve">Geriamojo vandens tiekimo ir nuotekų tvarkymo paslaugų kainos vartotojams, </w:t>
            </w:r>
            <w:r>
              <w:rPr>
                <w:color w:val="000000"/>
                <w:sz w:val="21"/>
                <w:szCs w:val="21"/>
                <w:lang w:eastAsia="lt-LT"/>
              </w:rPr>
              <w:t>perkantiems individualių gyvenamųjų namų ar kitų patalpų, skirtų asmeninėms</w:t>
            </w:r>
            <w:r w:rsidRPr="00181D49">
              <w:rPr>
                <w:color w:val="000000"/>
                <w:sz w:val="21"/>
                <w:szCs w:val="21"/>
                <w:lang w:eastAsia="lt-LT"/>
              </w:rPr>
              <w:t>,</w:t>
            </w:r>
          </w:p>
          <w:p w:rsidR="007B2210" w:rsidRPr="00D0090B" w:rsidRDefault="007B2210" w:rsidP="00C27347">
            <w:pPr>
              <w:rPr>
                <w:b/>
                <w:sz w:val="24"/>
                <w:szCs w:val="24"/>
              </w:rPr>
            </w:pPr>
            <w:r>
              <w:rPr>
                <w:color w:val="000000"/>
                <w:sz w:val="21"/>
                <w:szCs w:val="21"/>
                <w:lang w:eastAsia="lt-LT"/>
              </w:rPr>
              <w:t xml:space="preserve">šeimos ar namų reikmėms, </w:t>
            </w:r>
            <w:r w:rsidRPr="00025839">
              <w:rPr>
                <w:b/>
                <w:color w:val="000000"/>
                <w:sz w:val="21"/>
                <w:szCs w:val="21"/>
                <w:lang w:eastAsia="lt-LT"/>
              </w:rPr>
              <w:t>įvaduose</w:t>
            </w:r>
            <w:r>
              <w:rPr>
                <w:color w:val="000000"/>
                <w:sz w:val="21"/>
                <w:szCs w:val="21"/>
                <w:lang w:eastAsia="lt-LT"/>
              </w:rPr>
              <w:t xml:space="preserve">, </w:t>
            </w:r>
            <w:r w:rsidRPr="00181D49">
              <w:rPr>
                <w:color w:val="000000"/>
                <w:sz w:val="21"/>
                <w:szCs w:val="21"/>
                <w:lang w:eastAsia="lt-LT"/>
              </w:rPr>
              <w:t>Eur/</w:t>
            </w:r>
            <w:r w:rsidR="00C27347">
              <w:rPr>
                <w:color w:val="000000"/>
                <w:sz w:val="21"/>
                <w:szCs w:val="21"/>
                <w:lang w:eastAsia="lt-LT"/>
              </w:rPr>
              <w:t xml:space="preserve"> m³</w:t>
            </w:r>
            <w:r w:rsidRPr="00181D49">
              <w:rPr>
                <w:color w:val="000000"/>
                <w:sz w:val="21"/>
                <w:szCs w:val="21"/>
                <w:lang w:eastAsia="lt-LT"/>
              </w:rPr>
              <w:t>:</w:t>
            </w:r>
          </w:p>
        </w:tc>
        <w:tc>
          <w:tcPr>
            <w:tcW w:w="0" w:type="auto"/>
            <w:shd w:val="clear" w:color="auto" w:fill="auto"/>
          </w:tcPr>
          <w:p w:rsidR="007B2210" w:rsidRPr="005470C1" w:rsidRDefault="007B2210" w:rsidP="00D5340C">
            <w:pPr>
              <w:jc w:val="center"/>
              <w:rPr>
                <w:b/>
                <w:sz w:val="22"/>
                <w:szCs w:val="22"/>
              </w:rPr>
            </w:pPr>
          </w:p>
          <w:p w:rsidR="007E4A7B" w:rsidRDefault="007E4A7B" w:rsidP="00970089">
            <w:pPr>
              <w:jc w:val="center"/>
              <w:rPr>
                <w:b/>
                <w:sz w:val="22"/>
                <w:szCs w:val="22"/>
              </w:rPr>
            </w:pPr>
          </w:p>
          <w:p w:rsidR="007B2210" w:rsidRPr="005470C1" w:rsidRDefault="007B2210" w:rsidP="00970089">
            <w:pPr>
              <w:jc w:val="center"/>
              <w:rPr>
                <w:b/>
                <w:sz w:val="22"/>
                <w:szCs w:val="22"/>
              </w:rPr>
            </w:pPr>
            <w:r>
              <w:rPr>
                <w:b/>
                <w:sz w:val="22"/>
                <w:szCs w:val="22"/>
              </w:rPr>
              <w:t>1,26</w:t>
            </w:r>
          </w:p>
        </w:tc>
        <w:tc>
          <w:tcPr>
            <w:tcW w:w="0" w:type="auto"/>
            <w:shd w:val="clear" w:color="auto" w:fill="auto"/>
          </w:tcPr>
          <w:p w:rsidR="007B2210" w:rsidRDefault="007B2210" w:rsidP="00D5340C">
            <w:pPr>
              <w:jc w:val="center"/>
              <w:rPr>
                <w:b/>
                <w:sz w:val="22"/>
                <w:szCs w:val="22"/>
              </w:rPr>
            </w:pPr>
          </w:p>
          <w:p w:rsidR="007E4A7B" w:rsidRDefault="007E4A7B" w:rsidP="00970089">
            <w:pPr>
              <w:jc w:val="center"/>
              <w:rPr>
                <w:b/>
                <w:sz w:val="22"/>
                <w:szCs w:val="22"/>
              </w:rPr>
            </w:pPr>
          </w:p>
          <w:p w:rsidR="007B2210" w:rsidRPr="005470C1" w:rsidRDefault="007B2210" w:rsidP="00970089">
            <w:pPr>
              <w:jc w:val="center"/>
              <w:rPr>
                <w:b/>
                <w:sz w:val="22"/>
                <w:szCs w:val="22"/>
              </w:rPr>
            </w:pPr>
            <w:r>
              <w:rPr>
                <w:b/>
                <w:sz w:val="22"/>
                <w:szCs w:val="22"/>
              </w:rPr>
              <w:t>1,28</w:t>
            </w:r>
          </w:p>
        </w:tc>
        <w:tc>
          <w:tcPr>
            <w:tcW w:w="0" w:type="auto"/>
            <w:shd w:val="clear" w:color="auto" w:fill="auto"/>
          </w:tcPr>
          <w:p w:rsidR="007B2210" w:rsidRPr="005470C1" w:rsidRDefault="007B2210" w:rsidP="00554A6A">
            <w:pPr>
              <w:jc w:val="center"/>
              <w:rPr>
                <w:b/>
                <w:sz w:val="22"/>
                <w:szCs w:val="22"/>
              </w:rPr>
            </w:pPr>
          </w:p>
          <w:p w:rsidR="007E4A7B" w:rsidRDefault="007E4A7B" w:rsidP="00970089">
            <w:pPr>
              <w:jc w:val="center"/>
              <w:rPr>
                <w:b/>
                <w:sz w:val="22"/>
                <w:szCs w:val="22"/>
              </w:rPr>
            </w:pPr>
          </w:p>
          <w:p w:rsidR="007B2210" w:rsidRPr="005470C1" w:rsidRDefault="007E4A7B" w:rsidP="00970089">
            <w:pPr>
              <w:jc w:val="center"/>
              <w:rPr>
                <w:b/>
                <w:sz w:val="22"/>
                <w:szCs w:val="22"/>
              </w:rPr>
            </w:pPr>
            <w:r>
              <w:rPr>
                <w:b/>
                <w:sz w:val="22"/>
                <w:szCs w:val="22"/>
              </w:rPr>
              <w:t>1,51</w:t>
            </w:r>
          </w:p>
        </w:tc>
        <w:tc>
          <w:tcPr>
            <w:tcW w:w="0" w:type="auto"/>
            <w:shd w:val="clear" w:color="auto" w:fill="auto"/>
          </w:tcPr>
          <w:p w:rsidR="007B2210" w:rsidRPr="005470C1" w:rsidRDefault="007B2210" w:rsidP="00D5340C">
            <w:pPr>
              <w:jc w:val="center"/>
              <w:rPr>
                <w:b/>
                <w:sz w:val="22"/>
                <w:szCs w:val="22"/>
              </w:rPr>
            </w:pPr>
          </w:p>
          <w:p w:rsidR="007E4A7B" w:rsidRDefault="007E4A7B" w:rsidP="00D5340C">
            <w:pPr>
              <w:jc w:val="center"/>
              <w:rPr>
                <w:b/>
                <w:sz w:val="22"/>
                <w:szCs w:val="22"/>
              </w:rPr>
            </w:pPr>
          </w:p>
          <w:p w:rsidR="007B2210" w:rsidRPr="007E4A7B" w:rsidRDefault="007E4A7B" w:rsidP="00D5340C">
            <w:pPr>
              <w:jc w:val="center"/>
              <w:rPr>
                <w:sz w:val="22"/>
                <w:szCs w:val="22"/>
              </w:rPr>
            </w:pPr>
            <w:r>
              <w:rPr>
                <w:sz w:val="22"/>
                <w:szCs w:val="22"/>
              </w:rPr>
              <w:t>19,8/18,0</w:t>
            </w:r>
          </w:p>
        </w:tc>
      </w:tr>
      <w:tr w:rsidR="00C27347" w:rsidRPr="00DA2323" w:rsidTr="00514CEC">
        <w:tc>
          <w:tcPr>
            <w:tcW w:w="0" w:type="auto"/>
          </w:tcPr>
          <w:p w:rsidR="007B2210" w:rsidRPr="00181D49" w:rsidRDefault="00C27347" w:rsidP="00AF302C">
            <w:pPr>
              <w:jc w:val="right"/>
              <w:rPr>
                <w:color w:val="000000"/>
                <w:sz w:val="21"/>
                <w:szCs w:val="21"/>
                <w:lang w:eastAsia="lt-LT"/>
              </w:rPr>
            </w:pPr>
            <w:r>
              <w:rPr>
                <w:color w:val="000000"/>
                <w:sz w:val="21"/>
                <w:szCs w:val="21"/>
                <w:lang w:eastAsia="lt-LT"/>
              </w:rPr>
              <w:t>2.1.</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Geriamojo vandens tiekimo</w:t>
            </w:r>
          </w:p>
        </w:tc>
        <w:tc>
          <w:tcPr>
            <w:tcW w:w="0" w:type="auto"/>
            <w:shd w:val="clear" w:color="auto" w:fill="auto"/>
          </w:tcPr>
          <w:p w:rsidR="007B2210" w:rsidRPr="005470C1" w:rsidRDefault="007B2210" w:rsidP="00554A6A">
            <w:pPr>
              <w:jc w:val="center"/>
              <w:rPr>
                <w:sz w:val="22"/>
                <w:szCs w:val="22"/>
              </w:rPr>
            </w:pPr>
            <w:r>
              <w:rPr>
                <w:sz w:val="22"/>
                <w:szCs w:val="22"/>
              </w:rPr>
              <w:t>0,57</w:t>
            </w:r>
          </w:p>
        </w:tc>
        <w:tc>
          <w:tcPr>
            <w:tcW w:w="0" w:type="auto"/>
            <w:shd w:val="clear" w:color="auto" w:fill="auto"/>
          </w:tcPr>
          <w:p w:rsidR="007B2210" w:rsidRPr="005470C1" w:rsidRDefault="007B2210" w:rsidP="00554A6A">
            <w:pPr>
              <w:jc w:val="center"/>
              <w:rPr>
                <w:sz w:val="22"/>
                <w:szCs w:val="22"/>
              </w:rPr>
            </w:pPr>
            <w:r>
              <w:rPr>
                <w:sz w:val="22"/>
                <w:szCs w:val="22"/>
              </w:rPr>
              <w:t>0,55</w:t>
            </w:r>
          </w:p>
        </w:tc>
        <w:tc>
          <w:tcPr>
            <w:tcW w:w="0" w:type="auto"/>
            <w:shd w:val="clear" w:color="auto" w:fill="auto"/>
          </w:tcPr>
          <w:p w:rsidR="007B2210" w:rsidRPr="005470C1" w:rsidRDefault="007E4A7B" w:rsidP="00554A6A">
            <w:pPr>
              <w:jc w:val="center"/>
              <w:rPr>
                <w:sz w:val="22"/>
                <w:szCs w:val="22"/>
              </w:rPr>
            </w:pPr>
            <w:r>
              <w:rPr>
                <w:sz w:val="22"/>
                <w:szCs w:val="22"/>
              </w:rPr>
              <w:t>0,61</w:t>
            </w:r>
          </w:p>
        </w:tc>
        <w:tc>
          <w:tcPr>
            <w:tcW w:w="0" w:type="auto"/>
            <w:shd w:val="clear" w:color="auto" w:fill="auto"/>
          </w:tcPr>
          <w:p w:rsidR="007B2210" w:rsidRPr="005470C1" w:rsidRDefault="00F828CD" w:rsidP="00554A6A">
            <w:pPr>
              <w:jc w:val="center"/>
              <w:rPr>
                <w:sz w:val="22"/>
                <w:szCs w:val="22"/>
              </w:rPr>
            </w:pPr>
            <w:r>
              <w:rPr>
                <w:sz w:val="22"/>
                <w:szCs w:val="22"/>
              </w:rPr>
              <w:t>7,0/10,9</w:t>
            </w:r>
          </w:p>
        </w:tc>
      </w:tr>
      <w:tr w:rsidR="00C27347" w:rsidRPr="00DA2323" w:rsidTr="00514CEC">
        <w:tc>
          <w:tcPr>
            <w:tcW w:w="0" w:type="auto"/>
          </w:tcPr>
          <w:p w:rsidR="007B2210" w:rsidRPr="00181D49" w:rsidRDefault="00C27347" w:rsidP="00AF302C">
            <w:pPr>
              <w:jc w:val="right"/>
              <w:rPr>
                <w:color w:val="000000"/>
                <w:sz w:val="21"/>
                <w:szCs w:val="21"/>
                <w:lang w:eastAsia="lt-LT"/>
              </w:rPr>
            </w:pPr>
            <w:r>
              <w:rPr>
                <w:color w:val="000000"/>
                <w:sz w:val="21"/>
                <w:szCs w:val="21"/>
                <w:lang w:eastAsia="lt-LT"/>
              </w:rPr>
              <w:t>2.2.</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Nuotekų tvarkymo:</w:t>
            </w:r>
          </w:p>
        </w:tc>
        <w:tc>
          <w:tcPr>
            <w:tcW w:w="0" w:type="auto"/>
            <w:shd w:val="clear" w:color="auto" w:fill="auto"/>
          </w:tcPr>
          <w:p w:rsidR="007B2210" w:rsidRPr="005470C1" w:rsidRDefault="007B2210" w:rsidP="00554A6A">
            <w:pPr>
              <w:jc w:val="center"/>
              <w:rPr>
                <w:sz w:val="22"/>
                <w:szCs w:val="22"/>
              </w:rPr>
            </w:pPr>
            <w:r>
              <w:rPr>
                <w:sz w:val="22"/>
                <w:szCs w:val="22"/>
              </w:rPr>
              <w:t>0,69</w:t>
            </w:r>
          </w:p>
        </w:tc>
        <w:tc>
          <w:tcPr>
            <w:tcW w:w="0" w:type="auto"/>
            <w:shd w:val="clear" w:color="auto" w:fill="auto"/>
          </w:tcPr>
          <w:p w:rsidR="007B2210" w:rsidRPr="005470C1" w:rsidRDefault="007B2210" w:rsidP="00554A6A">
            <w:pPr>
              <w:jc w:val="center"/>
              <w:rPr>
                <w:sz w:val="22"/>
                <w:szCs w:val="22"/>
              </w:rPr>
            </w:pPr>
            <w:r>
              <w:rPr>
                <w:sz w:val="22"/>
                <w:szCs w:val="22"/>
              </w:rPr>
              <w:t>0,73</w:t>
            </w:r>
          </w:p>
        </w:tc>
        <w:tc>
          <w:tcPr>
            <w:tcW w:w="0" w:type="auto"/>
            <w:shd w:val="clear" w:color="auto" w:fill="auto"/>
          </w:tcPr>
          <w:p w:rsidR="007B2210" w:rsidRPr="005470C1" w:rsidRDefault="007E4A7B" w:rsidP="00554A6A">
            <w:pPr>
              <w:jc w:val="center"/>
              <w:rPr>
                <w:sz w:val="22"/>
                <w:szCs w:val="22"/>
              </w:rPr>
            </w:pPr>
            <w:r>
              <w:rPr>
                <w:sz w:val="22"/>
                <w:szCs w:val="22"/>
              </w:rPr>
              <w:t>0,90</w:t>
            </w:r>
          </w:p>
        </w:tc>
        <w:tc>
          <w:tcPr>
            <w:tcW w:w="0" w:type="auto"/>
            <w:shd w:val="clear" w:color="auto" w:fill="auto"/>
          </w:tcPr>
          <w:p w:rsidR="007B2210" w:rsidRPr="005470C1" w:rsidRDefault="00F828CD" w:rsidP="00554A6A">
            <w:pPr>
              <w:jc w:val="center"/>
              <w:rPr>
                <w:sz w:val="22"/>
                <w:szCs w:val="22"/>
              </w:rPr>
            </w:pPr>
            <w:r>
              <w:rPr>
                <w:sz w:val="22"/>
                <w:szCs w:val="22"/>
              </w:rPr>
              <w:t>30,4/23,3</w:t>
            </w:r>
          </w:p>
        </w:tc>
      </w:tr>
      <w:tr w:rsidR="00C27347" w:rsidRPr="00DA2323" w:rsidTr="00514CEC">
        <w:tc>
          <w:tcPr>
            <w:tcW w:w="0" w:type="auto"/>
          </w:tcPr>
          <w:p w:rsidR="007B2210" w:rsidRPr="00181D49" w:rsidRDefault="00C27347" w:rsidP="00AF302C">
            <w:pPr>
              <w:autoSpaceDE w:val="0"/>
              <w:autoSpaceDN w:val="0"/>
              <w:adjustRightInd w:val="0"/>
              <w:jc w:val="right"/>
              <w:rPr>
                <w:color w:val="000000"/>
                <w:sz w:val="21"/>
                <w:szCs w:val="21"/>
                <w:lang w:eastAsia="lt-LT"/>
              </w:rPr>
            </w:pPr>
            <w:r>
              <w:rPr>
                <w:color w:val="000000"/>
                <w:sz w:val="21"/>
                <w:szCs w:val="21"/>
                <w:lang w:eastAsia="lt-LT"/>
              </w:rPr>
              <w:t>2.2.1.</w:t>
            </w:r>
          </w:p>
        </w:tc>
        <w:tc>
          <w:tcPr>
            <w:tcW w:w="0" w:type="auto"/>
            <w:shd w:val="clear" w:color="auto" w:fill="auto"/>
          </w:tcPr>
          <w:p w:rsidR="007B2210" w:rsidRPr="00181D49" w:rsidRDefault="007B2210" w:rsidP="00C27347">
            <w:pPr>
              <w:autoSpaceDE w:val="0"/>
              <w:autoSpaceDN w:val="0"/>
              <w:adjustRightInd w:val="0"/>
              <w:rPr>
                <w:color w:val="000000"/>
                <w:sz w:val="21"/>
                <w:szCs w:val="21"/>
                <w:lang w:eastAsia="lt-LT"/>
              </w:rPr>
            </w:pPr>
            <w:r w:rsidRPr="00181D49">
              <w:rPr>
                <w:color w:val="000000"/>
                <w:sz w:val="21"/>
                <w:szCs w:val="21"/>
                <w:lang w:eastAsia="lt-LT"/>
              </w:rPr>
              <w:t xml:space="preserve">nuotekų surinkimo </w:t>
            </w:r>
          </w:p>
        </w:tc>
        <w:tc>
          <w:tcPr>
            <w:tcW w:w="0" w:type="auto"/>
            <w:shd w:val="clear" w:color="auto" w:fill="auto"/>
          </w:tcPr>
          <w:p w:rsidR="007B2210" w:rsidRPr="005470C1" w:rsidRDefault="007B2210" w:rsidP="00554A6A">
            <w:pPr>
              <w:jc w:val="center"/>
              <w:rPr>
                <w:sz w:val="22"/>
                <w:szCs w:val="22"/>
              </w:rPr>
            </w:pPr>
            <w:r>
              <w:rPr>
                <w:sz w:val="22"/>
                <w:szCs w:val="22"/>
              </w:rPr>
              <w:t>0,32</w:t>
            </w:r>
          </w:p>
        </w:tc>
        <w:tc>
          <w:tcPr>
            <w:tcW w:w="0" w:type="auto"/>
            <w:shd w:val="clear" w:color="auto" w:fill="auto"/>
          </w:tcPr>
          <w:p w:rsidR="007B2210" w:rsidRPr="005470C1" w:rsidRDefault="007B2210" w:rsidP="00554A6A">
            <w:pPr>
              <w:jc w:val="center"/>
              <w:rPr>
                <w:sz w:val="22"/>
                <w:szCs w:val="22"/>
              </w:rPr>
            </w:pPr>
            <w:r>
              <w:rPr>
                <w:sz w:val="22"/>
                <w:szCs w:val="22"/>
              </w:rPr>
              <w:t>0,33</w:t>
            </w:r>
          </w:p>
        </w:tc>
        <w:tc>
          <w:tcPr>
            <w:tcW w:w="0" w:type="auto"/>
            <w:shd w:val="clear" w:color="auto" w:fill="auto"/>
          </w:tcPr>
          <w:p w:rsidR="007B2210" w:rsidRPr="005470C1" w:rsidRDefault="007E4A7B" w:rsidP="00554A6A">
            <w:pPr>
              <w:jc w:val="center"/>
              <w:rPr>
                <w:sz w:val="22"/>
                <w:szCs w:val="22"/>
              </w:rPr>
            </w:pPr>
            <w:r>
              <w:rPr>
                <w:sz w:val="22"/>
                <w:szCs w:val="22"/>
              </w:rPr>
              <w:t>0,37</w:t>
            </w:r>
          </w:p>
        </w:tc>
        <w:tc>
          <w:tcPr>
            <w:tcW w:w="0" w:type="auto"/>
            <w:shd w:val="clear" w:color="auto" w:fill="auto"/>
          </w:tcPr>
          <w:p w:rsidR="007B2210" w:rsidRPr="005470C1" w:rsidRDefault="00F828CD" w:rsidP="00554A6A">
            <w:pPr>
              <w:jc w:val="center"/>
              <w:rPr>
                <w:sz w:val="22"/>
                <w:szCs w:val="22"/>
              </w:rPr>
            </w:pPr>
            <w:r>
              <w:rPr>
                <w:sz w:val="22"/>
                <w:szCs w:val="22"/>
              </w:rPr>
              <w:t>15,6/12,1</w:t>
            </w:r>
          </w:p>
        </w:tc>
      </w:tr>
      <w:tr w:rsidR="00C27347" w:rsidRPr="00DA2323" w:rsidTr="00514CEC">
        <w:tc>
          <w:tcPr>
            <w:tcW w:w="0" w:type="auto"/>
          </w:tcPr>
          <w:p w:rsidR="007B2210" w:rsidRPr="00181D49" w:rsidRDefault="00C27347" w:rsidP="00AF302C">
            <w:pPr>
              <w:jc w:val="right"/>
              <w:rPr>
                <w:color w:val="000000"/>
                <w:sz w:val="21"/>
                <w:szCs w:val="21"/>
                <w:lang w:eastAsia="lt-LT"/>
              </w:rPr>
            </w:pPr>
            <w:r>
              <w:rPr>
                <w:color w:val="000000"/>
                <w:sz w:val="21"/>
                <w:szCs w:val="21"/>
                <w:lang w:eastAsia="lt-LT"/>
              </w:rPr>
              <w:t>2.2.2.</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nuotekų valymo</w:t>
            </w:r>
          </w:p>
        </w:tc>
        <w:tc>
          <w:tcPr>
            <w:tcW w:w="0" w:type="auto"/>
            <w:shd w:val="clear" w:color="auto" w:fill="auto"/>
          </w:tcPr>
          <w:p w:rsidR="007B2210" w:rsidRPr="005470C1" w:rsidRDefault="007B2210" w:rsidP="00554A6A">
            <w:pPr>
              <w:jc w:val="center"/>
              <w:rPr>
                <w:sz w:val="22"/>
                <w:szCs w:val="22"/>
              </w:rPr>
            </w:pPr>
            <w:r>
              <w:rPr>
                <w:sz w:val="22"/>
                <w:szCs w:val="22"/>
              </w:rPr>
              <w:t>0,22</w:t>
            </w:r>
          </w:p>
        </w:tc>
        <w:tc>
          <w:tcPr>
            <w:tcW w:w="0" w:type="auto"/>
            <w:shd w:val="clear" w:color="auto" w:fill="auto"/>
          </w:tcPr>
          <w:p w:rsidR="007B2210" w:rsidRPr="005470C1" w:rsidRDefault="007B2210" w:rsidP="00554A6A">
            <w:pPr>
              <w:jc w:val="center"/>
              <w:rPr>
                <w:sz w:val="22"/>
                <w:szCs w:val="22"/>
              </w:rPr>
            </w:pPr>
            <w:r>
              <w:rPr>
                <w:sz w:val="22"/>
                <w:szCs w:val="22"/>
              </w:rPr>
              <w:t>0,21</w:t>
            </w:r>
          </w:p>
        </w:tc>
        <w:tc>
          <w:tcPr>
            <w:tcW w:w="0" w:type="auto"/>
            <w:shd w:val="clear" w:color="auto" w:fill="auto"/>
          </w:tcPr>
          <w:p w:rsidR="007B2210" w:rsidRPr="005470C1" w:rsidRDefault="007E4A7B" w:rsidP="00554A6A">
            <w:pPr>
              <w:jc w:val="center"/>
              <w:rPr>
                <w:sz w:val="22"/>
                <w:szCs w:val="22"/>
              </w:rPr>
            </w:pPr>
            <w:r>
              <w:rPr>
                <w:sz w:val="22"/>
                <w:szCs w:val="22"/>
              </w:rPr>
              <w:t>0,27</w:t>
            </w:r>
          </w:p>
        </w:tc>
        <w:tc>
          <w:tcPr>
            <w:tcW w:w="0" w:type="auto"/>
            <w:shd w:val="clear" w:color="auto" w:fill="auto"/>
          </w:tcPr>
          <w:p w:rsidR="007B2210" w:rsidRPr="005470C1" w:rsidRDefault="00F828CD" w:rsidP="00554A6A">
            <w:pPr>
              <w:jc w:val="center"/>
              <w:rPr>
                <w:sz w:val="22"/>
                <w:szCs w:val="22"/>
              </w:rPr>
            </w:pPr>
            <w:r>
              <w:rPr>
                <w:sz w:val="22"/>
                <w:szCs w:val="22"/>
              </w:rPr>
              <w:t>22,7/28,6</w:t>
            </w:r>
          </w:p>
        </w:tc>
      </w:tr>
      <w:tr w:rsidR="00C27347" w:rsidRPr="00DA2323" w:rsidTr="00514CEC">
        <w:tc>
          <w:tcPr>
            <w:tcW w:w="0" w:type="auto"/>
          </w:tcPr>
          <w:p w:rsidR="007B2210" w:rsidRPr="00181D49" w:rsidRDefault="00C27347" w:rsidP="00AF302C">
            <w:pPr>
              <w:jc w:val="right"/>
              <w:rPr>
                <w:color w:val="000000"/>
                <w:sz w:val="21"/>
                <w:szCs w:val="21"/>
                <w:lang w:eastAsia="lt-LT"/>
              </w:rPr>
            </w:pPr>
            <w:r>
              <w:rPr>
                <w:color w:val="000000"/>
                <w:sz w:val="21"/>
                <w:szCs w:val="21"/>
                <w:lang w:eastAsia="lt-LT"/>
              </w:rPr>
              <w:t>2.2.3.</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dumblo tvarkymo</w:t>
            </w:r>
          </w:p>
        </w:tc>
        <w:tc>
          <w:tcPr>
            <w:tcW w:w="0" w:type="auto"/>
            <w:shd w:val="clear" w:color="auto" w:fill="auto"/>
          </w:tcPr>
          <w:p w:rsidR="007B2210" w:rsidRPr="005470C1" w:rsidRDefault="007B2210" w:rsidP="00554A6A">
            <w:pPr>
              <w:jc w:val="center"/>
              <w:rPr>
                <w:sz w:val="22"/>
                <w:szCs w:val="22"/>
              </w:rPr>
            </w:pPr>
            <w:r>
              <w:rPr>
                <w:sz w:val="22"/>
                <w:szCs w:val="22"/>
              </w:rPr>
              <w:t>0,15</w:t>
            </w:r>
          </w:p>
        </w:tc>
        <w:tc>
          <w:tcPr>
            <w:tcW w:w="0" w:type="auto"/>
            <w:shd w:val="clear" w:color="auto" w:fill="auto"/>
          </w:tcPr>
          <w:p w:rsidR="007B2210" w:rsidRPr="005470C1" w:rsidRDefault="007B2210" w:rsidP="00554A6A">
            <w:pPr>
              <w:jc w:val="center"/>
              <w:rPr>
                <w:sz w:val="22"/>
                <w:szCs w:val="22"/>
              </w:rPr>
            </w:pPr>
            <w:r>
              <w:rPr>
                <w:sz w:val="22"/>
                <w:szCs w:val="22"/>
              </w:rPr>
              <w:t>0,19</w:t>
            </w:r>
          </w:p>
        </w:tc>
        <w:tc>
          <w:tcPr>
            <w:tcW w:w="0" w:type="auto"/>
            <w:shd w:val="clear" w:color="auto" w:fill="auto"/>
          </w:tcPr>
          <w:p w:rsidR="007B2210" w:rsidRPr="005470C1" w:rsidRDefault="007E4A7B" w:rsidP="00554A6A">
            <w:pPr>
              <w:jc w:val="center"/>
              <w:rPr>
                <w:sz w:val="22"/>
                <w:szCs w:val="22"/>
              </w:rPr>
            </w:pPr>
            <w:r>
              <w:rPr>
                <w:sz w:val="22"/>
                <w:szCs w:val="22"/>
              </w:rPr>
              <w:t>0,26</w:t>
            </w:r>
          </w:p>
        </w:tc>
        <w:tc>
          <w:tcPr>
            <w:tcW w:w="0" w:type="auto"/>
            <w:shd w:val="clear" w:color="auto" w:fill="auto"/>
          </w:tcPr>
          <w:p w:rsidR="007B2210" w:rsidRPr="005470C1" w:rsidRDefault="00F828CD" w:rsidP="00554A6A">
            <w:pPr>
              <w:jc w:val="center"/>
              <w:rPr>
                <w:sz w:val="22"/>
                <w:szCs w:val="22"/>
              </w:rPr>
            </w:pPr>
            <w:r>
              <w:rPr>
                <w:sz w:val="22"/>
                <w:szCs w:val="22"/>
              </w:rPr>
              <w:t>73,3/36,8</w:t>
            </w:r>
          </w:p>
        </w:tc>
      </w:tr>
      <w:tr w:rsidR="00C27347" w:rsidRPr="00D0090B" w:rsidTr="00514CEC">
        <w:tc>
          <w:tcPr>
            <w:tcW w:w="0" w:type="auto"/>
          </w:tcPr>
          <w:p w:rsidR="00C27347" w:rsidRDefault="00C27347" w:rsidP="00C27347">
            <w:pPr>
              <w:jc w:val="center"/>
              <w:rPr>
                <w:color w:val="000000"/>
                <w:sz w:val="21"/>
                <w:szCs w:val="21"/>
                <w:lang w:eastAsia="lt-LT"/>
              </w:rPr>
            </w:pPr>
          </w:p>
          <w:p w:rsidR="00C27347" w:rsidRDefault="00C27347" w:rsidP="00C27347">
            <w:pPr>
              <w:jc w:val="center"/>
              <w:rPr>
                <w:color w:val="000000"/>
                <w:sz w:val="21"/>
                <w:szCs w:val="21"/>
                <w:lang w:eastAsia="lt-LT"/>
              </w:rPr>
            </w:pPr>
          </w:p>
          <w:p w:rsidR="00C27347" w:rsidRDefault="00C27347" w:rsidP="00C27347">
            <w:pPr>
              <w:jc w:val="center"/>
              <w:rPr>
                <w:color w:val="000000"/>
                <w:sz w:val="21"/>
                <w:szCs w:val="21"/>
                <w:lang w:eastAsia="lt-LT"/>
              </w:rPr>
            </w:pPr>
          </w:p>
          <w:p w:rsidR="007B2210" w:rsidRPr="00181D49" w:rsidRDefault="00C27347" w:rsidP="00C27347">
            <w:pPr>
              <w:jc w:val="center"/>
              <w:rPr>
                <w:color w:val="000000"/>
                <w:sz w:val="21"/>
                <w:szCs w:val="21"/>
                <w:lang w:eastAsia="lt-LT"/>
              </w:rPr>
            </w:pPr>
            <w:r>
              <w:rPr>
                <w:color w:val="000000"/>
                <w:sz w:val="21"/>
                <w:szCs w:val="21"/>
                <w:lang w:eastAsia="lt-LT"/>
              </w:rPr>
              <w:t>3.</w:t>
            </w:r>
          </w:p>
        </w:tc>
        <w:tc>
          <w:tcPr>
            <w:tcW w:w="0" w:type="auto"/>
            <w:shd w:val="clear" w:color="auto" w:fill="auto"/>
          </w:tcPr>
          <w:p w:rsidR="007B2210" w:rsidRPr="00D0090B" w:rsidRDefault="007B2210" w:rsidP="00C27347">
            <w:pPr>
              <w:rPr>
                <w:b/>
                <w:sz w:val="24"/>
                <w:szCs w:val="24"/>
              </w:rPr>
            </w:pPr>
            <w:r w:rsidRPr="00181D49">
              <w:rPr>
                <w:color w:val="000000"/>
                <w:sz w:val="21"/>
                <w:szCs w:val="21"/>
                <w:lang w:eastAsia="lt-LT"/>
              </w:rPr>
              <w:t xml:space="preserve">Geriamojo vandens tiekimo ir nuotekų tvarkymo paslaugų kainos </w:t>
            </w:r>
            <w:r w:rsidRPr="00C90010">
              <w:rPr>
                <w:b/>
                <w:color w:val="000000"/>
                <w:sz w:val="21"/>
                <w:szCs w:val="21"/>
                <w:lang w:eastAsia="lt-LT"/>
              </w:rPr>
              <w:t>abonentams</w:t>
            </w:r>
            <w:r w:rsidRPr="00181D49">
              <w:rPr>
                <w:color w:val="000000"/>
                <w:sz w:val="21"/>
                <w:szCs w:val="21"/>
                <w:lang w:eastAsia="lt-LT"/>
              </w:rPr>
              <w:t>,</w:t>
            </w:r>
            <w:r>
              <w:rPr>
                <w:color w:val="000000"/>
                <w:sz w:val="21"/>
                <w:szCs w:val="21"/>
                <w:lang w:eastAsia="lt-LT"/>
              </w:rPr>
              <w:t xml:space="preserve"> perkantiems geriamojo vandens tiekimo ir nuotekų tvarkymo paslaugas buities ir komerciniams poreikiams bei perkantiems geriamąjį vandenį, skirtą karštam vandeniui ruošti ir tiekiamą abonentams</w:t>
            </w:r>
            <w:r w:rsidRPr="00181D49">
              <w:rPr>
                <w:color w:val="000000"/>
                <w:sz w:val="21"/>
                <w:szCs w:val="21"/>
                <w:lang w:eastAsia="lt-LT"/>
              </w:rPr>
              <w:t xml:space="preserve"> Eur/</w:t>
            </w:r>
            <w:r w:rsidR="00C27347">
              <w:rPr>
                <w:color w:val="000000"/>
                <w:sz w:val="21"/>
                <w:szCs w:val="21"/>
                <w:lang w:eastAsia="lt-LT"/>
              </w:rPr>
              <w:t>m³</w:t>
            </w:r>
            <w:r w:rsidRPr="00181D49">
              <w:rPr>
                <w:color w:val="000000"/>
                <w:sz w:val="21"/>
                <w:szCs w:val="21"/>
                <w:lang w:eastAsia="lt-LT"/>
              </w:rPr>
              <w:t>:</w:t>
            </w:r>
          </w:p>
        </w:tc>
        <w:tc>
          <w:tcPr>
            <w:tcW w:w="0" w:type="auto"/>
            <w:shd w:val="clear" w:color="auto" w:fill="auto"/>
          </w:tcPr>
          <w:p w:rsidR="007B2210" w:rsidRPr="005470C1" w:rsidRDefault="007B2210" w:rsidP="00D5340C">
            <w:pPr>
              <w:jc w:val="center"/>
              <w:rPr>
                <w:b/>
                <w:sz w:val="22"/>
                <w:szCs w:val="22"/>
              </w:rPr>
            </w:pPr>
          </w:p>
          <w:p w:rsidR="007E4A7B" w:rsidRDefault="007E4A7B" w:rsidP="004304A5">
            <w:pPr>
              <w:jc w:val="center"/>
              <w:rPr>
                <w:b/>
                <w:sz w:val="22"/>
                <w:szCs w:val="22"/>
              </w:rPr>
            </w:pPr>
          </w:p>
          <w:p w:rsidR="007E4A7B" w:rsidRDefault="007E4A7B" w:rsidP="004304A5">
            <w:pPr>
              <w:jc w:val="center"/>
              <w:rPr>
                <w:b/>
                <w:sz w:val="22"/>
                <w:szCs w:val="22"/>
              </w:rPr>
            </w:pPr>
          </w:p>
          <w:p w:rsidR="007B2210" w:rsidRPr="005470C1" w:rsidRDefault="007B2210" w:rsidP="004304A5">
            <w:pPr>
              <w:jc w:val="center"/>
              <w:rPr>
                <w:b/>
                <w:sz w:val="22"/>
                <w:szCs w:val="22"/>
              </w:rPr>
            </w:pPr>
            <w:r>
              <w:rPr>
                <w:b/>
                <w:sz w:val="22"/>
                <w:szCs w:val="22"/>
              </w:rPr>
              <w:t>1,33</w:t>
            </w:r>
          </w:p>
        </w:tc>
        <w:tc>
          <w:tcPr>
            <w:tcW w:w="0" w:type="auto"/>
            <w:shd w:val="clear" w:color="auto" w:fill="auto"/>
          </w:tcPr>
          <w:p w:rsidR="007B2210" w:rsidRDefault="007B2210" w:rsidP="00D5340C">
            <w:pPr>
              <w:jc w:val="center"/>
              <w:rPr>
                <w:b/>
                <w:sz w:val="22"/>
                <w:szCs w:val="22"/>
              </w:rPr>
            </w:pPr>
          </w:p>
          <w:p w:rsidR="007E4A7B" w:rsidRDefault="007E4A7B" w:rsidP="004304A5">
            <w:pPr>
              <w:jc w:val="center"/>
              <w:rPr>
                <w:b/>
                <w:sz w:val="22"/>
                <w:szCs w:val="22"/>
              </w:rPr>
            </w:pPr>
          </w:p>
          <w:p w:rsidR="007E4A7B" w:rsidRDefault="007E4A7B" w:rsidP="004304A5">
            <w:pPr>
              <w:jc w:val="center"/>
              <w:rPr>
                <w:b/>
                <w:sz w:val="22"/>
                <w:szCs w:val="22"/>
              </w:rPr>
            </w:pPr>
          </w:p>
          <w:p w:rsidR="007B2210" w:rsidRPr="005470C1" w:rsidRDefault="007B2210" w:rsidP="004304A5">
            <w:pPr>
              <w:jc w:val="center"/>
              <w:rPr>
                <w:b/>
                <w:sz w:val="22"/>
                <w:szCs w:val="22"/>
              </w:rPr>
            </w:pPr>
            <w:r>
              <w:rPr>
                <w:b/>
                <w:sz w:val="22"/>
                <w:szCs w:val="22"/>
              </w:rPr>
              <w:t>1,35</w:t>
            </w:r>
          </w:p>
        </w:tc>
        <w:tc>
          <w:tcPr>
            <w:tcW w:w="0" w:type="auto"/>
            <w:shd w:val="clear" w:color="auto" w:fill="auto"/>
          </w:tcPr>
          <w:p w:rsidR="007B2210" w:rsidRPr="005470C1" w:rsidRDefault="007B2210" w:rsidP="00554A6A">
            <w:pPr>
              <w:jc w:val="center"/>
              <w:rPr>
                <w:b/>
                <w:sz w:val="22"/>
                <w:szCs w:val="22"/>
              </w:rPr>
            </w:pPr>
          </w:p>
          <w:p w:rsidR="007E4A7B" w:rsidRDefault="007E4A7B" w:rsidP="004304A5">
            <w:pPr>
              <w:jc w:val="center"/>
              <w:rPr>
                <w:b/>
                <w:sz w:val="22"/>
                <w:szCs w:val="22"/>
              </w:rPr>
            </w:pPr>
          </w:p>
          <w:p w:rsidR="007E4A7B" w:rsidRDefault="007E4A7B" w:rsidP="004304A5">
            <w:pPr>
              <w:jc w:val="center"/>
              <w:rPr>
                <w:b/>
                <w:sz w:val="22"/>
                <w:szCs w:val="22"/>
              </w:rPr>
            </w:pPr>
          </w:p>
          <w:p w:rsidR="007B2210" w:rsidRPr="005470C1" w:rsidRDefault="007E4A7B" w:rsidP="004304A5">
            <w:pPr>
              <w:jc w:val="center"/>
              <w:rPr>
                <w:b/>
                <w:sz w:val="22"/>
                <w:szCs w:val="22"/>
              </w:rPr>
            </w:pPr>
            <w:r>
              <w:rPr>
                <w:b/>
                <w:sz w:val="22"/>
                <w:szCs w:val="22"/>
              </w:rPr>
              <w:t>1,58</w:t>
            </w:r>
          </w:p>
        </w:tc>
        <w:tc>
          <w:tcPr>
            <w:tcW w:w="0" w:type="auto"/>
            <w:shd w:val="clear" w:color="auto" w:fill="auto"/>
          </w:tcPr>
          <w:p w:rsidR="007B2210" w:rsidRDefault="007B2210" w:rsidP="00D5340C">
            <w:pPr>
              <w:jc w:val="center"/>
              <w:rPr>
                <w:b/>
                <w:sz w:val="22"/>
                <w:szCs w:val="22"/>
              </w:rPr>
            </w:pPr>
          </w:p>
          <w:p w:rsidR="00F828CD" w:rsidRDefault="00F828CD" w:rsidP="00D5340C">
            <w:pPr>
              <w:jc w:val="center"/>
              <w:rPr>
                <w:b/>
                <w:sz w:val="22"/>
                <w:szCs w:val="22"/>
              </w:rPr>
            </w:pPr>
          </w:p>
          <w:p w:rsidR="00F828CD" w:rsidRDefault="00F828CD" w:rsidP="00D5340C">
            <w:pPr>
              <w:jc w:val="center"/>
              <w:rPr>
                <w:b/>
                <w:sz w:val="22"/>
                <w:szCs w:val="22"/>
              </w:rPr>
            </w:pPr>
          </w:p>
          <w:p w:rsidR="00F828CD" w:rsidRPr="00F828CD" w:rsidRDefault="00F828CD" w:rsidP="00D5340C">
            <w:pPr>
              <w:jc w:val="center"/>
              <w:rPr>
                <w:sz w:val="22"/>
                <w:szCs w:val="22"/>
              </w:rPr>
            </w:pPr>
            <w:r w:rsidRPr="00F828CD">
              <w:rPr>
                <w:sz w:val="22"/>
                <w:szCs w:val="22"/>
              </w:rPr>
              <w:t>18,8/17,0</w:t>
            </w:r>
          </w:p>
        </w:tc>
      </w:tr>
      <w:tr w:rsidR="00C27347" w:rsidRPr="00DA2323" w:rsidTr="00514CEC">
        <w:tc>
          <w:tcPr>
            <w:tcW w:w="0" w:type="auto"/>
          </w:tcPr>
          <w:p w:rsidR="007B2210" w:rsidRPr="00181D49" w:rsidRDefault="00C27347" w:rsidP="00AF302C">
            <w:pPr>
              <w:jc w:val="right"/>
              <w:rPr>
                <w:color w:val="000000"/>
                <w:sz w:val="21"/>
                <w:szCs w:val="21"/>
                <w:lang w:eastAsia="lt-LT"/>
              </w:rPr>
            </w:pPr>
            <w:r>
              <w:rPr>
                <w:color w:val="000000"/>
                <w:sz w:val="21"/>
                <w:szCs w:val="21"/>
                <w:lang w:eastAsia="lt-LT"/>
              </w:rPr>
              <w:t>3.1.</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Geriamojo vandens tiekimo</w:t>
            </w:r>
          </w:p>
        </w:tc>
        <w:tc>
          <w:tcPr>
            <w:tcW w:w="0" w:type="auto"/>
            <w:shd w:val="clear" w:color="auto" w:fill="auto"/>
          </w:tcPr>
          <w:p w:rsidR="007B2210" w:rsidRPr="005470C1" w:rsidRDefault="007B2210" w:rsidP="00554A6A">
            <w:pPr>
              <w:jc w:val="center"/>
              <w:rPr>
                <w:sz w:val="22"/>
                <w:szCs w:val="22"/>
              </w:rPr>
            </w:pPr>
            <w:r>
              <w:rPr>
                <w:sz w:val="22"/>
                <w:szCs w:val="22"/>
              </w:rPr>
              <w:t>0,65</w:t>
            </w:r>
          </w:p>
        </w:tc>
        <w:tc>
          <w:tcPr>
            <w:tcW w:w="0" w:type="auto"/>
            <w:shd w:val="clear" w:color="auto" w:fill="auto"/>
          </w:tcPr>
          <w:p w:rsidR="007B2210" w:rsidRPr="005470C1" w:rsidRDefault="007B2210" w:rsidP="00554A6A">
            <w:pPr>
              <w:jc w:val="center"/>
              <w:rPr>
                <w:sz w:val="22"/>
                <w:szCs w:val="22"/>
              </w:rPr>
            </w:pPr>
            <w:r>
              <w:rPr>
                <w:sz w:val="22"/>
                <w:szCs w:val="22"/>
              </w:rPr>
              <w:t>0,63</w:t>
            </w:r>
          </w:p>
        </w:tc>
        <w:tc>
          <w:tcPr>
            <w:tcW w:w="0" w:type="auto"/>
            <w:shd w:val="clear" w:color="auto" w:fill="auto"/>
          </w:tcPr>
          <w:p w:rsidR="007B2210" w:rsidRPr="005470C1" w:rsidRDefault="007E4A7B" w:rsidP="00554A6A">
            <w:pPr>
              <w:jc w:val="center"/>
              <w:rPr>
                <w:sz w:val="22"/>
                <w:szCs w:val="22"/>
              </w:rPr>
            </w:pPr>
            <w:r>
              <w:rPr>
                <w:sz w:val="22"/>
                <w:szCs w:val="22"/>
              </w:rPr>
              <w:t>0,69</w:t>
            </w:r>
          </w:p>
        </w:tc>
        <w:tc>
          <w:tcPr>
            <w:tcW w:w="0" w:type="auto"/>
            <w:shd w:val="clear" w:color="auto" w:fill="auto"/>
          </w:tcPr>
          <w:p w:rsidR="007B2210" w:rsidRPr="005470C1" w:rsidRDefault="00F828CD" w:rsidP="00554A6A">
            <w:pPr>
              <w:jc w:val="center"/>
              <w:rPr>
                <w:sz w:val="22"/>
                <w:szCs w:val="22"/>
              </w:rPr>
            </w:pPr>
            <w:r>
              <w:rPr>
                <w:sz w:val="22"/>
                <w:szCs w:val="22"/>
              </w:rPr>
              <w:t>6,2/9,5</w:t>
            </w:r>
          </w:p>
        </w:tc>
      </w:tr>
      <w:tr w:rsidR="00C27347" w:rsidRPr="00DA2323" w:rsidTr="00514CEC">
        <w:tc>
          <w:tcPr>
            <w:tcW w:w="0" w:type="auto"/>
          </w:tcPr>
          <w:p w:rsidR="007B2210" w:rsidRPr="00181D49" w:rsidRDefault="00C27347" w:rsidP="00AF302C">
            <w:pPr>
              <w:jc w:val="right"/>
              <w:rPr>
                <w:color w:val="000000"/>
                <w:sz w:val="21"/>
                <w:szCs w:val="21"/>
                <w:lang w:eastAsia="lt-LT"/>
              </w:rPr>
            </w:pPr>
            <w:r>
              <w:rPr>
                <w:color w:val="000000"/>
                <w:sz w:val="21"/>
                <w:szCs w:val="21"/>
                <w:lang w:eastAsia="lt-LT"/>
              </w:rPr>
              <w:t>3.2.</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Nuotekų tvarkymo:</w:t>
            </w:r>
          </w:p>
        </w:tc>
        <w:tc>
          <w:tcPr>
            <w:tcW w:w="0" w:type="auto"/>
            <w:shd w:val="clear" w:color="auto" w:fill="auto"/>
          </w:tcPr>
          <w:p w:rsidR="007B2210" w:rsidRPr="005470C1" w:rsidRDefault="007B2210" w:rsidP="00554A6A">
            <w:pPr>
              <w:jc w:val="center"/>
              <w:rPr>
                <w:sz w:val="22"/>
                <w:szCs w:val="22"/>
              </w:rPr>
            </w:pPr>
            <w:r>
              <w:rPr>
                <w:sz w:val="22"/>
                <w:szCs w:val="22"/>
              </w:rPr>
              <w:t>0,68</w:t>
            </w:r>
          </w:p>
        </w:tc>
        <w:tc>
          <w:tcPr>
            <w:tcW w:w="0" w:type="auto"/>
            <w:shd w:val="clear" w:color="auto" w:fill="auto"/>
          </w:tcPr>
          <w:p w:rsidR="007B2210" w:rsidRPr="005470C1" w:rsidRDefault="007B2210" w:rsidP="00554A6A">
            <w:pPr>
              <w:jc w:val="center"/>
              <w:rPr>
                <w:sz w:val="22"/>
                <w:szCs w:val="22"/>
              </w:rPr>
            </w:pPr>
            <w:r>
              <w:rPr>
                <w:sz w:val="22"/>
                <w:szCs w:val="22"/>
              </w:rPr>
              <w:t>0,72</w:t>
            </w:r>
          </w:p>
        </w:tc>
        <w:tc>
          <w:tcPr>
            <w:tcW w:w="0" w:type="auto"/>
            <w:shd w:val="clear" w:color="auto" w:fill="auto"/>
          </w:tcPr>
          <w:p w:rsidR="007B2210" w:rsidRPr="005470C1" w:rsidRDefault="007E4A7B" w:rsidP="00554A6A">
            <w:pPr>
              <w:jc w:val="center"/>
              <w:rPr>
                <w:sz w:val="22"/>
                <w:szCs w:val="22"/>
              </w:rPr>
            </w:pPr>
            <w:r>
              <w:rPr>
                <w:sz w:val="22"/>
                <w:szCs w:val="22"/>
              </w:rPr>
              <w:t>0,89</w:t>
            </w:r>
          </w:p>
        </w:tc>
        <w:tc>
          <w:tcPr>
            <w:tcW w:w="0" w:type="auto"/>
            <w:shd w:val="clear" w:color="auto" w:fill="auto"/>
          </w:tcPr>
          <w:p w:rsidR="007B2210" w:rsidRPr="005470C1" w:rsidRDefault="00F828CD" w:rsidP="00554A6A">
            <w:pPr>
              <w:jc w:val="center"/>
              <w:rPr>
                <w:sz w:val="22"/>
                <w:szCs w:val="22"/>
              </w:rPr>
            </w:pPr>
            <w:r>
              <w:rPr>
                <w:sz w:val="22"/>
                <w:szCs w:val="22"/>
              </w:rPr>
              <w:t>30,9/23,6</w:t>
            </w:r>
          </w:p>
        </w:tc>
      </w:tr>
      <w:tr w:rsidR="00C27347" w:rsidRPr="00DA2323" w:rsidTr="00514CEC">
        <w:tc>
          <w:tcPr>
            <w:tcW w:w="0" w:type="auto"/>
          </w:tcPr>
          <w:p w:rsidR="007B2210" w:rsidRPr="00181D49" w:rsidRDefault="00C27347" w:rsidP="00AF302C">
            <w:pPr>
              <w:autoSpaceDE w:val="0"/>
              <w:autoSpaceDN w:val="0"/>
              <w:adjustRightInd w:val="0"/>
              <w:jc w:val="right"/>
              <w:rPr>
                <w:color w:val="000000"/>
                <w:sz w:val="21"/>
                <w:szCs w:val="21"/>
                <w:lang w:eastAsia="lt-LT"/>
              </w:rPr>
            </w:pPr>
            <w:r>
              <w:rPr>
                <w:color w:val="000000"/>
                <w:sz w:val="21"/>
                <w:szCs w:val="21"/>
                <w:lang w:eastAsia="lt-LT"/>
              </w:rPr>
              <w:t>3.2.1.</w:t>
            </w:r>
          </w:p>
        </w:tc>
        <w:tc>
          <w:tcPr>
            <w:tcW w:w="0" w:type="auto"/>
            <w:shd w:val="clear" w:color="auto" w:fill="auto"/>
          </w:tcPr>
          <w:p w:rsidR="007B2210" w:rsidRPr="00181D49" w:rsidRDefault="007B2210" w:rsidP="00C27347">
            <w:pPr>
              <w:autoSpaceDE w:val="0"/>
              <w:autoSpaceDN w:val="0"/>
              <w:adjustRightInd w:val="0"/>
              <w:rPr>
                <w:color w:val="000000"/>
                <w:sz w:val="21"/>
                <w:szCs w:val="21"/>
                <w:lang w:eastAsia="lt-LT"/>
              </w:rPr>
            </w:pPr>
            <w:r w:rsidRPr="00181D49">
              <w:rPr>
                <w:color w:val="000000"/>
                <w:sz w:val="21"/>
                <w:szCs w:val="21"/>
                <w:lang w:eastAsia="lt-LT"/>
              </w:rPr>
              <w:t xml:space="preserve">nuotekų surinkimo </w:t>
            </w:r>
          </w:p>
        </w:tc>
        <w:tc>
          <w:tcPr>
            <w:tcW w:w="0" w:type="auto"/>
            <w:shd w:val="clear" w:color="auto" w:fill="auto"/>
          </w:tcPr>
          <w:p w:rsidR="007B2210" w:rsidRPr="005470C1" w:rsidRDefault="007B2210" w:rsidP="00554A6A">
            <w:pPr>
              <w:jc w:val="center"/>
              <w:rPr>
                <w:sz w:val="22"/>
                <w:szCs w:val="22"/>
              </w:rPr>
            </w:pPr>
            <w:r>
              <w:rPr>
                <w:sz w:val="22"/>
                <w:szCs w:val="22"/>
              </w:rPr>
              <w:t>0,31</w:t>
            </w:r>
          </w:p>
        </w:tc>
        <w:tc>
          <w:tcPr>
            <w:tcW w:w="0" w:type="auto"/>
            <w:shd w:val="clear" w:color="auto" w:fill="auto"/>
          </w:tcPr>
          <w:p w:rsidR="007B2210" w:rsidRPr="005470C1" w:rsidRDefault="007B2210" w:rsidP="00554A6A">
            <w:pPr>
              <w:jc w:val="center"/>
              <w:rPr>
                <w:sz w:val="22"/>
                <w:szCs w:val="22"/>
              </w:rPr>
            </w:pPr>
            <w:r>
              <w:rPr>
                <w:sz w:val="22"/>
                <w:szCs w:val="22"/>
              </w:rPr>
              <w:t>0,32</w:t>
            </w:r>
          </w:p>
        </w:tc>
        <w:tc>
          <w:tcPr>
            <w:tcW w:w="0" w:type="auto"/>
            <w:shd w:val="clear" w:color="auto" w:fill="auto"/>
          </w:tcPr>
          <w:p w:rsidR="007B2210" w:rsidRPr="005470C1" w:rsidRDefault="007E4A7B" w:rsidP="00554A6A">
            <w:pPr>
              <w:jc w:val="center"/>
              <w:rPr>
                <w:sz w:val="22"/>
                <w:szCs w:val="22"/>
              </w:rPr>
            </w:pPr>
            <w:r>
              <w:rPr>
                <w:sz w:val="22"/>
                <w:szCs w:val="22"/>
              </w:rPr>
              <w:t>0,36</w:t>
            </w:r>
          </w:p>
        </w:tc>
        <w:tc>
          <w:tcPr>
            <w:tcW w:w="0" w:type="auto"/>
            <w:shd w:val="clear" w:color="auto" w:fill="auto"/>
          </w:tcPr>
          <w:p w:rsidR="007B2210" w:rsidRPr="005470C1" w:rsidRDefault="00F828CD" w:rsidP="00554A6A">
            <w:pPr>
              <w:jc w:val="center"/>
              <w:rPr>
                <w:sz w:val="22"/>
                <w:szCs w:val="22"/>
              </w:rPr>
            </w:pPr>
            <w:r>
              <w:rPr>
                <w:sz w:val="22"/>
                <w:szCs w:val="22"/>
              </w:rPr>
              <w:t>16,1/12,5</w:t>
            </w:r>
          </w:p>
        </w:tc>
      </w:tr>
      <w:tr w:rsidR="00C27347" w:rsidRPr="00DA2323" w:rsidTr="00514CEC">
        <w:tc>
          <w:tcPr>
            <w:tcW w:w="0" w:type="auto"/>
          </w:tcPr>
          <w:p w:rsidR="007B2210" w:rsidRPr="00181D49" w:rsidRDefault="00C27347" w:rsidP="00AF302C">
            <w:pPr>
              <w:jc w:val="right"/>
              <w:rPr>
                <w:color w:val="000000"/>
                <w:sz w:val="21"/>
                <w:szCs w:val="21"/>
                <w:lang w:eastAsia="lt-LT"/>
              </w:rPr>
            </w:pPr>
            <w:r>
              <w:rPr>
                <w:color w:val="000000"/>
                <w:sz w:val="21"/>
                <w:szCs w:val="21"/>
                <w:lang w:eastAsia="lt-LT"/>
              </w:rPr>
              <w:t>3.2.2.</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nuotekų valymo</w:t>
            </w:r>
          </w:p>
        </w:tc>
        <w:tc>
          <w:tcPr>
            <w:tcW w:w="0" w:type="auto"/>
            <w:shd w:val="clear" w:color="auto" w:fill="auto"/>
          </w:tcPr>
          <w:p w:rsidR="007B2210" w:rsidRPr="005470C1" w:rsidRDefault="007B2210" w:rsidP="00554A6A">
            <w:pPr>
              <w:jc w:val="center"/>
              <w:rPr>
                <w:sz w:val="22"/>
                <w:szCs w:val="22"/>
              </w:rPr>
            </w:pPr>
            <w:r>
              <w:rPr>
                <w:sz w:val="22"/>
                <w:szCs w:val="22"/>
              </w:rPr>
              <w:t>0,22</w:t>
            </w:r>
          </w:p>
        </w:tc>
        <w:tc>
          <w:tcPr>
            <w:tcW w:w="0" w:type="auto"/>
            <w:shd w:val="clear" w:color="auto" w:fill="auto"/>
          </w:tcPr>
          <w:p w:rsidR="007B2210" w:rsidRPr="005470C1" w:rsidRDefault="007B2210" w:rsidP="00554A6A">
            <w:pPr>
              <w:jc w:val="center"/>
              <w:rPr>
                <w:sz w:val="22"/>
                <w:szCs w:val="22"/>
              </w:rPr>
            </w:pPr>
            <w:r>
              <w:rPr>
                <w:sz w:val="22"/>
                <w:szCs w:val="22"/>
              </w:rPr>
              <w:t>0,21</w:t>
            </w:r>
          </w:p>
        </w:tc>
        <w:tc>
          <w:tcPr>
            <w:tcW w:w="0" w:type="auto"/>
            <w:shd w:val="clear" w:color="auto" w:fill="auto"/>
          </w:tcPr>
          <w:p w:rsidR="007B2210" w:rsidRPr="005470C1" w:rsidRDefault="007E4A7B" w:rsidP="00554A6A">
            <w:pPr>
              <w:jc w:val="center"/>
              <w:rPr>
                <w:sz w:val="22"/>
                <w:szCs w:val="22"/>
              </w:rPr>
            </w:pPr>
            <w:r>
              <w:rPr>
                <w:sz w:val="22"/>
                <w:szCs w:val="22"/>
              </w:rPr>
              <w:t>0,27</w:t>
            </w:r>
          </w:p>
        </w:tc>
        <w:tc>
          <w:tcPr>
            <w:tcW w:w="0" w:type="auto"/>
            <w:shd w:val="clear" w:color="auto" w:fill="auto"/>
          </w:tcPr>
          <w:p w:rsidR="007B2210" w:rsidRPr="005470C1" w:rsidRDefault="00F828CD" w:rsidP="00554A6A">
            <w:pPr>
              <w:jc w:val="center"/>
              <w:rPr>
                <w:sz w:val="22"/>
                <w:szCs w:val="22"/>
              </w:rPr>
            </w:pPr>
            <w:r>
              <w:rPr>
                <w:sz w:val="22"/>
                <w:szCs w:val="22"/>
              </w:rPr>
              <w:t>22,7/28,6</w:t>
            </w:r>
          </w:p>
        </w:tc>
      </w:tr>
      <w:tr w:rsidR="00C27347" w:rsidRPr="00DA2323" w:rsidTr="00514CEC">
        <w:tc>
          <w:tcPr>
            <w:tcW w:w="0" w:type="auto"/>
          </w:tcPr>
          <w:p w:rsidR="007B2210" w:rsidRPr="00181D49" w:rsidRDefault="00C27347" w:rsidP="00AF302C">
            <w:pPr>
              <w:jc w:val="right"/>
              <w:rPr>
                <w:color w:val="000000"/>
                <w:sz w:val="21"/>
                <w:szCs w:val="21"/>
                <w:lang w:eastAsia="lt-LT"/>
              </w:rPr>
            </w:pPr>
            <w:r>
              <w:rPr>
                <w:color w:val="000000"/>
                <w:sz w:val="21"/>
                <w:szCs w:val="21"/>
                <w:lang w:eastAsia="lt-LT"/>
              </w:rPr>
              <w:t>3.2.3.</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dumblo tvarkymo</w:t>
            </w:r>
          </w:p>
        </w:tc>
        <w:tc>
          <w:tcPr>
            <w:tcW w:w="0" w:type="auto"/>
            <w:shd w:val="clear" w:color="auto" w:fill="auto"/>
          </w:tcPr>
          <w:p w:rsidR="007B2210" w:rsidRPr="005470C1" w:rsidRDefault="007B2210" w:rsidP="00554A6A">
            <w:pPr>
              <w:jc w:val="center"/>
              <w:rPr>
                <w:sz w:val="22"/>
                <w:szCs w:val="22"/>
              </w:rPr>
            </w:pPr>
            <w:r>
              <w:rPr>
                <w:sz w:val="22"/>
                <w:szCs w:val="22"/>
              </w:rPr>
              <w:t>0,15</w:t>
            </w:r>
          </w:p>
        </w:tc>
        <w:tc>
          <w:tcPr>
            <w:tcW w:w="0" w:type="auto"/>
            <w:shd w:val="clear" w:color="auto" w:fill="auto"/>
          </w:tcPr>
          <w:p w:rsidR="007B2210" w:rsidRPr="005470C1" w:rsidRDefault="007B2210" w:rsidP="00554A6A">
            <w:pPr>
              <w:jc w:val="center"/>
              <w:rPr>
                <w:sz w:val="22"/>
                <w:szCs w:val="22"/>
              </w:rPr>
            </w:pPr>
            <w:r>
              <w:rPr>
                <w:sz w:val="22"/>
                <w:szCs w:val="22"/>
              </w:rPr>
              <w:t>0,19</w:t>
            </w:r>
          </w:p>
        </w:tc>
        <w:tc>
          <w:tcPr>
            <w:tcW w:w="0" w:type="auto"/>
            <w:shd w:val="clear" w:color="auto" w:fill="auto"/>
          </w:tcPr>
          <w:p w:rsidR="007B2210" w:rsidRPr="005470C1" w:rsidRDefault="007E4A7B" w:rsidP="00554A6A">
            <w:pPr>
              <w:jc w:val="center"/>
              <w:rPr>
                <w:sz w:val="22"/>
                <w:szCs w:val="22"/>
              </w:rPr>
            </w:pPr>
            <w:r>
              <w:rPr>
                <w:sz w:val="22"/>
                <w:szCs w:val="22"/>
              </w:rPr>
              <w:t>0,26</w:t>
            </w:r>
          </w:p>
        </w:tc>
        <w:tc>
          <w:tcPr>
            <w:tcW w:w="0" w:type="auto"/>
            <w:shd w:val="clear" w:color="auto" w:fill="auto"/>
          </w:tcPr>
          <w:p w:rsidR="007B2210" w:rsidRPr="005470C1" w:rsidRDefault="007B2210" w:rsidP="00554A6A">
            <w:pPr>
              <w:jc w:val="center"/>
              <w:rPr>
                <w:sz w:val="22"/>
                <w:szCs w:val="22"/>
              </w:rPr>
            </w:pPr>
          </w:p>
        </w:tc>
      </w:tr>
      <w:tr w:rsidR="00C27347" w:rsidRPr="00DA2323" w:rsidTr="00514CEC">
        <w:tc>
          <w:tcPr>
            <w:tcW w:w="0" w:type="auto"/>
          </w:tcPr>
          <w:p w:rsidR="007E4A7B" w:rsidRDefault="007E4A7B" w:rsidP="007E4A7B">
            <w:pPr>
              <w:jc w:val="center"/>
              <w:rPr>
                <w:color w:val="000000"/>
                <w:sz w:val="21"/>
                <w:szCs w:val="21"/>
                <w:lang w:eastAsia="lt-LT"/>
              </w:rPr>
            </w:pPr>
          </w:p>
          <w:p w:rsidR="007E4A7B" w:rsidRDefault="007E4A7B" w:rsidP="007E4A7B">
            <w:pPr>
              <w:jc w:val="center"/>
              <w:rPr>
                <w:color w:val="000000"/>
                <w:sz w:val="21"/>
                <w:szCs w:val="21"/>
                <w:lang w:eastAsia="lt-LT"/>
              </w:rPr>
            </w:pPr>
          </w:p>
          <w:p w:rsidR="007E4A7B" w:rsidRDefault="007E4A7B" w:rsidP="007E4A7B">
            <w:pPr>
              <w:jc w:val="center"/>
              <w:rPr>
                <w:color w:val="000000"/>
                <w:sz w:val="21"/>
                <w:szCs w:val="21"/>
                <w:lang w:eastAsia="lt-LT"/>
              </w:rPr>
            </w:pPr>
          </w:p>
          <w:p w:rsidR="007B2210" w:rsidRPr="00181D49" w:rsidRDefault="007E4A7B" w:rsidP="007E4A7B">
            <w:pPr>
              <w:jc w:val="center"/>
              <w:rPr>
                <w:color w:val="000000"/>
                <w:sz w:val="21"/>
                <w:szCs w:val="21"/>
                <w:lang w:eastAsia="lt-LT"/>
              </w:rPr>
            </w:pPr>
            <w:r>
              <w:rPr>
                <w:color w:val="000000"/>
                <w:sz w:val="21"/>
                <w:szCs w:val="21"/>
                <w:lang w:eastAsia="lt-LT"/>
              </w:rPr>
              <w:t>4.</w:t>
            </w:r>
          </w:p>
        </w:tc>
        <w:tc>
          <w:tcPr>
            <w:tcW w:w="0" w:type="auto"/>
            <w:shd w:val="clear" w:color="auto" w:fill="auto"/>
          </w:tcPr>
          <w:p w:rsidR="007B2210" w:rsidRPr="00D0090B" w:rsidRDefault="007B2210" w:rsidP="00C27347">
            <w:pPr>
              <w:rPr>
                <w:b/>
                <w:sz w:val="24"/>
                <w:szCs w:val="24"/>
              </w:rPr>
            </w:pPr>
            <w:r w:rsidRPr="00181D49">
              <w:rPr>
                <w:color w:val="000000"/>
                <w:sz w:val="21"/>
                <w:szCs w:val="21"/>
                <w:lang w:eastAsia="lt-LT"/>
              </w:rPr>
              <w:t xml:space="preserve">Geriamojo vandens tiekimo ir nuotekų tvarkymo paslaugų kainos </w:t>
            </w:r>
            <w:r w:rsidRPr="00DA6C2F">
              <w:rPr>
                <w:color w:val="000000"/>
                <w:sz w:val="21"/>
                <w:szCs w:val="21"/>
                <w:lang w:eastAsia="lt-LT"/>
              </w:rPr>
              <w:t>abonentams</w:t>
            </w:r>
            <w:r w:rsidRPr="00181D49">
              <w:rPr>
                <w:color w:val="000000"/>
                <w:sz w:val="21"/>
                <w:szCs w:val="21"/>
                <w:lang w:eastAsia="lt-LT"/>
              </w:rPr>
              <w:t xml:space="preserve">, </w:t>
            </w:r>
            <w:r>
              <w:rPr>
                <w:color w:val="000000"/>
                <w:sz w:val="21"/>
                <w:szCs w:val="21"/>
                <w:lang w:eastAsia="lt-LT"/>
              </w:rPr>
              <w:t>perkant</w:t>
            </w:r>
            <w:r w:rsidRPr="00181D49">
              <w:rPr>
                <w:color w:val="000000"/>
                <w:sz w:val="21"/>
                <w:szCs w:val="21"/>
                <w:lang w:eastAsia="lt-LT"/>
              </w:rPr>
              <w:t xml:space="preserve">iems </w:t>
            </w:r>
            <w:r>
              <w:rPr>
                <w:color w:val="000000"/>
                <w:sz w:val="21"/>
                <w:szCs w:val="21"/>
                <w:lang w:eastAsia="lt-LT"/>
              </w:rPr>
              <w:t xml:space="preserve">geriamąjį </w:t>
            </w:r>
            <w:r w:rsidRPr="00181D49">
              <w:rPr>
                <w:color w:val="000000"/>
                <w:sz w:val="21"/>
                <w:szCs w:val="21"/>
                <w:lang w:eastAsia="lt-LT"/>
              </w:rPr>
              <w:t>vand</w:t>
            </w:r>
            <w:r>
              <w:rPr>
                <w:color w:val="000000"/>
                <w:sz w:val="21"/>
                <w:szCs w:val="21"/>
                <w:lang w:eastAsia="lt-LT"/>
              </w:rPr>
              <w:t xml:space="preserve">enį patalpoms šildyti ir karštam vandeniui ruošti ir tiekiamą vartotojų grupei, atsiskaitančiai daugiabučių gyvenamųjų </w:t>
            </w:r>
            <w:r>
              <w:rPr>
                <w:color w:val="000000"/>
                <w:sz w:val="21"/>
                <w:szCs w:val="21"/>
                <w:lang w:eastAsia="lt-LT"/>
              </w:rPr>
              <w:lastRenderedPageBreak/>
              <w:t xml:space="preserve">namų arba individualių gyvenamųjų namų  bendrijų </w:t>
            </w:r>
            <w:r w:rsidRPr="00C90010">
              <w:rPr>
                <w:b/>
                <w:color w:val="000000"/>
                <w:sz w:val="21"/>
                <w:szCs w:val="21"/>
                <w:lang w:eastAsia="lt-LT"/>
              </w:rPr>
              <w:t>įvade</w:t>
            </w:r>
            <w:r w:rsidRPr="00181D49">
              <w:rPr>
                <w:color w:val="000000"/>
                <w:sz w:val="21"/>
                <w:szCs w:val="21"/>
                <w:lang w:eastAsia="lt-LT"/>
              </w:rPr>
              <w:t>, Eur/</w:t>
            </w:r>
            <w:r w:rsidR="00C27347">
              <w:rPr>
                <w:color w:val="000000"/>
                <w:sz w:val="21"/>
                <w:szCs w:val="21"/>
                <w:lang w:eastAsia="lt-LT"/>
              </w:rPr>
              <w:t>m³</w:t>
            </w:r>
            <w:r w:rsidRPr="00181D49">
              <w:rPr>
                <w:color w:val="000000"/>
                <w:sz w:val="21"/>
                <w:szCs w:val="21"/>
                <w:lang w:eastAsia="lt-LT"/>
              </w:rPr>
              <w:t>:</w:t>
            </w:r>
          </w:p>
        </w:tc>
        <w:tc>
          <w:tcPr>
            <w:tcW w:w="0" w:type="auto"/>
            <w:shd w:val="clear" w:color="auto" w:fill="auto"/>
          </w:tcPr>
          <w:p w:rsidR="007B2210" w:rsidRPr="005470C1" w:rsidRDefault="007B2210" w:rsidP="00D5340C">
            <w:pPr>
              <w:jc w:val="center"/>
              <w:rPr>
                <w:b/>
                <w:sz w:val="22"/>
                <w:szCs w:val="22"/>
              </w:rPr>
            </w:pPr>
          </w:p>
          <w:p w:rsidR="007E4A7B" w:rsidRDefault="007E4A7B" w:rsidP="00D5340C">
            <w:pPr>
              <w:jc w:val="center"/>
              <w:rPr>
                <w:b/>
                <w:sz w:val="22"/>
                <w:szCs w:val="22"/>
              </w:rPr>
            </w:pPr>
          </w:p>
          <w:p w:rsidR="007E4A7B" w:rsidRDefault="007E4A7B" w:rsidP="00D5340C">
            <w:pPr>
              <w:jc w:val="center"/>
              <w:rPr>
                <w:b/>
                <w:sz w:val="22"/>
                <w:szCs w:val="22"/>
              </w:rPr>
            </w:pPr>
          </w:p>
          <w:p w:rsidR="007B2210" w:rsidRPr="005470C1" w:rsidRDefault="007B2210" w:rsidP="00D5340C">
            <w:pPr>
              <w:jc w:val="center"/>
              <w:rPr>
                <w:b/>
                <w:sz w:val="22"/>
                <w:szCs w:val="22"/>
              </w:rPr>
            </w:pPr>
            <w:r>
              <w:rPr>
                <w:b/>
                <w:sz w:val="22"/>
                <w:szCs w:val="22"/>
              </w:rPr>
              <w:t>1,24</w:t>
            </w:r>
          </w:p>
          <w:p w:rsidR="007B2210" w:rsidRPr="005470C1" w:rsidRDefault="007B2210" w:rsidP="00D5340C">
            <w:pPr>
              <w:jc w:val="center"/>
              <w:rPr>
                <w:b/>
                <w:sz w:val="22"/>
                <w:szCs w:val="22"/>
              </w:rPr>
            </w:pPr>
          </w:p>
        </w:tc>
        <w:tc>
          <w:tcPr>
            <w:tcW w:w="0" w:type="auto"/>
            <w:shd w:val="clear" w:color="auto" w:fill="auto"/>
          </w:tcPr>
          <w:p w:rsidR="007B2210" w:rsidRDefault="007B2210" w:rsidP="00D5340C">
            <w:pPr>
              <w:jc w:val="center"/>
              <w:rPr>
                <w:b/>
                <w:sz w:val="22"/>
                <w:szCs w:val="22"/>
              </w:rPr>
            </w:pPr>
          </w:p>
          <w:p w:rsidR="007E4A7B" w:rsidRDefault="007E4A7B" w:rsidP="00D5340C">
            <w:pPr>
              <w:jc w:val="center"/>
              <w:rPr>
                <w:b/>
                <w:sz w:val="22"/>
                <w:szCs w:val="22"/>
              </w:rPr>
            </w:pPr>
          </w:p>
          <w:p w:rsidR="007E4A7B" w:rsidRDefault="007E4A7B" w:rsidP="00D5340C">
            <w:pPr>
              <w:jc w:val="center"/>
              <w:rPr>
                <w:b/>
                <w:sz w:val="22"/>
                <w:szCs w:val="22"/>
              </w:rPr>
            </w:pPr>
          </w:p>
          <w:p w:rsidR="007B2210" w:rsidRPr="005470C1" w:rsidRDefault="007B2210" w:rsidP="00D5340C">
            <w:pPr>
              <w:jc w:val="center"/>
              <w:rPr>
                <w:b/>
                <w:sz w:val="22"/>
                <w:szCs w:val="22"/>
              </w:rPr>
            </w:pPr>
            <w:r>
              <w:rPr>
                <w:b/>
                <w:sz w:val="22"/>
                <w:szCs w:val="22"/>
              </w:rPr>
              <w:t>1,26</w:t>
            </w:r>
          </w:p>
        </w:tc>
        <w:tc>
          <w:tcPr>
            <w:tcW w:w="0" w:type="auto"/>
            <w:shd w:val="clear" w:color="auto" w:fill="auto"/>
          </w:tcPr>
          <w:p w:rsidR="007B2210" w:rsidRDefault="007B2210" w:rsidP="00554A6A">
            <w:pPr>
              <w:jc w:val="center"/>
              <w:rPr>
                <w:b/>
                <w:sz w:val="22"/>
                <w:szCs w:val="22"/>
              </w:rPr>
            </w:pPr>
          </w:p>
          <w:p w:rsidR="007E4A7B" w:rsidRDefault="007E4A7B" w:rsidP="00554A6A">
            <w:pPr>
              <w:jc w:val="center"/>
              <w:rPr>
                <w:b/>
                <w:sz w:val="22"/>
                <w:szCs w:val="22"/>
              </w:rPr>
            </w:pPr>
          </w:p>
          <w:p w:rsidR="007E4A7B" w:rsidRDefault="007E4A7B" w:rsidP="00554A6A">
            <w:pPr>
              <w:jc w:val="center"/>
              <w:rPr>
                <w:b/>
                <w:sz w:val="22"/>
                <w:szCs w:val="22"/>
              </w:rPr>
            </w:pPr>
          </w:p>
          <w:p w:rsidR="007E4A7B" w:rsidRPr="005470C1" w:rsidRDefault="007E4A7B" w:rsidP="00554A6A">
            <w:pPr>
              <w:jc w:val="center"/>
              <w:rPr>
                <w:b/>
                <w:sz w:val="22"/>
                <w:szCs w:val="22"/>
              </w:rPr>
            </w:pPr>
            <w:r>
              <w:rPr>
                <w:b/>
                <w:sz w:val="22"/>
                <w:szCs w:val="22"/>
              </w:rPr>
              <w:t>1,49</w:t>
            </w:r>
          </w:p>
          <w:p w:rsidR="007B2210" w:rsidRPr="005470C1" w:rsidRDefault="007B2210" w:rsidP="00D5340C">
            <w:pPr>
              <w:jc w:val="center"/>
              <w:rPr>
                <w:b/>
                <w:sz w:val="22"/>
                <w:szCs w:val="22"/>
              </w:rPr>
            </w:pPr>
          </w:p>
        </w:tc>
        <w:tc>
          <w:tcPr>
            <w:tcW w:w="0" w:type="auto"/>
            <w:shd w:val="clear" w:color="auto" w:fill="auto"/>
          </w:tcPr>
          <w:p w:rsidR="007B2210" w:rsidRDefault="007B2210" w:rsidP="00D5340C">
            <w:pPr>
              <w:jc w:val="center"/>
              <w:rPr>
                <w:b/>
                <w:sz w:val="22"/>
                <w:szCs w:val="22"/>
              </w:rPr>
            </w:pPr>
          </w:p>
          <w:p w:rsidR="000E7E06" w:rsidRDefault="000E7E06" w:rsidP="00D5340C">
            <w:pPr>
              <w:jc w:val="center"/>
              <w:rPr>
                <w:b/>
                <w:sz w:val="22"/>
                <w:szCs w:val="22"/>
              </w:rPr>
            </w:pPr>
          </w:p>
          <w:p w:rsidR="000E7E06" w:rsidRDefault="000E7E06" w:rsidP="00D5340C">
            <w:pPr>
              <w:jc w:val="center"/>
              <w:rPr>
                <w:b/>
                <w:sz w:val="22"/>
                <w:szCs w:val="22"/>
              </w:rPr>
            </w:pPr>
          </w:p>
          <w:p w:rsidR="000E7E06" w:rsidRPr="000E7E06" w:rsidRDefault="000E7E06" w:rsidP="00D5340C">
            <w:pPr>
              <w:jc w:val="center"/>
              <w:rPr>
                <w:sz w:val="22"/>
                <w:szCs w:val="22"/>
              </w:rPr>
            </w:pPr>
            <w:r w:rsidRPr="000E7E06">
              <w:rPr>
                <w:sz w:val="22"/>
                <w:szCs w:val="22"/>
              </w:rPr>
              <w:t>20,2/18,3</w:t>
            </w:r>
          </w:p>
        </w:tc>
      </w:tr>
      <w:tr w:rsidR="00C27347" w:rsidRPr="00DA2323" w:rsidTr="00514CEC">
        <w:tc>
          <w:tcPr>
            <w:tcW w:w="0" w:type="auto"/>
          </w:tcPr>
          <w:p w:rsidR="007B2210" w:rsidRPr="00181D49" w:rsidRDefault="007E4A7B" w:rsidP="00AF302C">
            <w:pPr>
              <w:jc w:val="right"/>
              <w:rPr>
                <w:color w:val="000000"/>
                <w:sz w:val="21"/>
                <w:szCs w:val="21"/>
                <w:lang w:eastAsia="lt-LT"/>
              </w:rPr>
            </w:pPr>
            <w:r>
              <w:rPr>
                <w:color w:val="000000"/>
                <w:sz w:val="21"/>
                <w:szCs w:val="21"/>
                <w:lang w:eastAsia="lt-LT"/>
              </w:rPr>
              <w:t>4.1.</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Geriamojo vandens tiekimo</w:t>
            </w:r>
          </w:p>
        </w:tc>
        <w:tc>
          <w:tcPr>
            <w:tcW w:w="0" w:type="auto"/>
            <w:shd w:val="clear" w:color="auto" w:fill="auto"/>
          </w:tcPr>
          <w:p w:rsidR="007B2210" w:rsidRPr="005470C1" w:rsidRDefault="007B2210" w:rsidP="00554A6A">
            <w:pPr>
              <w:jc w:val="center"/>
              <w:rPr>
                <w:sz w:val="22"/>
                <w:szCs w:val="22"/>
              </w:rPr>
            </w:pPr>
            <w:r>
              <w:rPr>
                <w:sz w:val="22"/>
                <w:szCs w:val="22"/>
              </w:rPr>
              <w:t>0,56</w:t>
            </w:r>
          </w:p>
        </w:tc>
        <w:tc>
          <w:tcPr>
            <w:tcW w:w="0" w:type="auto"/>
            <w:shd w:val="clear" w:color="auto" w:fill="auto"/>
          </w:tcPr>
          <w:p w:rsidR="007B2210" w:rsidRPr="005470C1" w:rsidRDefault="007B2210" w:rsidP="00554A6A">
            <w:pPr>
              <w:jc w:val="center"/>
              <w:rPr>
                <w:sz w:val="22"/>
                <w:szCs w:val="22"/>
              </w:rPr>
            </w:pPr>
            <w:r>
              <w:rPr>
                <w:sz w:val="22"/>
                <w:szCs w:val="22"/>
              </w:rPr>
              <w:t>0,54</w:t>
            </w:r>
          </w:p>
        </w:tc>
        <w:tc>
          <w:tcPr>
            <w:tcW w:w="0" w:type="auto"/>
            <w:shd w:val="clear" w:color="auto" w:fill="auto"/>
          </w:tcPr>
          <w:p w:rsidR="007B2210" w:rsidRPr="005470C1" w:rsidRDefault="007E4A7B" w:rsidP="00554A6A">
            <w:pPr>
              <w:jc w:val="center"/>
              <w:rPr>
                <w:sz w:val="22"/>
                <w:szCs w:val="22"/>
              </w:rPr>
            </w:pPr>
            <w:r>
              <w:rPr>
                <w:sz w:val="22"/>
                <w:szCs w:val="22"/>
              </w:rPr>
              <w:t>0,60</w:t>
            </w:r>
          </w:p>
        </w:tc>
        <w:tc>
          <w:tcPr>
            <w:tcW w:w="0" w:type="auto"/>
            <w:shd w:val="clear" w:color="auto" w:fill="auto"/>
          </w:tcPr>
          <w:p w:rsidR="007B2210" w:rsidRPr="005470C1" w:rsidRDefault="000E7E06" w:rsidP="00554A6A">
            <w:pPr>
              <w:jc w:val="center"/>
              <w:rPr>
                <w:sz w:val="22"/>
                <w:szCs w:val="22"/>
              </w:rPr>
            </w:pPr>
            <w:r>
              <w:rPr>
                <w:sz w:val="22"/>
                <w:szCs w:val="22"/>
              </w:rPr>
              <w:t>7,1/11,1</w:t>
            </w:r>
          </w:p>
        </w:tc>
      </w:tr>
      <w:tr w:rsidR="00C27347" w:rsidRPr="00DA2323" w:rsidTr="00514CEC">
        <w:tc>
          <w:tcPr>
            <w:tcW w:w="0" w:type="auto"/>
          </w:tcPr>
          <w:p w:rsidR="007B2210" w:rsidRPr="00181D49" w:rsidRDefault="007E4A7B" w:rsidP="00AF302C">
            <w:pPr>
              <w:jc w:val="right"/>
              <w:rPr>
                <w:color w:val="000000"/>
                <w:sz w:val="21"/>
                <w:szCs w:val="21"/>
                <w:lang w:eastAsia="lt-LT"/>
              </w:rPr>
            </w:pPr>
            <w:r>
              <w:rPr>
                <w:color w:val="000000"/>
                <w:sz w:val="21"/>
                <w:szCs w:val="21"/>
                <w:lang w:eastAsia="lt-LT"/>
              </w:rPr>
              <w:t>4.2.</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Nuotekų tvarkymo:</w:t>
            </w:r>
          </w:p>
        </w:tc>
        <w:tc>
          <w:tcPr>
            <w:tcW w:w="0" w:type="auto"/>
            <w:shd w:val="clear" w:color="auto" w:fill="auto"/>
          </w:tcPr>
          <w:p w:rsidR="007B2210" w:rsidRPr="005470C1" w:rsidRDefault="007B2210" w:rsidP="00554A6A">
            <w:pPr>
              <w:jc w:val="center"/>
              <w:rPr>
                <w:sz w:val="22"/>
                <w:szCs w:val="22"/>
              </w:rPr>
            </w:pPr>
            <w:r>
              <w:rPr>
                <w:sz w:val="22"/>
                <w:szCs w:val="22"/>
              </w:rPr>
              <w:t>0,68</w:t>
            </w:r>
          </w:p>
        </w:tc>
        <w:tc>
          <w:tcPr>
            <w:tcW w:w="0" w:type="auto"/>
            <w:shd w:val="clear" w:color="auto" w:fill="auto"/>
          </w:tcPr>
          <w:p w:rsidR="007B2210" w:rsidRPr="005470C1" w:rsidRDefault="007B2210" w:rsidP="00554A6A">
            <w:pPr>
              <w:jc w:val="center"/>
              <w:rPr>
                <w:sz w:val="22"/>
                <w:szCs w:val="22"/>
              </w:rPr>
            </w:pPr>
            <w:r>
              <w:rPr>
                <w:sz w:val="22"/>
                <w:szCs w:val="22"/>
              </w:rPr>
              <w:t>0,72</w:t>
            </w:r>
          </w:p>
        </w:tc>
        <w:tc>
          <w:tcPr>
            <w:tcW w:w="0" w:type="auto"/>
            <w:shd w:val="clear" w:color="auto" w:fill="auto"/>
          </w:tcPr>
          <w:p w:rsidR="007B2210" w:rsidRPr="005470C1" w:rsidRDefault="007E4A7B" w:rsidP="00554A6A">
            <w:pPr>
              <w:jc w:val="center"/>
              <w:rPr>
                <w:sz w:val="22"/>
                <w:szCs w:val="22"/>
              </w:rPr>
            </w:pPr>
            <w:r>
              <w:rPr>
                <w:sz w:val="22"/>
                <w:szCs w:val="22"/>
              </w:rPr>
              <w:t>0,89</w:t>
            </w:r>
          </w:p>
        </w:tc>
        <w:tc>
          <w:tcPr>
            <w:tcW w:w="0" w:type="auto"/>
            <w:shd w:val="clear" w:color="auto" w:fill="auto"/>
          </w:tcPr>
          <w:p w:rsidR="007B2210" w:rsidRPr="005470C1" w:rsidRDefault="000E7E06" w:rsidP="00554A6A">
            <w:pPr>
              <w:jc w:val="center"/>
              <w:rPr>
                <w:sz w:val="22"/>
                <w:szCs w:val="22"/>
              </w:rPr>
            </w:pPr>
            <w:r>
              <w:rPr>
                <w:sz w:val="22"/>
                <w:szCs w:val="22"/>
              </w:rPr>
              <w:t>30,9/23,6</w:t>
            </w:r>
          </w:p>
        </w:tc>
      </w:tr>
      <w:tr w:rsidR="00C27347" w:rsidRPr="00DA2323" w:rsidTr="00514CEC">
        <w:tc>
          <w:tcPr>
            <w:tcW w:w="0" w:type="auto"/>
          </w:tcPr>
          <w:p w:rsidR="007B2210" w:rsidRPr="00181D49" w:rsidRDefault="007E4A7B" w:rsidP="00AF302C">
            <w:pPr>
              <w:autoSpaceDE w:val="0"/>
              <w:autoSpaceDN w:val="0"/>
              <w:adjustRightInd w:val="0"/>
              <w:jc w:val="right"/>
              <w:rPr>
                <w:color w:val="000000"/>
                <w:sz w:val="21"/>
                <w:szCs w:val="21"/>
                <w:lang w:eastAsia="lt-LT"/>
              </w:rPr>
            </w:pPr>
            <w:r>
              <w:rPr>
                <w:color w:val="000000"/>
                <w:sz w:val="21"/>
                <w:szCs w:val="21"/>
                <w:lang w:eastAsia="lt-LT"/>
              </w:rPr>
              <w:t>4.2.1.</w:t>
            </w:r>
          </w:p>
        </w:tc>
        <w:tc>
          <w:tcPr>
            <w:tcW w:w="0" w:type="auto"/>
            <w:shd w:val="clear" w:color="auto" w:fill="auto"/>
          </w:tcPr>
          <w:p w:rsidR="007B2210" w:rsidRPr="00181D49" w:rsidRDefault="007B2210" w:rsidP="00C27347">
            <w:pPr>
              <w:autoSpaceDE w:val="0"/>
              <w:autoSpaceDN w:val="0"/>
              <w:adjustRightInd w:val="0"/>
              <w:rPr>
                <w:color w:val="000000"/>
                <w:sz w:val="21"/>
                <w:szCs w:val="21"/>
                <w:lang w:eastAsia="lt-LT"/>
              </w:rPr>
            </w:pPr>
            <w:r w:rsidRPr="00181D49">
              <w:rPr>
                <w:color w:val="000000"/>
                <w:sz w:val="21"/>
                <w:szCs w:val="21"/>
                <w:lang w:eastAsia="lt-LT"/>
              </w:rPr>
              <w:t xml:space="preserve">nuotekų surinkimo </w:t>
            </w:r>
          </w:p>
        </w:tc>
        <w:tc>
          <w:tcPr>
            <w:tcW w:w="0" w:type="auto"/>
            <w:shd w:val="clear" w:color="auto" w:fill="auto"/>
          </w:tcPr>
          <w:p w:rsidR="007B2210" w:rsidRPr="005470C1" w:rsidRDefault="007B2210" w:rsidP="00554A6A">
            <w:pPr>
              <w:jc w:val="center"/>
              <w:rPr>
                <w:sz w:val="22"/>
                <w:szCs w:val="22"/>
              </w:rPr>
            </w:pPr>
            <w:r>
              <w:rPr>
                <w:sz w:val="22"/>
                <w:szCs w:val="22"/>
              </w:rPr>
              <w:t>0,31</w:t>
            </w:r>
          </w:p>
        </w:tc>
        <w:tc>
          <w:tcPr>
            <w:tcW w:w="0" w:type="auto"/>
            <w:shd w:val="clear" w:color="auto" w:fill="auto"/>
          </w:tcPr>
          <w:p w:rsidR="007B2210" w:rsidRPr="005470C1" w:rsidRDefault="007B2210" w:rsidP="00554A6A">
            <w:pPr>
              <w:jc w:val="center"/>
              <w:rPr>
                <w:sz w:val="22"/>
                <w:szCs w:val="22"/>
              </w:rPr>
            </w:pPr>
            <w:r>
              <w:rPr>
                <w:sz w:val="22"/>
                <w:szCs w:val="22"/>
              </w:rPr>
              <w:t>0,32</w:t>
            </w:r>
          </w:p>
        </w:tc>
        <w:tc>
          <w:tcPr>
            <w:tcW w:w="0" w:type="auto"/>
            <w:shd w:val="clear" w:color="auto" w:fill="auto"/>
          </w:tcPr>
          <w:p w:rsidR="007B2210" w:rsidRPr="005470C1" w:rsidRDefault="007E4A7B" w:rsidP="00554A6A">
            <w:pPr>
              <w:jc w:val="center"/>
              <w:rPr>
                <w:sz w:val="22"/>
                <w:szCs w:val="22"/>
              </w:rPr>
            </w:pPr>
            <w:r>
              <w:rPr>
                <w:sz w:val="22"/>
                <w:szCs w:val="22"/>
              </w:rPr>
              <w:t>0,36</w:t>
            </w:r>
          </w:p>
        </w:tc>
        <w:tc>
          <w:tcPr>
            <w:tcW w:w="0" w:type="auto"/>
            <w:shd w:val="clear" w:color="auto" w:fill="auto"/>
          </w:tcPr>
          <w:p w:rsidR="007B2210" w:rsidRPr="005470C1" w:rsidRDefault="000E7E06" w:rsidP="00554A6A">
            <w:pPr>
              <w:jc w:val="center"/>
              <w:rPr>
                <w:sz w:val="22"/>
                <w:szCs w:val="22"/>
              </w:rPr>
            </w:pPr>
            <w:r>
              <w:rPr>
                <w:sz w:val="22"/>
                <w:szCs w:val="22"/>
              </w:rPr>
              <w:t>16,1/12,5</w:t>
            </w:r>
          </w:p>
        </w:tc>
      </w:tr>
      <w:tr w:rsidR="00C27347" w:rsidRPr="00DA2323" w:rsidTr="00514CEC">
        <w:tc>
          <w:tcPr>
            <w:tcW w:w="0" w:type="auto"/>
          </w:tcPr>
          <w:p w:rsidR="007B2210" w:rsidRPr="00181D49" w:rsidRDefault="007E4A7B" w:rsidP="00AF302C">
            <w:pPr>
              <w:jc w:val="right"/>
              <w:rPr>
                <w:color w:val="000000"/>
                <w:sz w:val="21"/>
                <w:szCs w:val="21"/>
                <w:lang w:eastAsia="lt-LT"/>
              </w:rPr>
            </w:pPr>
            <w:r>
              <w:rPr>
                <w:color w:val="000000"/>
                <w:sz w:val="21"/>
                <w:szCs w:val="21"/>
                <w:lang w:eastAsia="lt-LT"/>
              </w:rPr>
              <w:t>4.2.2.</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nuotekų valymo</w:t>
            </w:r>
          </w:p>
        </w:tc>
        <w:tc>
          <w:tcPr>
            <w:tcW w:w="0" w:type="auto"/>
            <w:shd w:val="clear" w:color="auto" w:fill="auto"/>
          </w:tcPr>
          <w:p w:rsidR="007B2210" w:rsidRPr="005470C1" w:rsidRDefault="007B2210" w:rsidP="00554A6A">
            <w:pPr>
              <w:jc w:val="center"/>
              <w:rPr>
                <w:sz w:val="22"/>
                <w:szCs w:val="22"/>
              </w:rPr>
            </w:pPr>
            <w:r>
              <w:rPr>
                <w:sz w:val="22"/>
                <w:szCs w:val="22"/>
              </w:rPr>
              <w:t>0,22</w:t>
            </w:r>
          </w:p>
        </w:tc>
        <w:tc>
          <w:tcPr>
            <w:tcW w:w="0" w:type="auto"/>
            <w:shd w:val="clear" w:color="auto" w:fill="auto"/>
          </w:tcPr>
          <w:p w:rsidR="007B2210" w:rsidRPr="005470C1" w:rsidRDefault="007B2210" w:rsidP="00554A6A">
            <w:pPr>
              <w:jc w:val="center"/>
              <w:rPr>
                <w:sz w:val="22"/>
                <w:szCs w:val="22"/>
              </w:rPr>
            </w:pPr>
            <w:r>
              <w:rPr>
                <w:sz w:val="22"/>
                <w:szCs w:val="22"/>
              </w:rPr>
              <w:t>0,21</w:t>
            </w:r>
          </w:p>
        </w:tc>
        <w:tc>
          <w:tcPr>
            <w:tcW w:w="0" w:type="auto"/>
            <w:shd w:val="clear" w:color="auto" w:fill="auto"/>
          </w:tcPr>
          <w:p w:rsidR="007B2210" w:rsidRPr="005470C1" w:rsidRDefault="007E4A7B" w:rsidP="00554A6A">
            <w:pPr>
              <w:jc w:val="center"/>
              <w:rPr>
                <w:sz w:val="22"/>
                <w:szCs w:val="22"/>
              </w:rPr>
            </w:pPr>
            <w:r>
              <w:rPr>
                <w:sz w:val="22"/>
                <w:szCs w:val="22"/>
              </w:rPr>
              <w:t>0,27</w:t>
            </w:r>
          </w:p>
        </w:tc>
        <w:tc>
          <w:tcPr>
            <w:tcW w:w="0" w:type="auto"/>
            <w:shd w:val="clear" w:color="auto" w:fill="auto"/>
          </w:tcPr>
          <w:p w:rsidR="007B2210" w:rsidRPr="005470C1" w:rsidRDefault="000E7E06" w:rsidP="00554A6A">
            <w:pPr>
              <w:jc w:val="center"/>
              <w:rPr>
                <w:sz w:val="22"/>
                <w:szCs w:val="22"/>
              </w:rPr>
            </w:pPr>
            <w:r>
              <w:rPr>
                <w:sz w:val="22"/>
                <w:szCs w:val="22"/>
              </w:rPr>
              <w:t>22,7/28,6</w:t>
            </w:r>
          </w:p>
        </w:tc>
      </w:tr>
      <w:tr w:rsidR="00C27347" w:rsidRPr="00DA2323" w:rsidTr="00514CEC">
        <w:tc>
          <w:tcPr>
            <w:tcW w:w="0" w:type="auto"/>
          </w:tcPr>
          <w:p w:rsidR="007B2210" w:rsidRPr="00181D49" w:rsidRDefault="007E4A7B" w:rsidP="00AF302C">
            <w:pPr>
              <w:jc w:val="right"/>
              <w:rPr>
                <w:color w:val="000000"/>
                <w:sz w:val="21"/>
                <w:szCs w:val="21"/>
                <w:lang w:eastAsia="lt-LT"/>
              </w:rPr>
            </w:pPr>
            <w:r>
              <w:rPr>
                <w:color w:val="000000"/>
                <w:sz w:val="21"/>
                <w:szCs w:val="21"/>
                <w:lang w:eastAsia="lt-LT"/>
              </w:rPr>
              <w:t>4.2.3.</w:t>
            </w:r>
          </w:p>
        </w:tc>
        <w:tc>
          <w:tcPr>
            <w:tcW w:w="0" w:type="auto"/>
            <w:shd w:val="clear" w:color="auto" w:fill="auto"/>
          </w:tcPr>
          <w:p w:rsidR="007B2210" w:rsidRPr="00D0090B" w:rsidRDefault="007B2210" w:rsidP="00C27347">
            <w:pPr>
              <w:rPr>
                <w:sz w:val="24"/>
                <w:szCs w:val="24"/>
              </w:rPr>
            </w:pPr>
            <w:r w:rsidRPr="00181D49">
              <w:rPr>
                <w:color w:val="000000"/>
                <w:sz w:val="21"/>
                <w:szCs w:val="21"/>
                <w:lang w:eastAsia="lt-LT"/>
              </w:rPr>
              <w:t>dumblo tvarkymo</w:t>
            </w:r>
          </w:p>
        </w:tc>
        <w:tc>
          <w:tcPr>
            <w:tcW w:w="0" w:type="auto"/>
            <w:shd w:val="clear" w:color="auto" w:fill="auto"/>
          </w:tcPr>
          <w:p w:rsidR="007B2210" w:rsidRPr="005470C1" w:rsidRDefault="007B2210" w:rsidP="00554A6A">
            <w:pPr>
              <w:jc w:val="center"/>
              <w:rPr>
                <w:sz w:val="22"/>
                <w:szCs w:val="22"/>
              </w:rPr>
            </w:pPr>
            <w:r>
              <w:rPr>
                <w:sz w:val="22"/>
                <w:szCs w:val="22"/>
              </w:rPr>
              <w:t>0,15</w:t>
            </w:r>
          </w:p>
        </w:tc>
        <w:tc>
          <w:tcPr>
            <w:tcW w:w="0" w:type="auto"/>
            <w:shd w:val="clear" w:color="auto" w:fill="auto"/>
          </w:tcPr>
          <w:p w:rsidR="007B2210" w:rsidRPr="005470C1" w:rsidRDefault="007B2210" w:rsidP="00554A6A">
            <w:pPr>
              <w:jc w:val="center"/>
              <w:rPr>
                <w:sz w:val="22"/>
                <w:szCs w:val="22"/>
              </w:rPr>
            </w:pPr>
            <w:r>
              <w:rPr>
                <w:sz w:val="22"/>
                <w:szCs w:val="22"/>
              </w:rPr>
              <w:t>0,19</w:t>
            </w:r>
          </w:p>
        </w:tc>
        <w:tc>
          <w:tcPr>
            <w:tcW w:w="0" w:type="auto"/>
            <w:shd w:val="clear" w:color="auto" w:fill="auto"/>
          </w:tcPr>
          <w:p w:rsidR="007B2210" w:rsidRPr="005470C1" w:rsidRDefault="007E4A7B" w:rsidP="00554A6A">
            <w:pPr>
              <w:jc w:val="center"/>
              <w:rPr>
                <w:sz w:val="22"/>
                <w:szCs w:val="22"/>
              </w:rPr>
            </w:pPr>
            <w:r>
              <w:rPr>
                <w:sz w:val="22"/>
                <w:szCs w:val="22"/>
              </w:rPr>
              <w:t>0,26</w:t>
            </w:r>
          </w:p>
        </w:tc>
        <w:tc>
          <w:tcPr>
            <w:tcW w:w="0" w:type="auto"/>
            <w:shd w:val="clear" w:color="auto" w:fill="auto"/>
          </w:tcPr>
          <w:p w:rsidR="007B2210" w:rsidRPr="005470C1" w:rsidRDefault="000E7E06" w:rsidP="00554A6A">
            <w:pPr>
              <w:jc w:val="center"/>
              <w:rPr>
                <w:sz w:val="22"/>
                <w:szCs w:val="22"/>
              </w:rPr>
            </w:pPr>
            <w:r>
              <w:rPr>
                <w:sz w:val="22"/>
                <w:szCs w:val="22"/>
              </w:rPr>
              <w:t>73,3/36,8</w:t>
            </w:r>
          </w:p>
        </w:tc>
      </w:tr>
    </w:tbl>
    <w:p w:rsidR="00D87C1E" w:rsidRDefault="00D87C1E" w:rsidP="002D6879">
      <w:pPr>
        <w:ind w:firstLine="720"/>
        <w:jc w:val="both"/>
        <w:rPr>
          <w:sz w:val="24"/>
          <w:szCs w:val="24"/>
        </w:rPr>
      </w:pPr>
    </w:p>
    <w:p w:rsidR="0052604C" w:rsidRDefault="00CA37C5" w:rsidP="002D6879">
      <w:pPr>
        <w:ind w:firstLine="720"/>
        <w:jc w:val="both"/>
        <w:rPr>
          <w:sz w:val="24"/>
          <w:szCs w:val="24"/>
        </w:rPr>
      </w:pPr>
      <w:r>
        <w:rPr>
          <w:sz w:val="24"/>
          <w:szCs w:val="24"/>
        </w:rPr>
        <w:t>Perskaičiuotų geriamojo vandens tiekimo ir nuotekų tvarkymo paslaugų</w:t>
      </w:r>
      <w:r w:rsidR="009D3A9F">
        <w:rPr>
          <w:sz w:val="24"/>
          <w:szCs w:val="24"/>
        </w:rPr>
        <w:t xml:space="preserve"> bazinių kainų kainodaros taisyklės nurodytos Metodikos </w:t>
      </w:r>
      <w:r w:rsidR="00187AB1">
        <w:rPr>
          <w:sz w:val="24"/>
          <w:szCs w:val="24"/>
        </w:rPr>
        <w:t>24</w:t>
      </w:r>
      <w:r w:rsidR="009D3A9F">
        <w:rPr>
          <w:sz w:val="24"/>
          <w:szCs w:val="24"/>
        </w:rPr>
        <w:t>-</w:t>
      </w:r>
      <w:r w:rsidR="00187AB1">
        <w:rPr>
          <w:sz w:val="24"/>
          <w:szCs w:val="24"/>
        </w:rPr>
        <w:t>2</w:t>
      </w:r>
      <w:r w:rsidR="009D3A9F">
        <w:rPr>
          <w:sz w:val="24"/>
          <w:szCs w:val="24"/>
        </w:rPr>
        <w:t xml:space="preserve">5 punktuose. </w:t>
      </w:r>
      <w:r w:rsidR="0052604C">
        <w:rPr>
          <w:sz w:val="24"/>
          <w:szCs w:val="24"/>
        </w:rPr>
        <w:t xml:space="preserve">Vadovaujantis Metodikos 24 punktu, </w:t>
      </w:r>
      <w:r w:rsidR="0052604C" w:rsidRPr="00105F4F">
        <w:rPr>
          <w:sz w:val="24"/>
          <w:szCs w:val="24"/>
        </w:rPr>
        <w:t xml:space="preserve">geriamojo vandens tiekimo ir nuotekų tvarkymo paslaugų </w:t>
      </w:r>
      <w:r w:rsidR="0052604C">
        <w:rPr>
          <w:sz w:val="24"/>
          <w:szCs w:val="24"/>
        </w:rPr>
        <w:t xml:space="preserve">bazinės </w:t>
      </w:r>
      <w:r w:rsidR="0052604C" w:rsidRPr="00105F4F">
        <w:rPr>
          <w:sz w:val="24"/>
          <w:szCs w:val="24"/>
        </w:rPr>
        <w:t>kain</w:t>
      </w:r>
      <w:r w:rsidR="0052604C">
        <w:rPr>
          <w:sz w:val="24"/>
          <w:szCs w:val="24"/>
        </w:rPr>
        <w:t>os</w:t>
      </w:r>
      <w:r w:rsidR="00F00AD0">
        <w:rPr>
          <w:sz w:val="24"/>
          <w:szCs w:val="24"/>
        </w:rPr>
        <w:t xml:space="preserve"> antrais ir vėlesniais galiojimo metais perskaičiuojamos, atsižvelgiant į efektyvumo koeficientą, realizuotų paslaugų kiekio neatitikimą tarp nustatyto bazinėje kainoje ir faktiškai realizuoto, ilgalaikio turto vienetų nusidėvėjimo (amortizacijos) sąnaudų pokytį dėl naujai pradėtų eksploatuoti ilgalaikio turto, suderinto VERT, vienetų ir nenaudojamo turto vienetų, įvedus į eksploataciją naujus turto vienetus, faktinius įsigyjamo geriamojo vandens ir nuotekų tvarkymo paslaugų kainų pokyčius, faktinius elektros energijos kainų, šilumai naudojamų energetinių išteklių kainų, technologinių medžiagų ir technologinio kuro įsigijimo kainų pokyčius, faktinius mokesčių (gamtos išteklių, aplinkos taršos ir kt.) dydžių pokyčius, Finansų ministerijos skelbiamo darbo užmokesčio pokyčius, investicijų grąžos pokytį, išplaukiantį iš įvykdytų</w:t>
      </w:r>
      <w:r w:rsidR="00725F07">
        <w:rPr>
          <w:sz w:val="24"/>
          <w:szCs w:val="24"/>
        </w:rPr>
        <w:t xml:space="preserve"> investicinių projektų pobūdžio, investicijų grąžos pokytį dėl skolinto kapitalo kainos R</w:t>
      </w:r>
      <w:r w:rsidR="00725F07">
        <w:t xml:space="preserve">d </w:t>
      </w:r>
      <w:r w:rsidR="00725F07" w:rsidRPr="00725F07">
        <w:rPr>
          <w:sz w:val="24"/>
          <w:szCs w:val="24"/>
        </w:rPr>
        <w:t>pokyčio</w:t>
      </w:r>
      <w:r w:rsidR="00725F07">
        <w:rPr>
          <w:sz w:val="24"/>
          <w:szCs w:val="24"/>
        </w:rPr>
        <w:t>, kitus, nuo ūkio subjekto valios nepriklausančių veiksnių nulemtus bei neišvengiamus sąnaudų</w:t>
      </w:r>
      <w:r w:rsidR="00E33DB1">
        <w:rPr>
          <w:sz w:val="24"/>
          <w:szCs w:val="24"/>
        </w:rPr>
        <w:t xml:space="preserve"> </w:t>
      </w:r>
      <w:r w:rsidR="00725F07">
        <w:rPr>
          <w:sz w:val="24"/>
          <w:szCs w:val="24"/>
        </w:rPr>
        <w:t xml:space="preserve">pokyčius, dėl VERT suderintų veiklos ir plėtros </w:t>
      </w:r>
      <w:r w:rsidR="00E33DB1">
        <w:rPr>
          <w:sz w:val="24"/>
          <w:szCs w:val="24"/>
        </w:rPr>
        <w:t>plano investicijų neįvykdymo ar nevisiško įvykdymo, VERT suderintų veiklos ir plėtros plano investicijų antriesiems, tretiesiems bazinių kainų galiojimo metams būtinųjų sąnaudų apimties įtaką, dėl faktinės ataskaitinio laikotarpio ir ūkio subjektui bazinėje kainoje nustatytos investicijų grąžos neatitikties.</w:t>
      </w:r>
    </w:p>
    <w:p w:rsidR="002D6879" w:rsidRDefault="008B31C5" w:rsidP="002D6879">
      <w:pPr>
        <w:ind w:firstLine="720"/>
        <w:jc w:val="both"/>
        <w:rPr>
          <w:sz w:val="24"/>
          <w:szCs w:val="24"/>
        </w:rPr>
      </w:pPr>
      <w:r>
        <w:rPr>
          <w:sz w:val="24"/>
          <w:szCs w:val="24"/>
        </w:rPr>
        <w:t>Pa</w:t>
      </w:r>
      <w:r w:rsidR="002D6879" w:rsidRPr="007C55F3">
        <w:rPr>
          <w:sz w:val="24"/>
          <w:szCs w:val="24"/>
        </w:rPr>
        <w:t xml:space="preserve">grindinės </w:t>
      </w:r>
      <w:r w:rsidR="008B651A">
        <w:rPr>
          <w:sz w:val="24"/>
          <w:szCs w:val="24"/>
        </w:rPr>
        <w:t xml:space="preserve">perskaičiuotų </w:t>
      </w:r>
      <w:r w:rsidR="002D6879" w:rsidRPr="00105F4F">
        <w:rPr>
          <w:sz w:val="24"/>
          <w:szCs w:val="24"/>
        </w:rPr>
        <w:t xml:space="preserve">geriamojo vandens tiekimo ir nuotekų tvarkymo paslaugų </w:t>
      </w:r>
      <w:r w:rsidR="002D6879">
        <w:rPr>
          <w:sz w:val="24"/>
          <w:szCs w:val="24"/>
        </w:rPr>
        <w:t xml:space="preserve">bazinių </w:t>
      </w:r>
      <w:r w:rsidR="002D6879" w:rsidRPr="00105F4F">
        <w:rPr>
          <w:sz w:val="24"/>
          <w:szCs w:val="24"/>
        </w:rPr>
        <w:t xml:space="preserve">kainų </w:t>
      </w:r>
      <w:r w:rsidR="002D6879">
        <w:rPr>
          <w:sz w:val="24"/>
          <w:szCs w:val="24"/>
        </w:rPr>
        <w:t>pasi</w:t>
      </w:r>
      <w:r w:rsidR="002D6879" w:rsidRPr="00105F4F">
        <w:rPr>
          <w:sz w:val="24"/>
          <w:szCs w:val="24"/>
        </w:rPr>
        <w:t xml:space="preserve">keitimo </w:t>
      </w:r>
      <w:r w:rsidR="002D6879" w:rsidRPr="007C55F3">
        <w:rPr>
          <w:sz w:val="24"/>
          <w:szCs w:val="24"/>
        </w:rPr>
        <w:t>priežastys</w:t>
      </w:r>
      <w:r w:rsidR="002D6879">
        <w:rPr>
          <w:sz w:val="24"/>
          <w:szCs w:val="24"/>
        </w:rPr>
        <w:t>:</w:t>
      </w:r>
    </w:p>
    <w:p w:rsidR="00CF0613" w:rsidRDefault="00CF0613" w:rsidP="002D6879">
      <w:pPr>
        <w:ind w:firstLine="720"/>
        <w:jc w:val="both"/>
        <w:rPr>
          <w:sz w:val="24"/>
          <w:szCs w:val="24"/>
        </w:rPr>
      </w:pPr>
      <w:r>
        <w:rPr>
          <w:sz w:val="24"/>
          <w:szCs w:val="24"/>
        </w:rPr>
        <w:t xml:space="preserve">- </w:t>
      </w:r>
      <w:r w:rsidR="006D672A">
        <w:rPr>
          <w:sz w:val="24"/>
          <w:szCs w:val="24"/>
        </w:rPr>
        <w:t>efektyvumo koeficiento pasikeitimas;</w:t>
      </w:r>
    </w:p>
    <w:p w:rsidR="002D6879" w:rsidRDefault="002D6879" w:rsidP="002D6879">
      <w:pPr>
        <w:ind w:firstLine="720"/>
        <w:jc w:val="both"/>
        <w:rPr>
          <w:sz w:val="24"/>
          <w:szCs w:val="24"/>
        </w:rPr>
      </w:pPr>
      <w:r>
        <w:rPr>
          <w:sz w:val="24"/>
          <w:szCs w:val="24"/>
        </w:rPr>
        <w:t>- paslaugų kiekio pasikeitimas;</w:t>
      </w:r>
    </w:p>
    <w:p w:rsidR="008B651A" w:rsidRDefault="002D6879" w:rsidP="002D6879">
      <w:pPr>
        <w:ind w:firstLine="720"/>
        <w:jc w:val="both"/>
        <w:rPr>
          <w:sz w:val="24"/>
          <w:szCs w:val="24"/>
        </w:rPr>
      </w:pPr>
      <w:r>
        <w:rPr>
          <w:sz w:val="24"/>
          <w:szCs w:val="24"/>
        </w:rPr>
        <w:t xml:space="preserve">- </w:t>
      </w:r>
      <w:r w:rsidR="00553B6B">
        <w:rPr>
          <w:sz w:val="24"/>
          <w:szCs w:val="24"/>
        </w:rPr>
        <w:t>įvykdytų investicijų</w:t>
      </w:r>
      <w:r w:rsidR="005C6EF5">
        <w:rPr>
          <w:sz w:val="24"/>
          <w:szCs w:val="24"/>
        </w:rPr>
        <w:t xml:space="preserve"> </w:t>
      </w:r>
      <w:r>
        <w:rPr>
          <w:sz w:val="24"/>
          <w:szCs w:val="24"/>
        </w:rPr>
        <w:t>nusidėvėjimo</w:t>
      </w:r>
      <w:r w:rsidR="005C6EF5">
        <w:rPr>
          <w:sz w:val="24"/>
          <w:szCs w:val="24"/>
        </w:rPr>
        <w:t xml:space="preserve"> (amortizacijos)</w:t>
      </w:r>
      <w:r>
        <w:rPr>
          <w:sz w:val="24"/>
          <w:szCs w:val="24"/>
        </w:rPr>
        <w:t xml:space="preserve"> sąnaudų pokytis</w:t>
      </w:r>
      <w:r w:rsidR="008B651A">
        <w:rPr>
          <w:sz w:val="24"/>
          <w:szCs w:val="24"/>
        </w:rPr>
        <w:t>;</w:t>
      </w:r>
    </w:p>
    <w:p w:rsidR="002D6879" w:rsidRDefault="008B651A" w:rsidP="008B651A">
      <w:pPr>
        <w:jc w:val="both"/>
        <w:rPr>
          <w:sz w:val="24"/>
          <w:szCs w:val="24"/>
        </w:rPr>
      </w:pPr>
      <w:r>
        <w:rPr>
          <w:sz w:val="24"/>
          <w:szCs w:val="24"/>
        </w:rPr>
        <w:t xml:space="preserve">           </w:t>
      </w:r>
      <w:r w:rsidR="002D6879">
        <w:rPr>
          <w:sz w:val="24"/>
          <w:szCs w:val="24"/>
        </w:rPr>
        <w:t xml:space="preserve"> - gamtos išteklių </w:t>
      </w:r>
      <w:r w:rsidR="006D672A">
        <w:rPr>
          <w:sz w:val="24"/>
          <w:szCs w:val="24"/>
        </w:rPr>
        <w:t xml:space="preserve">ir aplinkos taršos </w:t>
      </w:r>
      <w:r w:rsidR="002D6879">
        <w:rPr>
          <w:sz w:val="24"/>
          <w:szCs w:val="24"/>
        </w:rPr>
        <w:t>mokesči</w:t>
      </w:r>
      <w:r w:rsidR="006D672A">
        <w:rPr>
          <w:sz w:val="24"/>
          <w:szCs w:val="24"/>
        </w:rPr>
        <w:t>ų</w:t>
      </w:r>
      <w:r w:rsidR="002D6879">
        <w:rPr>
          <w:sz w:val="24"/>
          <w:szCs w:val="24"/>
        </w:rPr>
        <w:t xml:space="preserve"> tarif</w:t>
      </w:r>
      <w:r w:rsidR="006D672A">
        <w:rPr>
          <w:sz w:val="24"/>
          <w:szCs w:val="24"/>
        </w:rPr>
        <w:t>ų</w:t>
      </w:r>
      <w:r w:rsidR="002D6879">
        <w:rPr>
          <w:sz w:val="24"/>
          <w:szCs w:val="24"/>
        </w:rPr>
        <w:t xml:space="preserve"> pokytis;</w:t>
      </w:r>
    </w:p>
    <w:p w:rsidR="004B5005" w:rsidRDefault="004B5005" w:rsidP="002D6879">
      <w:pPr>
        <w:ind w:firstLine="720"/>
        <w:jc w:val="both"/>
        <w:rPr>
          <w:sz w:val="24"/>
          <w:szCs w:val="24"/>
        </w:rPr>
      </w:pPr>
      <w:r>
        <w:rPr>
          <w:sz w:val="24"/>
          <w:szCs w:val="24"/>
        </w:rPr>
        <w:t>- Finansų ministerijos skelbiam</w:t>
      </w:r>
      <w:r w:rsidR="00D87C1E">
        <w:rPr>
          <w:sz w:val="24"/>
          <w:szCs w:val="24"/>
        </w:rPr>
        <w:t>o</w:t>
      </w:r>
      <w:r>
        <w:rPr>
          <w:sz w:val="24"/>
          <w:szCs w:val="24"/>
        </w:rPr>
        <w:t xml:space="preserve"> darbo užmokesčio pokytis;</w:t>
      </w:r>
    </w:p>
    <w:p w:rsidR="005C6EF5" w:rsidRDefault="005C6EF5" w:rsidP="002D6879">
      <w:pPr>
        <w:ind w:firstLine="720"/>
        <w:jc w:val="both"/>
        <w:rPr>
          <w:sz w:val="24"/>
          <w:szCs w:val="24"/>
        </w:rPr>
      </w:pPr>
      <w:r>
        <w:rPr>
          <w:sz w:val="24"/>
          <w:szCs w:val="24"/>
        </w:rPr>
        <w:t xml:space="preserve">- </w:t>
      </w:r>
      <w:r w:rsidR="008B651A">
        <w:rPr>
          <w:sz w:val="24"/>
          <w:szCs w:val="24"/>
        </w:rPr>
        <w:t xml:space="preserve">perskaičiuoto </w:t>
      </w:r>
      <w:r>
        <w:rPr>
          <w:sz w:val="24"/>
          <w:szCs w:val="24"/>
        </w:rPr>
        <w:t>investicijų grąžos pokyčio</w:t>
      </w:r>
      <w:r w:rsidR="008B651A">
        <w:rPr>
          <w:sz w:val="24"/>
          <w:szCs w:val="24"/>
        </w:rPr>
        <w:t>;</w:t>
      </w:r>
    </w:p>
    <w:p w:rsidR="002D6879" w:rsidRDefault="002D6879" w:rsidP="002D6879">
      <w:pPr>
        <w:ind w:firstLine="720"/>
        <w:jc w:val="both"/>
        <w:rPr>
          <w:sz w:val="24"/>
          <w:szCs w:val="24"/>
        </w:rPr>
      </w:pPr>
      <w:r>
        <w:rPr>
          <w:sz w:val="24"/>
          <w:szCs w:val="24"/>
        </w:rPr>
        <w:t xml:space="preserve">- kitų, nuo </w:t>
      </w:r>
      <w:r w:rsidR="00A37C03">
        <w:rPr>
          <w:sz w:val="24"/>
          <w:szCs w:val="24"/>
        </w:rPr>
        <w:t>ūkio subjekto</w:t>
      </w:r>
      <w:r>
        <w:rPr>
          <w:sz w:val="24"/>
          <w:szCs w:val="24"/>
        </w:rPr>
        <w:t xml:space="preserve"> valios</w:t>
      </w:r>
      <w:r w:rsidR="00A37C03">
        <w:rPr>
          <w:sz w:val="24"/>
          <w:szCs w:val="24"/>
        </w:rPr>
        <w:t xml:space="preserve"> neprikl</w:t>
      </w:r>
      <w:r w:rsidR="00DE2749">
        <w:rPr>
          <w:sz w:val="24"/>
          <w:szCs w:val="24"/>
        </w:rPr>
        <w:t>a</w:t>
      </w:r>
      <w:r w:rsidR="00A37C03">
        <w:rPr>
          <w:sz w:val="24"/>
          <w:szCs w:val="24"/>
        </w:rPr>
        <w:t>usančių vei</w:t>
      </w:r>
      <w:r w:rsidR="00DE2749">
        <w:rPr>
          <w:sz w:val="24"/>
          <w:szCs w:val="24"/>
        </w:rPr>
        <w:t>k</w:t>
      </w:r>
      <w:r w:rsidR="00A37C03">
        <w:rPr>
          <w:sz w:val="24"/>
          <w:szCs w:val="24"/>
        </w:rPr>
        <w:t>snių nulemtų</w:t>
      </w:r>
      <w:r w:rsidR="00DE2749">
        <w:rPr>
          <w:sz w:val="24"/>
          <w:szCs w:val="24"/>
        </w:rPr>
        <w:t xml:space="preserve"> bei neišvengiamų</w:t>
      </w:r>
      <w:r>
        <w:rPr>
          <w:sz w:val="24"/>
          <w:szCs w:val="24"/>
        </w:rPr>
        <w:t xml:space="preserve">, </w:t>
      </w:r>
      <w:r w:rsidR="00DE2749">
        <w:rPr>
          <w:sz w:val="24"/>
          <w:szCs w:val="24"/>
        </w:rPr>
        <w:t xml:space="preserve">sąnaudų </w:t>
      </w:r>
      <w:r>
        <w:rPr>
          <w:sz w:val="24"/>
          <w:szCs w:val="24"/>
        </w:rPr>
        <w:t>pokytis.</w:t>
      </w:r>
    </w:p>
    <w:p w:rsidR="002D6879" w:rsidRDefault="00EB626D" w:rsidP="00EB626D">
      <w:pPr>
        <w:ind w:firstLine="720"/>
        <w:jc w:val="both"/>
        <w:rPr>
          <w:sz w:val="24"/>
          <w:szCs w:val="24"/>
        </w:rPr>
      </w:pPr>
      <w:r w:rsidRPr="003E74A9">
        <w:rPr>
          <w:sz w:val="24"/>
          <w:szCs w:val="24"/>
        </w:rPr>
        <w:t xml:space="preserve">Atsiskaitomųjų apskaitos prietaisų priežiūros ir vartotojų aptarnavimo paslaugos kaina vartotojams išlieka ta pati. </w:t>
      </w:r>
    </w:p>
    <w:p w:rsidR="008D3CE1" w:rsidRDefault="008D3CE1" w:rsidP="00DD72E7">
      <w:pPr>
        <w:ind w:firstLine="720"/>
        <w:rPr>
          <w:b/>
          <w:sz w:val="24"/>
          <w:szCs w:val="24"/>
          <w:lang w:val="sv-SE"/>
        </w:rPr>
      </w:pPr>
      <w:r w:rsidRPr="00577078">
        <w:rPr>
          <w:b/>
          <w:sz w:val="24"/>
          <w:szCs w:val="24"/>
          <w:lang w:val="sv-SE"/>
        </w:rPr>
        <w:t>5. Galimos neigiamos pasekmės priėmus sprendimą, kokių priemonių reikėtų imtis, kad tokių pasekmių būtų išvengta:</w:t>
      </w:r>
    </w:p>
    <w:p w:rsidR="008D3CE1" w:rsidRPr="00577078" w:rsidRDefault="00DD72E7" w:rsidP="00222A58">
      <w:pPr>
        <w:ind w:firstLine="720"/>
        <w:jc w:val="both"/>
        <w:rPr>
          <w:sz w:val="24"/>
          <w:szCs w:val="24"/>
          <w:lang w:val="sv-SE"/>
        </w:rPr>
      </w:pPr>
      <w:r>
        <w:rPr>
          <w:sz w:val="24"/>
          <w:szCs w:val="24"/>
          <w:lang w:val="sv-SE"/>
        </w:rPr>
        <w:t>Neigiamų pasekmių nesitikima.</w:t>
      </w:r>
      <w:r w:rsidR="00222A58">
        <w:rPr>
          <w:sz w:val="24"/>
          <w:szCs w:val="24"/>
          <w:lang w:val="sv-SE"/>
        </w:rPr>
        <w:t xml:space="preserve"> Savivaldybės tarybai nustačius naujas </w:t>
      </w:r>
      <w:r w:rsidR="0023056F">
        <w:rPr>
          <w:sz w:val="24"/>
          <w:szCs w:val="24"/>
          <w:lang w:val="sv-SE"/>
        </w:rPr>
        <w:t xml:space="preserve">perskaičiuotas </w:t>
      </w:r>
      <w:r w:rsidR="00222A58">
        <w:rPr>
          <w:sz w:val="24"/>
          <w:szCs w:val="24"/>
          <w:lang w:val="sv-SE"/>
        </w:rPr>
        <w:t xml:space="preserve">geriamojo vandens tiekimo ir nuotekų tvarkymo paslaugų </w:t>
      </w:r>
      <w:r w:rsidR="00420401">
        <w:rPr>
          <w:sz w:val="24"/>
          <w:szCs w:val="24"/>
          <w:lang w:val="sv-SE"/>
        </w:rPr>
        <w:t xml:space="preserve">bazines </w:t>
      </w:r>
      <w:r w:rsidR="00222A58">
        <w:rPr>
          <w:sz w:val="24"/>
          <w:szCs w:val="24"/>
          <w:lang w:val="sv-SE"/>
        </w:rPr>
        <w:t>kainas, UAB „Aukštaitijos vandenys“ aptarnaujamoje licencijuojamoje teritorijoje vartotojų mokama suma už paslaugas sudarys 0,</w:t>
      </w:r>
      <w:r w:rsidR="007459A5">
        <w:rPr>
          <w:sz w:val="24"/>
          <w:szCs w:val="24"/>
          <w:lang w:val="sv-SE"/>
        </w:rPr>
        <w:t>87</w:t>
      </w:r>
      <w:r w:rsidR="00222A58">
        <w:rPr>
          <w:sz w:val="24"/>
          <w:szCs w:val="24"/>
          <w:lang w:val="sv-SE"/>
        </w:rPr>
        <w:t xml:space="preserve"> proc. vidutinių šeimos pajamų, t.y. neviršys 4,0 proc. vidutinių šeimos pajamų.</w:t>
      </w:r>
    </w:p>
    <w:p w:rsidR="008D3CE1" w:rsidRDefault="008D3CE1" w:rsidP="00222A58">
      <w:pPr>
        <w:ind w:firstLine="720"/>
        <w:rPr>
          <w:sz w:val="24"/>
          <w:szCs w:val="24"/>
          <w:lang w:val="sv-SE"/>
        </w:rPr>
      </w:pPr>
      <w:r w:rsidRPr="00577078">
        <w:rPr>
          <w:b/>
          <w:sz w:val="24"/>
          <w:szCs w:val="24"/>
          <w:lang w:val="sv-SE"/>
        </w:rPr>
        <w:t>6. Kieno iniciatyva parengtas sprendimo projektas</w:t>
      </w:r>
      <w:r w:rsidRPr="00577078">
        <w:rPr>
          <w:sz w:val="24"/>
          <w:szCs w:val="24"/>
          <w:lang w:val="sv-SE"/>
        </w:rPr>
        <w:t>:</w:t>
      </w:r>
    </w:p>
    <w:p w:rsidR="000E746D" w:rsidRPr="00203A34" w:rsidRDefault="008D3CE1" w:rsidP="000E746D">
      <w:pPr>
        <w:ind w:firstLine="720"/>
        <w:jc w:val="both"/>
        <w:rPr>
          <w:sz w:val="24"/>
          <w:szCs w:val="24"/>
          <w:lang w:val="sv-SE"/>
        </w:rPr>
      </w:pPr>
      <w:r>
        <w:rPr>
          <w:sz w:val="24"/>
          <w:szCs w:val="24"/>
          <w:lang w:val="sv-SE"/>
        </w:rPr>
        <w:t xml:space="preserve">Sprendimo projektas parengtas </w:t>
      </w:r>
      <w:r w:rsidR="00513206">
        <w:rPr>
          <w:sz w:val="24"/>
          <w:szCs w:val="24"/>
          <w:lang w:val="sv-SE"/>
        </w:rPr>
        <w:t xml:space="preserve">Savivaldybės administracijos pagal </w:t>
      </w:r>
      <w:r w:rsidR="007B0CF0">
        <w:rPr>
          <w:sz w:val="24"/>
          <w:szCs w:val="24"/>
          <w:lang w:val="sv-SE"/>
        </w:rPr>
        <w:t>UAB „Aukštaitijos vandenys“</w:t>
      </w:r>
      <w:r w:rsidR="00513206">
        <w:rPr>
          <w:sz w:val="24"/>
          <w:szCs w:val="24"/>
          <w:lang w:val="sv-SE"/>
        </w:rPr>
        <w:t xml:space="preserve"> 20</w:t>
      </w:r>
      <w:r w:rsidR="00B22BE6">
        <w:rPr>
          <w:sz w:val="24"/>
          <w:szCs w:val="24"/>
          <w:lang w:val="sv-SE"/>
        </w:rPr>
        <w:t>2</w:t>
      </w:r>
      <w:r w:rsidR="00176767">
        <w:rPr>
          <w:sz w:val="24"/>
          <w:szCs w:val="24"/>
          <w:lang w:val="sv-SE"/>
        </w:rPr>
        <w:t>1</w:t>
      </w:r>
      <w:r w:rsidR="00513206">
        <w:rPr>
          <w:sz w:val="24"/>
          <w:szCs w:val="24"/>
          <w:lang w:val="sv-SE"/>
        </w:rPr>
        <w:t xml:space="preserve"> m. </w:t>
      </w:r>
      <w:r w:rsidR="00A86083">
        <w:rPr>
          <w:sz w:val="24"/>
          <w:szCs w:val="24"/>
          <w:lang w:val="sv-SE"/>
        </w:rPr>
        <w:t>lapkriči</w:t>
      </w:r>
      <w:r w:rsidR="00513206">
        <w:rPr>
          <w:sz w:val="24"/>
          <w:szCs w:val="24"/>
          <w:lang w:val="sv-SE"/>
        </w:rPr>
        <w:t xml:space="preserve">o </w:t>
      </w:r>
      <w:r w:rsidR="00A86083">
        <w:rPr>
          <w:sz w:val="24"/>
          <w:szCs w:val="24"/>
          <w:lang w:val="sv-SE"/>
        </w:rPr>
        <w:t>30</w:t>
      </w:r>
      <w:r w:rsidR="00513206">
        <w:rPr>
          <w:sz w:val="24"/>
          <w:szCs w:val="24"/>
          <w:lang w:val="sv-SE"/>
        </w:rPr>
        <w:t xml:space="preserve"> d. raštą Nr. </w:t>
      </w:r>
      <w:r w:rsidR="00B22BE6">
        <w:rPr>
          <w:sz w:val="24"/>
          <w:szCs w:val="24"/>
          <w:lang w:val="sv-SE"/>
        </w:rPr>
        <w:t>S</w:t>
      </w:r>
      <w:r w:rsidR="00513206">
        <w:rPr>
          <w:sz w:val="24"/>
          <w:szCs w:val="24"/>
          <w:lang w:val="sv-SE"/>
        </w:rPr>
        <w:t>2.</w:t>
      </w:r>
      <w:r w:rsidR="00A86083">
        <w:rPr>
          <w:sz w:val="24"/>
          <w:szCs w:val="24"/>
          <w:lang w:val="sv-SE"/>
        </w:rPr>
        <w:t>2</w:t>
      </w:r>
      <w:r w:rsidR="00513206">
        <w:rPr>
          <w:sz w:val="24"/>
          <w:szCs w:val="24"/>
          <w:lang w:val="sv-SE"/>
        </w:rPr>
        <w:t>-</w:t>
      </w:r>
      <w:r w:rsidR="00A86083">
        <w:rPr>
          <w:sz w:val="24"/>
          <w:szCs w:val="24"/>
          <w:lang w:val="sv-SE"/>
        </w:rPr>
        <w:t>919</w:t>
      </w:r>
      <w:r w:rsidR="007B0CF0">
        <w:rPr>
          <w:sz w:val="24"/>
          <w:szCs w:val="24"/>
          <w:lang w:val="sv-SE"/>
        </w:rPr>
        <w:t xml:space="preserve"> </w:t>
      </w:r>
      <w:r w:rsidR="00513206">
        <w:rPr>
          <w:sz w:val="24"/>
          <w:szCs w:val="24"/>
          <w:lang w:val="sv-SE"/>
        </w:rPr>
        <w:t>„Dėl</w:t>
      </w:r>
      <w:r w:rsidR="004A6176">
        <w:rPr>
          <w:sz w:val="24"/>
          <w:szCs w:val="24"/>
          <w:lang w:val="sv-SE"/>
        </w:rPr>
        <w:t xml:space="preserve"> </w:t>
      </w:r>
      <w:r w:rsidR="00B22BE6">
        <w:rPr>
          <w:sz w:val="24"/>
          <w:szCs w:val="24"/>
          <w:lang w:val="sv-SE"/>
        </w:rPr>
        <w:t>UAB</w:t>
      </w:r>
      <w:r w:rsidR="000E746D">
        <w:rPr>
          <w:sz w:val="24"/>
          <w:szCs w:val="24"/>
          <w:lang w:val="sv-SE"/>
        </w:rPr>
        <w:t xml:space="preserve"> </w:t>
      </w:r>
      <w:r w:rsidR="004A6176">
        <w:rPr>
          <w:sz w:val="24"/>
          <w:szCs w:val="24"/>
          <w:lang w:val="sv-SE"/>
        </w:rPr>
        <w:t>„</w:t>
      </w:r>
      <w:r w:rsidR="00513206">
        <w:rPr>
          <w:sz w:val="24"/>
          <w:szCs w:val="24"/>
          <w:lang w:val="sv-SE"/>
        </w:rPr>
        <w:t xml:space="preserve">Aukštaitijos vandenys“ </w:t>
      </w:r>
      <w:r w:rsidR="0023056F">
        <w:rPr>
          <w:sz w:val="24"/>
          <w:szCs w:val="24"/>
          <w:lang w:val="sv-SE"/>
        </w:rPr>
        <w:t xml:space="preserve">perskaičiuotų </w:t>
      </w:r>
      <w:r w:rsidR="00513206">
        <w:rPr>
          <w:sz w:val="24"/>
          <w:szCs w:val="24"/>
          <w:lang w:val="sv-SE"/>
        </w:rPr>
        <w:t>geriamojo vandens tiekimo ir nuotekų tvarkymo paslaugų bazinių kainų nustatymo“</w:t>
      </w:r>
      <w:r w:rsidR="000E746D">
        <w:rPr>
          <w:sz w:val="24"/>
          <w:szCs w:val="24"/>
          <w:lang w:val="sv-SE"/>
        </w:rPr>
        <w:t>, atsižvelgiant į VERT 2021 m. lapkričio 29 d. nutarimu Nr. O3E-1599 „</w:t>
      </w:r>
      <w:r w:rsidR="000E746D" w:rsidRPr="00203A34">
        <w:rPr>
          <w:sz w:val="24"/>
          <w:szCs w:val="24"/>
          <w:lang w:val="sv-SE"/>
        </w:rPr>
        <w:t xml:space="preserve">Dėl </w:t>
      </w:r>
      <w:r w:rsidR="000E746D">
        <w:rPr>
          <w:sz w:val="24"/>
          <w:szCs w:val="24"/>
          <w:lang w:val="sv-SE"/>
        </w:rPr>
        <w:t>UAB</w:t>
      </w:r>
      <w:r w:rsidR="000E746D" w:rsidRPr="00203A34">
        <w:rPr>
          <w:sz w:val="24"/>
          <w:szCs w:val="24"/>
          <w:lang w:val="sv-SE"/>
        </w:rPr>
        <w:t xml:space="preserve"> „Aukštaitijos vandenys“ perskaičiuotų geriamojo vandens tiekimo ir nuotekų tvarkymo paslaugų bazinių kainų derinimo“ suderin</w:t>
      </w:r>
      <w:r w:rsidR="000E746D">
        <w:rPr>
          <w:sz w:val="24"/>
          <w:szCs w:val="24"/>
          <w:lang w:val="sv-SE"/>
        </w:rPr>
        <w:t>tas</w:t>
      </w:r>
      <w:r w:rsidR="000E746D" w:rsidRPr="00203A34">
        <w:rPr>
          <w:sz w:val="24"/>
          <w:szCs w:val="24"/>
          <w:lang w:val="sv-SE"/>
        </w:rPr>
        <w:t xml:space="preserve"> UAB „Aukštaitijos vandenys“ perskaičiuotas geriamojo vandens tiekimo ir nuotekų tvarkymo paslaugų bazines kainas (be PVM).</w:t>
      </w:r>
    </w:p>
    <w:p w:rsidR="004A6ED7" w:rsidRDefault="004A6ED7" w:rsidP="00F359C0">
      <w:pPr>
        <w:ind w:firstLine="720"/>
        <w:jc w:val="both"/>
        <w:rPr>
          <w:sz w:val="24"/>
          <w:szCs w:val="24"/>
          <w:lang w:val="sv-SE"/>
        </w:rPr>
      </w:pPr>
    </w:p>
    <w:p w:rsidR="00A86083" w:rsidRDefault="008D3CE1" w:rsidP="00F359C0">
      <w:pPr>
        <w:ind w:firstLine="720"/>
        <w:jc w:val="both"/>
        <w:rPr>
          <w:sz w:val="24"/>
          <w:szCs w:val="24"/>
          <w:lang w:val="sv-SE"/>
        </w:rPr>
      </w:pPr>
      <w:r>
        <w:rPr>
          <w:sz w:val="24"/>
          <w:szCs w:val="24"/>
          <w:lang w:val="sv-SE"/>
        </w:rPr>
        <w:t>P</w:t>
      </w:r>
      <w:r w:rsidR="00420401">
        <w:rPr>
          <w:sz w:val="24"/>
          <w:szCs w:val="24"/>
          <w:lang w:val="sv-SE"/>
        </w:rPr>
        <w:t>RIDEDAMA</w:t>
      </w:r>
      <w:r w:rsidR="00A86083">
        <w:rPr>
          <w:sz w:val="24"/>
          <w:szCs w:val="24"/>
          <w:lang w:val="sv-SE"/>
        </w:rPr>
        <w:t>.</w:t>
      </w:r>
      <w:r w:rsidR="00970828">
        <w:rPr>
          <w:sz w:val="24"/>
          <w:szCs w:val="24"/>
          <w:lang w:val="sv-SE"/>
        </w:rPr>
        <w:t xml:space="preserve"> </w:t>
      </w:r>
    </w:p>
    <w:p w:rsidR="005070EC" w:rsidRDefault="00A86083" w:rsidP="00F359C0">
      <w:pPr>
        <w:ind w:firstLine="720"/>
        <w:jc w:val="both"/>
        <w:rPr>
          <w:sz w:val="24"/>
          <w:szCs w:val="24"/>
          <w:lang w:val="sv-SE"/>
        </w:rPr>
      </w:pPr>
      <w:r>
        <w:rPr>
          <w:sz w:val="24"/>
          <w:szCs w:val="24"/>
          <w:lang w:val="sv-SE"/>
        </w:rPr>
        <w:t xml:space="preserve">1. </w:t>
      </w:r>
      <w:r w:rsidR="005070EC">
        <w:rPr>
          <w:sz w:val="24"/>
          <w:szCs w:val="24"/>
          <w:lang w:val="sv-SE"/>
        </w:rPr>
        <w:t>UAB „Aukštaitijos vandenys“</w:t>
      </w:r>
      <w:r w:rsidR="00B9466D">
        <w:rPr>
          <w:sz w:val="24"/>
          <w:szCs w:val="24"/>
          <w:lang w:val="sv-SE"/>
        </w:rPr>
        <w:t xml:space="preserve"> </w:t>
      </w:r>
      <w:r>
        <w:rPr>
          <w:sz w:val="24"/>
          <w:szCs w:val="24"/>
          <w:lang w:val="sv-SE"/>
        </w:rPr>
        <w:t>2021 m. lapkričio 30 d. raštas Nr. S2.2-919</w:t>
      </w:r>
      <w:r w:rsidR="00B9466D">
        <w:rPr>
          <w:sz w:val="24"/>
          <w:szCs w:val="24"/>
          <w:lang w:val="sv-SE"/>
        </w:rPr>
        <w:t xml:space="preserve"> „Dėl</w:t>
      </w:r>
      <w:r w:rsidR="00F803A4">
        <w:rPr>
          <w:sz w:val="24"/>
          <w:szCs w:val="24"/>
          <w:lang w:val="sv-SE"/>
        </w:rPr>
        <w:t xml:space="preserve"> </w:t>
      </w:r>
      <w:r w:rsidR="00B22BE6">
        <w:rPr>
          <w:sz w:val="24"/>
          <w:szCs w:val="24"/>
          <w:lang w:val="sv-SE"/>
        </w:rPr>
        <w:t>UAB</w:t>
      </w:r>
      <w:r w:rsidR="00F803A4">
        <w:rPr>
          <w:sz w:val="24"/>
          <w:szCs w:val="24"/>
          <w:lang w:val="sv-SE"/>
        </w:rPr>
        <w:t xml:space="preserve"> </w:t>
      </w:r>
      <w:r w:rsidR="00B22BE6">
        <w:rPr>
          <w:sz w:val="24"/>
          <w:szCs w:val="24"/>
          <w:lang w:val="sv-SE"/>
        </w:rPr>
        <w:t>„</w:t>
      </w:r>
      <w:r w:rsidR="00B9466D">
        <w:rPr>
          <w:sz w:val="24"/>
          <w:szCs w:val="24"/>
          <w:lang w:val="sv-SE"/>
        </w:rPr>
        <w:t xml:space="preserve">Aukštaitijos vandenys“ </w:t>
      </w:r>
      <w:r w:rsidR="0023056F">
        <w:rPr>
          <w:sz w:val="24"/>
          <w:szCs w:val="24"/>
          <w:lang w:val="sv-SE"/>
        </w:rPr>
        <w:t xml:space="preserve">perskaičiuotų </w:t>
      </w:r>
      <w:r w:rsidR="00B9466D">
        <w:rPr>
          <w:sz w:val="24"/>
          <w:szCs w:val="24"/>
          <w:lang w:val="sv-SE"/>
        </w:rPr>
        <w:t xml:space="preserve">geriamojo vandens tiekimo ir nuotekų tvarkymo paslaugų </w:t>
      </w:r>
      <w:r w:rsidR="00F359C0">
        <w:rPr>
          <w:sz w:val="24"/>
          <w:szCs w:val="24"/>
          <w:lang w:val="sv-SE"/>
        </w:rPr>
        <w:t xml:space="preserve">bazinių </w:t>
      </w:r>
      <w:r w:rsidR="00B9466D">
        <w:rPr>
          <w:sz w:val="24"/>
          <w:szCs w:val="24"/>
          <w:lang w:val="sv-SE"/>
        </w:rPr>
        <w:t xml:space="preserve">kainų </w:t>
      </w:r>
      <w:r w:rsidR="00F359C0">
        <w:rPr>
          <w:sz w:val="24"/>
          <w:szCs w:val="24"/>
          <w:lang w:val="sv-SE"/>
        </w:rPr>
        <w:t>nustaty</w:t>
      </w:r>
      <w:r w:rsidR="00B9466D">
        <w:rPr>
          <w:sz w:val="24"/>
          <w:szCs w:val="24"/>
          <w:lang w:val="sv-SE"/>
        </w:rPr>
        <w:t>mo“</w:t>
      </w:r>
      <w:r w:rsidR="00B22BE6">
        <w:rPr>
          <w:sz w:val="24"/>
          <w:szCs w:val="24"/>
          <w:lang w:val="sv-SE"/>
        </w:rPr>
        <w:t>,</w:t>
      </w:r>
      <w:r w:rsidR="00B9466D">
        <w:rPr>
          <w:sz w:val="24"/>
          <w:szCs w:val="24"/>
          <w:lang w:val="sv-SE"/>
        </w:rPr>
        <w:t xml:space="preserve"> </w:t>
      </w:r>
      <w:r>
        <w:rPr>
          <w:sz w:val="24"/>
          <w:szCs w:val="24"/>
          <w:lang w:val="sv-SE"/>
        </w:rPr>
        <w:t xml:space="preserve">39 </w:t>
      </w:r>
      <w:r w:rsidR="00B9466D">
        <w:rPr>
          <w:sz w:val="24"/>
          <w:szCs w:val="24"/>
          <w:lang w:val="sv-SE"/>
        </w:rPr>
        <w:t>lapai</w:t>
      </w:r>
      <w:r>
        <w:rPr>
          <w:sz w:val="24"/>
          <w:szCs w:val="24"/>
          <w:lang w:val="sv-SE"/>
        </w:rPr>
        <w:t>.</w:t>
      </w:r>
    </w:p>
    <w:p w:rsidR="005321EB" w:rsidRDefault="00A86083" w:rsidP="00F359C0">
      <w:pPr>
        <w:ind w:firstLine="720"/>
        <w:jc w:val="both"/>
        <w:rPr>
          <w:sz w:val="24"/>
          <w:szCs w:val="24"/>
          <w:lang w:val="sv-SE"/>
        </w:rPr>
      </w:pPr>
      <w:r>
        <w:rPr>
          <w:sz w:val="24"/>
          <w:szCs w:val="24"/>
          <w:lang w:val="sv-SE"/>
        </w:rPr>
        <w:t>2</w:t>
      </w:r>
      <w:r w:rsidR="000844DC">
        <w:rPr>
          <w:sz w:val="24"/>
          <w:szCs w:val="24"/>
          <w:lang w:val="sv-SE"/>
        </w:rPr>
        <w:t>. Panevėžio miesto savivaldybės tarybos 20</w:t>
      </w:r>
      <w:r w:rsidR="00F359C0">
        <w:rPr>
          <w:sz w:val="24"/>
          <w:szCs w:val="24"/>
          <w:lang w:val="sv-SE"/>
        </w:rPr>
        <w:t>1</w:t>
      </w:r>
      <w:r w:rsidR="00970828">
        <w:rPr>
          <w:sz w:val="24"/>
          <w:szCs w:val="24"/>
          <w:lang w:val="sv-SE"/>
        </w:rPr>
        <w:t>9</w:t>
      </w:r>
      <w:r w:rsidR="000844DC">
        <w:rPr>
          <w:sz w:val="24"/>
          <w:szCs w:val="24"/>
          <w:lang w:val="sv-SE"/>
        </w:rPr>
        <w:t xml:space="preserve"> m. </w:t>
      </w:r>
      <w:r w:rsidR="0023056F">
        <w:rPr>
          <w:sz w:val="24"/>
          <w:szCs w:val="24"/>
          <w:lang w:val="sv-SE"/>
        </w:rPr>
        <w:t>b</w:t>
      </w:r>
      <w:r w:rsidR="00970828">
        <w:rPr>
          <w:sz w:val="24"/>
          <w:szCs w:val="24"/>
          <w:lang w:val="sv-SE"/>
        </w:rPr>
        <w:t>aland</w:t>
      </w:r>
      <w:r w:rsidR="0023056F">
        <w:rPr>
          <w:sz w:val="24"/>
          <w:szCs w:val="24"/>
          <w:lang w:val="sv-SE"/>
        </w:rPr>
        <w:t>ži</w:t>
      </w:r>
      <w:r w:rsidR="00F359C0">
        <w:rPr>
          <w:sz w:val="24"/>
          <w:szCs w:val="24"/>
          <w:lang w:val="sv-SE"/>
        </w:rPr>
        <w:t>o</w:t>
      </w:r>
      <w:r w:rsidR="000844DC">
        <w:rPr>
          <w:sz w:val="24"/>
          <w:szCs w:val="24"/>
          <w:lang w:val="sv-SE"/>
        </w:rPr>
        <w:t xml:space="preserve"> </w:t>
      </w:r>
      <w:r w:rsidR="00970828">
        <w:rPr>
          <w:sz w:val="24"/>
          <w:szCs w:val="24"/>
          <w:lang w:val="sv-SE"/>
        </w:rPr>
        <w:t>1</w:t>
      </w:r>
      <w:r w:rsidR="000844DC">
        <w:rPr>
          <w:sz w:val="24"/>
          <w:szCs w:val="24"/>
          <w:lang w:val="sv-SE"/>
        </w:rPr>
        <w:t>2 d. sprendimas Nr.</w:t>
      </w:r>
      <w:r w:rsidR="004A6176">
        <w:rPr>
          <w:sz w:val="24"/>
          <w:szCs w:val="24"/>
          <w:lang w:val="sv-SE"/>
        </w:rPr>
        <w:t xml:space="preserve"> </w:t>
      </w:r>
      <w:r w:rsidR="000844DC">
        <w:rPr>
          <w:sz w:val="24"/>
          <w:szCs w:val="24"/>
          <w:lang w:val="sv-SE"/>
        </w:rPr>
        <w:t>1-</w:t>
      </w:r>
      <w:r w:rsidR="0023056F">
        <w:rPr>
          <w:sz w:val="24"/>
          <w:szCs w:val="24"/>
          <w:lang w:val="sv-SE"/>
        </w:rPr>
        <w:t>1</w:t>
      </w:r>
      <w:r w:rsidR="00970828">
        <w:rPr>
          <w:sz w:val="24"/>
          <w:szCs w:val="24"/>
          <w:lang w:val="sv-SE"/>
        </w:rPr>
        <w:t>18,</w:t>
      </w:r>
      <w:r w:rsidR="00F633CA">
        <w:rPr>
          <w:sz w:val="24"/>
          <w:szCs w:val="24"/>
          <w:lang w:val="sv-SE"/>
        </w:rPr>
        <w:t xml:space="preserve"> </w:t>
      </w:r>
      <w:r w:rsidR="0023056F">
        <w:rPr>
          <w:sz w:val="24"/>
          <w:szCs w:val="24"/>
          <w:lang w:val="sv-SE"/>
        </w:rPr>
        <w:t>4</w:t>
      </w:r>
      <w:r w:rsidR="000844DC">
        <w:rPr>
          <w:sz w:val="24"/>
          <w:szCs w:val="24"/>
          <w:lang w:val="sv-SE"/>
        </w:rPr>
        <w:t xml:space="preserve"> lapa</w:t>
      </w:r>
      <w:r w:rsidR="00F359C0">
        <w:rPr>
          <w:sz w:val="24"/>
          <w:szCs w:val="24"/>
          <w:lang w:val="sv-SE"/>
        </w:rPr>
        <w:t>i</w:t>
      </w:r>
      <w:r w:rsidR="005321EB">
        <w:rPr>
          <w:sz w:val="24"/>
          <w:szCs w:val="24"/>
          <w:lang w:val="sv-SE"/>
        </w:rPr>
        <w:t xml:space="preserve"> – </w:t>
      </w:r>
      <w:hyperlink r:id="rId8" w:history="1">
        <w:r w:rsidR="005321EB" w:rsidRPr="00475FC5">
          <w:rPr>
            <w:rStyle w:val="Hipersaitas"/>
            <w:sz w:val="24"/>
            <w:szCs w:val="24"/>
            <w:lang w:val="sv-SE"/>
          </w:rPr>
          <w:t>http://195.182.86.148/aktai/Default.aspx?Id=3&amp;DocId=21044387</w:t>
        </w:r>
      </w:hyperlink>
      <w:r w:rsidR="005321EB">
        <w:rPr>
          <w:sz w:val="24"/>
          <w:szCs w:val="24"/>
          <w:lang w:val="sv-SE"/>
        </w:rPr>
        <w:t xml:space="preserve"> .</w:t>
      </w:r>
    </w:p>
    <w:p w:rsidR="000844DC" w:rsidRPr="00577078" w:rsidRDefault="000844DC" w:rsidP="00F359C0">
      <w:pPr>
        <w:ind w:firstLine="720"/>
        <w:jc w:val="both"/>
        <w:rPr>
          <w:sz w:val="24"/>
          <w:szCs w:val="24"/>
          <w:lang w:val="sv-SE"/>
        </w:rPr>
      </w:pPr>
    </w:p>
    <w:p w:rsidR="00765CB3" w:rsidRDefault="00765CB3" w:rsidP="00F359C0">
      <w:pPr>
        <w:jc w:val="both"/>
        <w:rPr>
          <w:sz w:val="24"/>
          <w:szCs w:val="24"/>
          <w:lang w:val="sv-SE"/>
        </w:rPr>
      </w:pPr>
    </w:p>
    <w:p w:rsidR="008D3CE1" w:rsidRPr="00577078" w:rsidRDefault="008D3CE1" w:rsidP="008D3CE1">
      <w:pPr>
        <w:jc w:val="both"/>
        <w:rPr>
          <w:sz w:val="24"/>
          <w:szCs w:val="24"/>
          <w:lang w:val="sv-SE"/>
        </w:rPr>
      </w:pPr>
    </w:p>
    <w:p w:rsidR="008D3CE1" w:rsidRPr="00577078" w:rsidRDefault="008D3CE1" w:rsidP="008D3CE1">
      <w:pPr>
        <w:rPr>
          <w:sz w:val="24"/>
          <w:szCs w:val="24"/>
          <w:lang w:val="sv-SE"/>
        </w:rPr>
      </w:pPr>
    </w:p>
    <w:p w:rsidR="008D3CE1" w:rsidRPr="00577078" w:rsidRDefault="00380E09" w:rsidP="008D3CE1">
      <w:pPr>
        <w:rPr>
          <w:sz w:val="24"/>
          <w:szCs w:val="24"/>
          <w:lang w:val="sv-SE"/>
        </w:rPr>
      </w:pPr>
      <w:r>
        <w:rPr>
          <w:sz w:val="24"/>
          <w:szCs w:val="24"/>
          <w:lang w:val="sv-SE"/>
        </w:rPr>
        <w:t>Miesto plėtros</w:t>
      </w:r>
      <w:r w:rsidR="008D3CE1" w:rsidRPr="00577078">
        <w:rPr>
          <w:sz w:val="24"/>
          <w:szCs w:val="24"/>
          <w:lang w:val="sv-SE"/>
        </w:rPr>
        <w:t xml:space="preserve"> skyriaus</w:t>
      </w:r>
      <w:r w:rsidR="008D3CE1">
        <w:rPr>
          <w:sz w:val="24"/>
          <w:szCs w:val="24"/>
          <w:lang w:val="sv-SE"/>
        </w:rPr>
        <w:t xml:space="preserve"> v</w:t>
      </w:r>
      <w:r w:rsidR="00420401">
        <w:rPr>
          <w:sz w:val="24"/>
          <w:szCs w:val="24"/>
          <w:lang w:val="sv-SE"/>
        </w:rPr>
        <w:t>yr</w:t>
      </w:r>
      <w:r w:rsidR="00970828">
        <w:rPr>
          <w:sz w:val="24"/>
          <w:szCs w:val="24"/>
          <w:lang w:val="sv-SE"/>
        </w:rPr>
        <w:t>iausioji</w:t>
      </w:r>
      <w:r w:rsidR="00420401">
        <w:rPr>
          <w:sz w:val="24"/>
          <w:szCs w:val="24"/>
          <w:lang w:val="sv-SE"/>
        </w:rPr>
        <w:t xml:space="preserve"> </w:t>
      </w:r>
      <w:r>
        <w:rPr>
          <w:sz w:val="24"/>
          <w:szCs w:val="24"/>
          <w:lang w:val="sv-SE"/>
        </w:rPr>
        <w:t>s</w:t>
      </w:r>
      <w:r w:rsidR="00420401">
        <w:rPr>
          <w:sz w:val="24"/>
          <w:szCs w:val="24"/>
          <w:lang w:val="sv-SE"/>
        </w:rPr>
        <w:t>pecialistė</w:t>
      </w:r>
      <w:r>
        <w:rPr>
          <w:sz w:val="24"/>
          <w:szCs w:val="24"/>
          <w:lang w:val="sv-SE"/>
        </w:rPr>
        <w:tab/>
      </w:r>
      <w:r w:rsidR="008D3CE1">
        <w:rPr>
          <w:sz w:val="24"/>
          <w:szCs w:val="24"/>
          <w:lang w:val="sv-SE"/>
        </w:rPr>
        <w:tab/>
      </w:r>
      <w:r w:rsidR="008D3CE1">
        <w:rPr>
          <w:sz w:val="24"/>
          <w:szCs w:val="24"/>
          <w:lang w:val="sv-SE"/>
        </w:rPr>
        <w:tab/>
      </w:r>
      <w:r w:rsidR="00420401">
        <w:rPr>
          <w:sz w:val="24"/>
          <w:szCs w:val="24"/>
          <w:lang w:val="sv-SE"/>
        </w:rPr>
        <w:t>Rit</w:t>
      </w:r>
      <w:r w:rsidR="008D3CE1">
        <w:rPr>
          <w:sz w:val="24"/>
          <w:szCs w:val="24"/>
          <w:lang w:val="sv-SE"/>
        </w:rPr>
        <w:t>a S</w:t>
      </w:r>
      <w:r w:rsidR="00420401">
        <w:rPr>
          <w:sz w:val="24"/>
          <w:szCs w:val="24"/>
          <w:lang w:val="sv-SE"/>
        </w:rPr>
        <w:t>ervienė</w:t>
      </w:r>
    </w:p>
    <w:p w:rsidR="008D3CE1" w:rsidRDefault="008D3CE1" w:rsidP="008D3CE1">
      <w:pPr>
        <w:jc w:val="center"/>
        <w:rPr>
          <w:b/>
          <w:bCs/>
          <w:sz w:val="24"/>
        </w:rPr>
      </w:pPr>
    </w:p>
    <w:p w:rsidR="008D3CE1" w:rsidRDefault="008D3CE1" w:rsidP="008D3CE1">
      <w:pPr>
        <w:jc w:val="both"/>
        <w:rPr>
          <w:sz w:val="24"/>
        </w:rPr>
      </w:pPr>
    </w:p>
    <w:p w:rsidR="008D3CE1" w:rsidRDefault="008D3CE1" w:rsidP="008D3CE1">
      <w:pPr>
        <w:jc w:val="center"/>
        <w:rPr>
          <w:b/>
          <w:bCs/>
          <w:sz w:val="24"/>
        </w:rPr>
      </w:pPr>
    </w:p>
    <w:p w:rsidR="00FA4856" w:rsidRDefault="00FA4856" w:rsidP="00FA4856">
      <w:pPr>
        <w:ind w:firstLine="720"/>
        <w:jc w:val="both"/>
        <w:rPr>
          <w:sz w:val="24"/>
          <w:szCs w:val="24"/>
        </w:rPr>
      </w:pPr>
    </w:p>
    <w:sectPr w:rsidR="00FA4856" w:rsidSect="00DA2323">
      <w:headerReference w:type="even" r:id="rId9"/>
      <w:headerReference w:type="default" r:id="rId10"/>
      <w:footerReference w:type="even" r:id="rId11"/>
      <w:headerReference w:type="first" r:id="rId12"/>
      <w:pgSz w:w="11907" w:h="16840" w:code="9"/>
      <w:pgMar w:top="1134" w:right="567" w:bottom="1134" w:left="1644" w:header="0" w:footer="0" w:gutter="0"/>
      <w:paperSrc w:first="15" w:other="15"/>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2C2" w:rsidRDefault="004212C2">
      <w:r>
        <w:separator/>
      </w:r>
    </w:p>
  </w:endnote>
  <w:endnote w:type="continuationSeparator" w:id="0">
    <w:p w:rsidR="004212C2" w:rsidRDefault="0042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E5" w:rsidRDefault="00B42BE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B42BE5" w:rsidRDefault="00B42BE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2C2" w:rsidRDefault="004212C2">
      <w:r>
        <w:separator/>
      </w:r>
    </w:p>
  </w:footnote>
  <w:footnote w:type="continuationSeparator" w:id="0">
    <w:p w:rsidR="004212C2" w:rsidRDefault="00421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E5" w:rsidRDefault="00B42BE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42BE5" w:rsidRDefault="00B42BE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E5" w:rsidRDefault="00B42BE5">
    <w:pPr>
      <w:pStyle w:val="Antrats"/>
      <w:framePr w:wrap="around" w:vAnchor="text" w:hAnchor="page" w:x="6107" w:y="-2"/>
      <w:rPr>
        <w:rStyle w:val="Puslapionumeris"/>
      </w:rPr>
    </w:pPr>
  </w:p>
  <w:p w:rsidR="00B42BE5" w:rsidRDefault="00B42BE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E5" w:rsidRDefault="00B42BE5">
    <w:pPr>
      <w:ind w:left="7200" w:firstLine="720"/>
      <w:rPr>
        <w:sz w:val="22"/>
      </w:rPr>
    </w:pPr>
  </w:p>
  <w:p w:rsidR="00B42BE5" w:rsidRDefault="00B42BE5">
    <w:pPr>
      <w:pStyle w:val="Antrat1"/>
      <w:rPr>
        <w:rFonts w:ascii="Times New Roman" w:hAnsi="Times New Roman"/>
        <w:sz w:val="22"/>
      </w:rPr>
    </w:pPr>
  </w:p>
  <w:p w:rsidR="00B42BE5" w:rsidRDefault="00B42BE5">
    <w:pPr>
      <w:pStyle w:val="Antrat1"/>
      <w:rPr>
        <w:rFonts w:ascii="Times New Roman" w:hAnsi="Times New Roman"/>
        <w:sz w:val="22"/>
      </w:rPr>
    </w:pPr>
  </w:p>
  <w:p w:rsidR="00B42BE5" w:rsidRDefault="00B42BE5">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7A8432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1EA5EB8"/>
    <w:multiLevelType w:val="hybridMultilevel"/>
    <w:tmpl w:val="90BCF4E4"/>
    <w:lvl w:ilvl="0" w:tplc="B10EFBF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C660370"/>
    <w:multiLevelType w:val="hybridMultilevel"/>
    <w:tmpl w:val="08E6D42E"/>
    <w:lvl w:ilvl="0" w:tplc="FBDA9142">
      <w:start w:val="2"/>
      <w:numFmt w:val="bullet"/>
      <w:lvlText w:val="-"/>
      <w:lvlJc w:val="left"/>
      <w:pPr>
        <w:ind w:left="3096" w:hanging="360"/>
      </w:pPr>
      <w:rPr>
        <w:rFonts w:ascii="Times New Roman" w:eastAsia="Times New Roman" w:hAnsi="Times New Roman" w:cs="Times New Roman" w:hint="default"/>
      </w:rPr>
    </w:lvl>
    <w:lvl w:ilvl="1" w:tplc="04270003" w:tentative="1">
      <w:start w:val="1"/>
      <w:numFmt w:val="bullet"/>
      <w:lvlText w:val="o"/>
      <w:lvlJc w:val="left"/>
      <w:pPr>
        <w:ind w:left="3816" w:hanging="360"/>
      </w:pPr>
      <w:rPr>
        <w:rFonts w:ascii="Courier New" w:hAnsi="Courier New" w:cs="Courier New" w:hint="default"/>
      </w:rPr>
    </w:lvl>
    <w:lvl w:ilvl="2" w:tplc="04270005" w:tentative="1">
      <w:start w:val="1"/>
      <w:numFmt w:val="bullet"/>
      <w:lvlText w:val=""/>
      <w:lvlJc w:val="left"/>
      <w:pPr>
        <w:ind w:left="4536" w:hanging="360"/>
      </w:pPr>
      <w:rPr>
        <w:rFonts w:ascii="Wingdings" w:hAnsi="Wingdings" w:hint="default"/>
      </w:rPr>
    </w:lvl>
    <w:lvl w:ilvl="3" w:tplc="04270001" w:tentative="1">
      <w:start w:val="1"/>
      <w:numFmt w:val="bullet"/>
      <w:lvlText w:val=""/>
      <w:lvlJc w:val="left"/>
      <w:pPr>
        <w:ind w:left="5256" w:hanging="360"/>
      </w:pPr>
      <w:rPr>
        <w:rFonts w:ascii="Symbol" w:hAnsi="Symbol" w:hint="default"/>
      </w:rPr>
    </w:lvl>
    <w:lvl w:ilvl="4" w:tplc="04270003" w:tentative="1">
      <w:start w:val="1"/>
      <w:numFmt w:val="bullet"/>
      <w:lvlText w:val="o"/>
      <w:lvlJc w:val="left"/>
      <w:pPr>
        <w:ind w:left="5976" w:hanging="360"/>
      </w:pPr>
      <w:rPr>
        <w:rFonts w:ascii="Courier New" w:hAnsi="Courier New" w:cs="Courier New" w:hint="default"/>
      </w:rPr>
    </w:lvl>
    <w:lvl w:ilvl="5" w:tplc="04270005" w:tentative="1">
      <w:start w:val="1"/>
      <w:numFmt w:val="bullet"/>
      <w:lvlText w:val=""/>
      <w:lvlJc w:val="left"/>
      <w:pPr>
        <w:ind w:left="6696" w:hanging="360"/>
      </w:pPr>
      <w:rPr>
        <w:rFonts w:ascii="Wingdings" w:hAnsi="Wingdings" w:hint="default"/>
      </w:rPr>
    </w:lvl>
    <w:lvl w:ilvl="6" w:tplc="04270001" w:tentative="1">
      <w:start w:val="1"/>
      <w:numFmt w:val="bullet"/>
      <w:lvlText w:val=""/>
      <w:lvlJc w:val="left"/>
      <w:pPr>
        <w:ind w:left="7416" w:hanging="360"/>
      </w:pPr>
      <w:rPr>
        <w:rFonts w:ascii="Symbol" w:hAnsi="Symbol" w:hint="default"/>
      </w:rPr>
    </w:lvl>
    <w:lvl w:ilvl="7" w:tplc="04270003" w:tentative="1">
      <w:start w:val="1"/>
      <w:numFmt w:val="bullet"/>
      <w:lvlText w:val="o"/>
      <w:lvlJc w:val="left"/>
      <w:pPr>
        <w:ind w:left="8136" w:hanging="360"/>
      </w:pPr>
      <w:rPr>
        <w:rFonts w:ascii="Courier New" w:hAnsi="Courier New" w:cs="Courier New" w:hint="default"/>
      </w:rPr>
    </w:lvl>
    <w:lvl w:ilvl="8" w:tplc="04270005" w:tentative="1">
      <w:start w:val="1"/>
      <w:numFmt w:val="bullet"/>
      <w:lvlText w:val=""/>
      <w:lvlJc w:val="left"/>
      <w:pPr>
        <w:ind w:left="8856" w:hanging="360"/>
      </w:pPr>
      <w:rPr>
        <w:rFonts w:ascii="Wingdings" w:hAnsi="Wingdings" w:hint="default"/>
      </w:rPr>
    </w:lvl>
  </w:abstractNum>
  <w:abstractNum w:abstractNumId="3" w15:restartNumberingAfterBreak="0">
    <w:nsid w:val="38334B25"/>
    <w:multiLevelType w:val="hybridMultilevel"/>
    <w:tmpl w:val="1EFE49B8"/>
    <w:lvl w:ilvl="0" w:tplc="FDAE81B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09B4AE6"/>
    <w:multiLevelType w:val="hybridMultilevel"/>
    <w:tmpl w:val="8AECF85E"/>
    <w:lvl w:ilvl="0" w:tplc="79C86162">
      <w:start w:val="4"/>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5" w15:restartNumberingAfterBreak="0">
    <w:nsid w:val="4C2F6AB5"/>
    <w:multiLevelType w:val="hybridMultilevel"/>
    <w:tmpl w:val="69FC659E"/>
    <w:lvl w:ilvl="0" w:tplc="E1AAF958">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07313BE"/>
    <w:multiLevelType w:val="hybridMultilevel"/>
    <w:tmpl w:val="747ACE1A"/>
    <w:lvl w:ilvl="0" w:tplc="F0FA3E2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109060C"/>
    <w:multiLevelType w:val="hybridMultilevel"/>
    <w:tmpl w:val="71EE219E"/>
    <w:lvl w:ilvl="0" w:tplc="B6AC64E0">
      <w:start w:val="2"/>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15:restartNumberingAfterBreak="0">
    <w:nsid w:val="5F4F3798"/>
    <w:multiLevelType w:val="hybridMultilevel"/>
    <w:tmpl w:val="A802FE94"/>
    <w:lvl w:ilvl="0" w:tplc="D606551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0AD0C0B"/>
    <w:multiLevelType w:val="hybridMultilevel"/>
    <w:tmpl w:val="15FA843A"/>
    <w:lvl w:ilvl="0" w:tplc="8F3C9C2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6A7855FA"/>
    <w:multiLevelType w:val="hybridMultilevel"/>
    <w:tmpl w:val="77FC73F8"/>
    <w:lvl w:ilvl="0" w:tplc="2EEEE1C8">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2B749A"/>
    <w:multiLevelType w:val="hybridMultilevel"/>
    <w:tmpl w:val="C20E24CC"/>
    <w:lvl w:ilvl="0" w:tplc="E58EF5FE">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70165303"/>
    <w:multiLevelType w:val="hybridMultilevel"/>
    <w:tmpl w:val="7AE6513C"/>
    <w:lvl w:ilvl="0" w:tplc="ABA0A5A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D51C21"/>
    <w:multiLevelType w:val="hybridMultilevel"/>
    <w:tmpl w:val="D69A4E7A"/>
    <w:lvl w:ilvl="0" w:tplc="39CA6EB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768D548E"/>
    <w:multiLevelType w:val="hybridMultilevel"/>
    <w:tmpl w:val="190061C2"/>
    <w:lvl w:ilvl="0" w:tplc="A9780A0E">
      <w:start w:val="4"/>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3"/>
  </w:num>
  <w:num w:numId="2">
    <w:abstractNumId w:val="0"/>
  </w:num>
  <w:num w:numId="3">
    <w:abstractNumId w:val="7"/>
  </w:num>
  <w:num w:numId="4">
    <w:abstractNumId w:val="2"/>
  </w:num>
  <w:num w:numId="5">
    <w:abstractNumId w:val="6"/>
  </w:num>
  <w:num w:numId="6">
    <w:abstractNumId w:val="3"/>
  </w:num>
  <w:num w:numId="7">
    <w:abstractNumId w:val="5"/>
  </w:num>
  <w:num w:numId="8">
    <w:abstractNumId w:val="11"/>
  </w:num>
  <w:num w:numId="9">
    <w:abstractNumId w:val="14"/>
  </w:num>
  <w:num w:numId="10">
    <w:abstractNumId w:val="12"/>
  </w:num>
  <w:num w:numId="11">
    <w:abstractNumId w:val="10"/>
  </w:num>
  <w:num w:numId="12">
    <w:abstractNumId w:val="4"/>
  </w:num>
  <w:num w:numId="13">
    <w:abstractNumId w:val="9"/>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E1"/>
    <w:rsid w:val="000200AA"/>
    <w:rsid w:val="00025839"/>
    <w:rsid w:val="00050FE1"/>
    <w:rsid w:val="0007745C"/>
    <w:rsid w:val="00082BB5"/>
    <w:rsid w:val="000844DC"/>
    <w:rsid w:val="000C581A"/>
    <w:rsid w:val="000D7326"/>
    <w:rsid w:val="000E746D"/>
    <w:rsid w:val="000E7E06"/>
    <w:rsid w:val="000F2D42"/>
    <w:rsid w:val="0010199D"/>
    <w:rsid w:val="001029A2"/>
    <w:rsid w:val="00105F4F"/>
    <w:rsid w:val="0016798F"/>
    <w:rsid w:val="00176767"/>
    <w:rsid w:val="00181D49"/>
    <w:rsid w:val="00187AB1"/>
    <w:rsid w:val="00196AFB"/>
    <w:rsid w:val="001A23F2"/>
    <w:rsid w:val="001C7C41"/>
    <w:rsid w:val="001D430D"/>
    <w:rsid w:val="001D6499"/>
    <w:rsid w:val="001D7067"/>
    <w:rsid w:val="001E0FA5"/>
    <w:rsid w:val="00203A34"/>
    <w:rsid w:val="002075C2"/>
    <w:rsid w:val="00210806"/>
    <w:rsid w:val="00222A58"/>
    <w:rsid w:val="0023056F"/>
    <w:rsid w:val="00247389"/>
    <w:rsid w:val="0026132F"/>
    <w:rsid w:val="002740B8"/>
    <w:rsid w:val="00276345"/>
    <w:rsid w:val="002A0C92"/>
    <w:rsid w:val="002A53F3"/>
    <w:rsid w:val="002A6B6E"/>
    <w:rsid w:val="002C10F5"/>
    <w:rsid w:val="002C3238"/>
    <w:rsid w:val="002C40EB"/>
    <w:rsid w:val="002D6879"/>
    <w:rsid w:val="002D71D3"/>
    <w:rsid w:val="003160F7"/>
    <w:rsid w:val="003325B2"/>
    <w:rsid w:val="00380E09"/>
    <w:rsid w:val="003A165E"/>
    <w:rsid w:val="003B40A6"/>
    <w:rsid w:val="003C2B17"/>
    <w:rsid w:val="003C6453"/>
    <w:rsid w:val="003D46EE"/>
    <w:rsid w:val="003E2396"/>
    <w:rsid w:val="003E74A9"/>
    <w:rsid w:val="00420401"/>
    <w:rsid w:val="004212C2"/>
    <w:rsid w:val="004304A5"/>
    <w:rsid w:val="00431DCE"/>
    <w:rsid w:val="0043257B"/>
    <w:rsid w:val="004416EB"/>
    <w:rsid w:val="00444903"/>
    <w:rsid w:val="0044613D"/>
    <w:rsid w:val="0045446A"/>
    <w:rsid w:val="004649EF"/>
    <w:rsid w:val="004819E3"/>
    <w:rsid w:val="004A32D1"/>
    <w:rsid w:val="004A6176"/>
    <w:rsid w:val="004A6ED7"/>
    <w:rsid w:val="004B5005"/>
    <w:rsid w:val="004D6DFD"/>
    <w:rsid w:val="005070EC"/>
    <w:rsid w:val="00513206"/>
    <w:rsid w:val="00514CEC"/>
    <w:rsid w:val="00522418"/>
    <w:rsid w:val="0052604C"/>
    <w:rsid w:val="00530BFD"/>
    <w:rsid w:val="005321EB"/>
    <w:rsid w:val="005465CC"/>
    <w:rsid w:val="005470C1"/>
    <w:rsid w:val="00552818"/>
    <w:rsid w:val="00553B6B"/>
    <w:rsid w:val="00554A6A"/>
    <w:rsid w:val="0056466D"/>
    <w:rsid w:val="00564830"/>
    <w:rsid w:val="00576A04"/>
    <w:rsid w:val="005A28E7"/>
    <w:rsid w:val="005A6333"/>
    <w:rsid w:val="005A6347"/>
    <w:rsid w:val="005C095C"/>
    <w:rsid w:val="005C6EF5"/>
    <w:rsid w:val="005E7120"/>
    <w:rsid w:val="005F1CF9"/>
    <w:rsid w:val="00605736"/>
    <w:rsid w:val="0062306D"/>
    <w:rsid w:val="00625429"/>
    <w:rsid w:val="006370A0"/>
    <w:rsid w:val="00656EBA"/>
    <w:rsid w:val="006612F7"/>
    <w:rsid w:val="00677847"/>
    <w:rsid w:val="0068318E"/>
    <w:rsid w:val="006A7446"/>
    <w:rsid w:val="006B1C76"/>
    <w:rsid w:val="006B57AD"/>
    <w:rsid w:val="006C7F96"/>
    <w:rsid w:val="006D672A"/>
    <w:rsid w:val="006E71A7"/>
    <w:rsid w:val="006F37C0"/>
    <w:rsid w:val="0070195C"/>
    <w:rsid w:val="00704EDB"/>
    <w:rsid w:val="00725F07"/>
    <w:rsid w:val="007364E4"/>
    <w:rsid w:val="007459A5"/>
    <w:rsid w:val="00746FB2"/>
    <w:rsid w:val="00765CB3"/>
    <w:rsid w:val="00784EAF"/>
    <w:rsid w:val="00784F5B"/>
    <w:rsid w:val="007A245C"/>
    <w:rsid w:val="007B0CF0"/>
    <w:rsid w:val="007B2210"/>
    <w:rsid w:val="007C55F3"/>
    <w:rsid w:val="007C71AD"/>
    <w:rsid w:val="007E2CDC"/>
    <w:rsid w:val="007E4A7B"/>
    <w:rsid w:val="00822ADC"/>
    <w:rsid w:val="008700D8"/>
    <w:rsid w:val="00895A0B"/>
    <w:rsid w:val="008B28F0"/>
    <w:rsid w:val="008B31C5"/>
    <w:rsid w:val="008B651A"/>
    <w:rsid w:val="008D3CE1"/>
    <w:rsid w:val="008E06E6"/>
    <w:rsid w:val="009465AE"/>
    <w:rsid w:val="009646DC"/>
    <w:rsid w:val="00966934"/>
    <w:rsid w:val="00970089"/>
    <w:rsid w:val="00970828"/>
    <w:rsid w:val="00972892"/>
    <w:rsid w:val="009C6631"/>
    <w:rsid w:val="009D3A9F"/>
    <w:rsid w:val="009E5769"/>
    <w:rsid w:val="00A114D4"/>
    <w:rsid w:val="00A34040"/>
    <w:rsid w:val="00A37C03"/>
    <w:rsid w:val="00A46103"/>
    <w:rsid w:val="00A61988"/>
    <w:rsid w:val="00A856FE"/>
    <w:rsid w:val="00A86083"/>
    <w:rsid w:val="00AD3DB0"/>
    <w:rsid w:val="00AD733C"/>
    <w:rsid w:val="00AF302C"/>
    <w:rsid w:val="00AF7240"/>
    <w:rsid w:val="00B015C3"/>
    <w:rsid w:val="00B07CC2"/>
    <w:rsid w:val="00B16F78"/>
    <w:rsid w:val="00B22BE6"/>
    <w:rsid w:val="00B30936"/>
    <w:rsid w:val="00B335A1"/>
    <w:rsid w:val="00B4085D"/>
    <w:rsid w:val="00B42BE5"/>
    <w:rsid w:val="00B61D00"/>
    <w:rsid w:val="00B66CE2"/>
    <w:rsid w:val="00B87566"/>
    <w:rsid w:val="00B91136"/>
    <w:rsid w:val="00B91400"/>
    <w:rsid w:val="00B9466D"/>
    <w:rsid w:val="00B9777B"/>
    <w:rsid w:val="00BA49B0"/>
    <w:rsid w:val="00BC050C"/>
    <w:rsid w:val="00BC38DD"/>
    <w:rsid w:val="00BD0DF5"/>
    <w:rsid w:val="00BD19C1"/>
    <w:rsid w:val="00BD2144"/>
    <w:rsid w:val="00BD76AB"/>
    <w:rsid w:val="00BE67DF"/>
    <w:rsid w:val="00BF22B5"/>
    <w:rsid w:val="00BF275A"/>
    <w:rsid w:val="00BF3A8A"/>
    <w:rsid w:val="00C02110"/>
    <w:rsid w:val="00C049E4"/>
    <w:rsid w:val="00C06F20"/>
    <w:rsid w:val="00C1531A"/>
    <w:rsid w:val="00C27347"/>
    <w:rsid w:val="00C3465E"/>
    <w:rsid w:val="00C35BEC"/>
    <w:rsid w:val="00C50D3C"/>
    <w:rsid w:val="00C57FC8"/>
    <w:rsid w:val="00C90010"/>
    <w:rsid w:val="00CA37C5"/>
    <w:rsid w:val="00CB2728"/>
    <w:rsid w:val="00CB45A3"/>
    <w:rsid w:val="00CC3636"/>
    <w:rsid w:val="00CF0613"/>
    <w:rsid w:val="00D0090B"/>
    <w:rsid w:val="00D07106"/>
    <w:rsid w:val="00D132E2"/>
    <w:rsid w:val="00D13921"/>
    <w:rsid w:val="00D5340C"/>
    <w:rsid w:val="00D87C1E"/>
    <w:rsid w:val="00DA2323"/>
    <w:rsid w:val="00DA6C2F"/>
    <w:rsid w:val="00DA746D"/>
    <w:rsid w:val="00DC1DBE"/>
    <w:rsid w:val="00DD72E7"/>
    <w:rsid w:val="00DE11C3"/>
    <w:rsid w:val="00DE2749"/>
    <w:rsid w:val="00E01321"/>
    <w:rsid w:val="00E12BA3"/>
    <w:rsid w:val="00E16A9E"/>
    <w:rsid w:val="00E33DB1"/>
    <w:rsid w:val="00E55FE1"/>
    <w:rsid w:val="00E96B4E"/>
    <w:rsid w:val="00EB626D"/>
    <w:rsid w:val="00EC326E"/>
    <w:rsid w:val="00EE0FF0"/>
    <w:rsid w:val="00EE6694"/>
    <w:rsid w:val="00EF0F56"/>
    <w:rsid w:val="00F00AD0"/>
    <w:rsid w:val="00F01F64"/>
    <w:rsid w:val="00F05B4A"/>
    <w:rsid w:val="00F359C0"/>
    <w:rsid w:val="00F46D0B"/>
    <w:rsid w:val="00F565A2"/>
    <w:rsid w:val="00F633CA"/>
    <w:rsid w:val="00F75576"/>
    <w:rsid w:val="00F803A4"/>
    <w:rsid w:val="00F828CD"/>
    <w:rsid w:val="00F91DF8"/>
    <w:rsid w:val="00FA4856"/>
    <w:rsid w:val="00FA7F3E"/>
    <w:rsid w:val="00FF6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172B8"/>
  <w15:chartTrackingRefBased/>
  <w15:docId w15:val="{F4B343DF-8D2F-4470-AA7B-6C5D9249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3CE1"/>
    <w:rPr>
      <w:lang w:eastAsia="en-US"/>
    </w:rPr>
  </w:style>
  <w:style w:type="paragraph" w:styleId="Antrat1">
    <w:name w:val="heading 1"/>
    <w:basedOn w:val="prastasis"/>
    <w:next w:val="prastasis"/>
    <w:qFormat/>
    <w:rsid w:val="008D3CE1"/>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D3CE1"/>
    <w:pPr>
      <w:tabs>
        <w:tab w:val="center" w:pos="4320"/>
        <w:tab w:val="right" w:pos="8640"/>
      </w:tabs>
    </w:pPr>
  </w:style>
  <w:style w:type="paragraph" w:styleId="Porat">
    <w:name w:val="footer"/>
    <w:basedOn w:val="prastasis"/>
    <w:rsid w:val="008D3CE1"/>
    <w:pPr>
      <w:tabs>
        <w:tab w:val="center" w:pos="4320"/>
        <w:tab w:val="right" w:pos="8640"/>
      </w:tabs>
    </w:pPr>
  </w:style>
  <w:style w:type="character" w:styleId="Puslapionumeris">
    <w:name w:val="page number"/>
    <w:basedOn w:val="Numatytasispastraiposriftas"/>
    <w:rsid w:val="008D3CE1"/>
  </w:style>
  <w:style w:type="paragraph" w:styleId="Debesliotekstas">
    <w:name w:val="Balloon Text"/>
    <w:basedOn w:val="prastasis"/>
    <w:semiHidden/>
    <w:rsid w:val="006C7F96"/>
    <w:rPr>
      <w:rFonts w:ascii="Tahoma" w:hAnsi="Tahoma" w:cs="Tahoma"/>
      <w:sz w:val="16"/>
      <w:szCs w:val="16"/>
    </w:rPr>
  </w:style>
  <w:style w:type="table" w:styleId="Lentelstinklelis">
    <w:name w:val="Table Grid"/>
    <w:basedOn w:val="prastojilentel"/>
    <w:rsid w:val="00DA2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rsid w:val="00196AFB"/>
    <w:pPr>
      <w:numPr>
        <w:numId w:val="2"/>
      </w:numPr>
    </w:pPr>
  </w:style>
  <w:style w:type="paragraph" w:customStyle="1" w:styleId="Default">
    <w:name w:val="Default"/>
    <w:rsid w:val="00FA4856"/>
    <w:pPr>
      <w:suppressAutoHyphens/>
    </w:pPr>
    <w:rPr>
      <w:rFonts w:eastAsia="Arial"/>
      <w:color w:val="000000"/>
      <w:kern w:val="1"/>
      <w:sz w:val="24"/>
      <w:szCs w:val="24"/>
      <w:lang w:eastAsia="ar-SA"/>
    </w:rPr>
  </w:style>
  <w:style w:type="paragraph" w:styleId="Sraopastraipa">
    <w:name w:val="List Paragraph"/>
    <w:basedOn w:val="prastasis"/>
    <w:uiPriority w:val="34"/>
    <w:qFormat/>
    <w:rsid w:val="00970089"/>
    <w:pPr>
      <w:ind w:left="720"/>
      <w:contextualSpacing/>
    </w:pPr>
  </w:style>
  <w:style w:type="character" w:styleId="Hipersaitas">
    <w:name w:val="Hyperlink"/>
    <w:basedOn w:val="Numatytasispastraiposriftas"/>
    <w:rsid w:val="005321EB"/>
    <w:rPr>
      <w:color w:val="0563C1" w:themeColor="hyperlink"/>
      <w:u w:val="single"/>
    </w:rPr>
  </w:style>
  <w:style w:type="character" w:customStyle="1" w:styleId="UnresolvedMention">
    <w:name w:val="Unresolved Mention"/>
    <w:basedOn w:val="Numatytasispastraiposriftas"/>
    <w:uiPriority w:val="99"/>
    <w:semiHidden/>
    <w:unhideWhenUsed/>
    <w:rsid w:val="00532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71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5.182.86.148/aktai/Default.aspx?Id=3&amp;DocId=210443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3E85F-EA6F-4804-8334-8DFBA358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9522</Characters>
  <Application>Microsoft Office Word</Application>
  <DocSecurity>4</DocSecurity>
  <Lines>79</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PMS</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Antanas</dc:creator>
  <cp:keywords/>
  <dc:description/>
  <cp:lastModifiedBy>Daiva Breivienė</cp:lastModifiedBy>
  <cp:revision>2</cp:revision>
  <cp:lastPrinted>2015-06-05T05:47:00Z</cp:lastPrinted>
  <dcterms:created xsi:type="dcterms:W3CDTF">2021-12-09T06:28:00Z</dcterms:created>
  <dcterms:modified xsi:type="dcterms:W3CDTF">2021-12-09T06:28:00Z</dcterms:modified>
</cp:coreProperties>
</file>