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636"/>
        <w:gridCol w:w="4349"/>
        <w:gridCol w:w="5164"/>
        <w:gridCol w:w="1365"/>
      </w:tblGrid>
      <w:tr w:rsidR="00607AE0" w:rsidRPr="00BB27C9" w:rsidTr="007460F5">
        <w:trPr>
          <w:trHeight w:val="1115"/>
        </w:trPr>
        <w:tc>
          <w:tcPr>
            <w:tcW w:w="570" w:type="dxa"/>
            <w:vMerge w:val="restart"/>
            <w:shd w:val="clear" w:color="auto" w:fill="auto"/>
            <w:vAlign w:val="center"/>
            <w:hideMark/>
          </w:tcPr>
          <w:p w:rsidR="00607AE0" w:rsidRPr="00BB27C9" w:rsidRDefault="00607AE0" w:rsidP="00607AE0">
            <w:pPr>
              <w:jc w:val="center"/>
              <w:rPr>
                <w:b/>
                <w:bCs/>
                <w:color w:val="000000"/>
                <w:sz w:val="22"/>
                <w:szCs w:val="22"/>
              </w:rPr>
            </w:pPr>
            <w:bookmarkStart w:id="0" w:name="_GoBack"/>
            <w:bookmarkEnd w:id="0"/>
            <w:r w:rsidRPr="00BB27C9">
              <w:rPr>
                <w:b/>
                <w:bCs/>
                <w:color w:val="000000"/>
                <w:sz w:val="22"/>
                <w:szCs w:val="22"/>
              </w:rPr>
              <w:t>Eil. Nr.</w:t>
            </w:r>
          </w:p>
        </w:tc>
        <w:tc>
          <w:tcPr>
            <w:tcW w:w="3791" w:type="dxa"/>
            <w:vMerge w:val="restart"/>
            <w:shd w:val="clear" w:color="auto" w:fill="auto"/>
            <w:noWrap/>
            <w:vAlign w:val="center"/>
            <w:hideMark/>
          </w:tcPr>
          <w:p w:rsidR="00607AE0" w:rsidRPr="00BB27C9" w:rsidRDefault="00607AE0" w:rsidP="00607AE0">
            <w:pPr>
              <w:jc w:val="center"/>
              <w:rPr>
                <w:b/>
                <w:bCs/>
                <w:color w:val="000000"/>
                <w:sz w:val="22"/>
                <w:szCs w:val="22"/>
              </w:rPr>
            </w:pPr>
            <w:r w:rsidRPr="00BB27C9">
              <w:rPr>
                <w:b/>
                <w:bCs/>
                <w:color w:val="000000"/>
                <w:sz w:val="22"/>
                <w:szCs w:val="22"/>
              </w:rPr>
              <w:t>Veiklos rezultatų vertinimo rodikliai (toliau – rodiklis)</w:t>
            </w:r>
          </w:p>
        </w:tc>
        <w:tc>
          <w:tcPr>
            <w:tcW w:w="4536" w:type="dxa"/>
            <w:tcBorders>
              <w:top w:val="single" w:sz="4" w:space="0" w:color="auto"/>
            </w:tcBorders>
            <w:shd w:val="clear" w:color="auto" w:fill="auto"/>
            <w:vAlign w:val="center"/>
          </w:tcPr>
          <w:p w:rsidR="00607AE0" w:rsidRPr="00BB27C9" w:rsidRDefault="00607AE0" w:rsidP="00363CB3">
            <w:pPr>
              <w:jc w:val="center"/>
              <w:rPr>
                <w:b/>
                <w:bCs/>
                <w:color w:val="000000"/>
                <w:sz w:val="22"/>
                <w:szCs w:val="22"/>
              </w:rPr>
            </w:pPr>
            <w:r w:rsidRPr="00BB27C9">
              <w:rPr>
                <w:b/>
                <w:bCs/>
                <w:color w:val="000000"/>
                <w:sz w:val="22"/>
                <w:szCs w:val="22"/>
              </w:rPr>
              <w:t>Antrinio ir tretinio lygio asmens sveikatos priežiūros paslaugas teikiančios LNSS viešosios įstaigos (išskyrus nurodytas šios lentelės 3 ir 4 skiltyse)***</w:t>
            </w:r>
          </w:p>
        </w:tc>
        <w:tc>
          <w:tcPr>
            <w:tcW w:w="4678" w:type="dxa"/>
            <w:tcBorders>
              <w:top w:val="single" w:sz="4" w:space="0" w:color="auto"/>
            </w:tcBorders>
            <w:shd w:val="clear" w:color="auto" w:fill="auto"/>
            <w:vAlign w:val="center"/>
          </w:tcPr>
          <w:p w:rsidR="00607AE0" w:rsidRPr="00BB27C9" w:rsidRDefault="00607AE0" w:rsidP="00607AE0">
            <w:pPr>
              <w:jc w:val="center"/>
              <w:rPr>
                <w:b/>
                <w:bCs/>
                <w:color w:val="000000"/>
                <w:sz w:val="22"/>
                <w:szCs w:val="22"/>
              </w:rPr>
            </w:pPr>
            <w:r w:rsidRPr="00BB27C9">
              <w:rPr>
                <w:b/>
                <w:bCs/>
                <w:color w:val="000000"/>
                <w:sz w:val="22"/>
                <w:szCs w:val="22"/>
              </w:rPr>
              <w:t>VšĮ Panevėžio fizinės medicinos ir reabilitacijos centras</w:t>
            </w:r>
          </w:p>
        </w:tc>
        <w:tc>
          <w:tcPr>
            <w:tcW w:w="1417" w:type="dxa"/>
            <w:tcBorders>
              <w:top w:val="single" w:sz="4" w:space="0" w:color="auto"/>
              <w:right w:val="single" w:sz="4" w:space="0" w:color="auto"/>
            </w:tcBorders>
            <w:shd w:val="clear" w:color="auto" w:fill="auto"/>
            <w:vAlign w:val="center"/>
          </w:tcPr>
          <w:p w:rsidR="00607AE0" w:rsidRPr="00BB27C9" w:rsidRDefault="00607AE0" w:rsidP="00607AE0">
            <w:pPr>
              <w:jc w:val="center"/>
              <w:rPr>
                <w:b/>
                <w:bCs/>
                <w:color w:val="000000"/>
                <w:sz w:val="22"/>
                <w:szCs w:val="22"/>
              </w:rPr>
            </w:pPr>
            <w:r w:rsidRPr="00BB27C9">
              <w:rPr>
                <w:b/>
                <w:bCs/>
                <w:color w:val="000000"/>
                <w:sz w:val="22"/>
                <w:szCs w:val="22"/>
              </w:rPr>
              <w:t>Surinkta balų</w:t>
            </w:r>
          </w:p>
        </w:tc>
      </w:tr>
      <w:tr w:rsidR="00607AE0" w:rsidRPr="00BB27C9" w:rsidTr="007460F5">
        <w:trPr>
          <w:trHeight w:val="323"/>
        </w:trPr>
        <w:tc>
          <w:tcPr>
            <w:tcW w:w="570" w:type="dxa"/>
            <w:vMerge/>
            <w:shd w:val="clear" w:color="auto" w:fill="auto"/>
            <w:hideMark/>
          </w:tcPr>
          <w:p w:rsidR="00607AE0" w:rsidRPr="00BB27C9" w:rsidRDefault="00607AE0" w:rsidP="00607AE0">
            <w:pPr>
              <w:rPr>
                <w:b/>
                <w:bCs/>
                <w:color w:val="000000"/>
                <w:sz w:val="22"/>
                <w:szCs w:val="22"/>
              </w:rPr>
            </w:pPr>
          </w:p>
        </w:tc>
        <w:tc>
          <w:tcPr>
            <w:tcW w:w="3791" w:type="dxa"/>
            <w:vMerge/>
            <w:shd w:val="clear" w:color="auto" w:fill="auto"/>
            <w:hideMark/>
          </w:tcPr>
          <w:p w:rsidR="00607AE0" w:rsidRPr="00BB27C9" w:rsidRDefault="00607AE0" w:rsidP="00607AE0">
            <w:pPr>
              <w:rPr>
                <w:b/>
                <w:bCs/>
                <w:color w:val="000000"/>
                <w:sz w:val="22"/>
                <w:szCs w:val="22"/>
              </w:rPr>
            </w:pPr>
          </w:p>
        </w:tc>
        <w:tc>
          <w:tcPr>
            <w:tcW w:w="4536" w:type="dxa"/>
            <w:shd w:val="clear" w:color="auto" w:fill="auto"/>
            <w:noWrap/>
            <w:hideMark/>
          </w:tcPr>
          <w:p w:rsidR="00607AE0" w:rsidRPr="00BB27C9" w:rsidRDefault="00607AE0" w:rsidP="00607AE0">
            <w:pPr>
              <w:jc w:val="center"/>
              <w:rPr>
                <w:b/>
                <w:bCs/>
                <w:color w:val="000000"/>
                <w:sz w:val="22"/>
                <w:szCs w:val="22"/>
              </w:rPr>
            </w:pPr>
            <w:r w:rsidRPr="00BB27C9">
              <w:rPr>
                <w:b/>
                <w:bCs/>
                <w:color w:val="000000"/>
                <w:sz w:val="22"/>
                <w:szCs w:val="22"/>
              </w:rPr>
              <w:t>Siektina reikšmė</w:t>
            </w:r>
          </w:p>
        </w:tc>
        <w:tc>
          <w:tcPr>
            <w:tcW w:w="4678" w:type="dxa"/>
            <w:shd w:val="clear" w:color="auto" w:fill="auto"/>
          </w:tcPr>
          <w:p w:rsidR="00607AE0" w:rsidRPr="00BB27C9" w:rsidRDefault="00D36570" w:rsidP="00607AE0">
            <w:pPr>
              <w:jc w:val="center"/>
              <w:rPr>
                <w:b/>
                <w:bCs/>
                <w:color w:val="000000"/>
                <w:sz w:val="22"/>
                <w:szCs w:val="22"/>
              </w:rPr>
            </w:pPr>
            <w:r w:rsidRPr="00BB27C9">
              <w:rPr>
                <w:b/>
                <w:bCs/>
                <w:color w:val="000000"/>
                <w:sz w:val="22"/>
                <w:szCs w:val="22"/>
              </w:rPr>
              <w:t>Pasiekta reikšmė</w:t>
            </w:r>
          </w:p>
        </w:tc>
        <w:tc>
          <w:tcPr>
            <w:tcW w:w="1417" w:type="dxa"/>
            <w:tcBorders>
              <w:right w:val="single" w:sz="4" w:space="0" w:color="auto"/>
            </w:tcBorders>
            <w:shd w:val="clear" w:color="auto" w:fill="auto"/>
            <w:noWrap/>
          </w:tcPr>
          <w:p w:rsidR="00607AE0" w:rsidRPr="00BB27C9" w:rsidRDefault="00D36570" w:rsidP="00607AE0">
            <w:pPr>
              <w:jc w:val="center"/>
              <w:rPr>
                <w:b/>
                <w:bCs/>
                <w:color w:val="000000"/>
                <w:sz w:val="22"/>
                <w:szCs w:val="22"/>
              </w:rPr>
            </w:pPr>
            <w:r w:rsidRPr="00BB27C9">
              <w:rPr>
                <w:b/>
                <w:bCs/>
                <w:color w:val="000000"/>
                <w:sz w:val="22"/>
                <w:szCs w:val="22"/>
              </w:rPr>
              <w:t>Balai</w:t>
            </w:r>
          </w:p>
        </w:tc>
      </w:tr>
      <w:tr w:rsidR="00607AE0" w:rsidRPr="00BB27C9" w:rsidTr="007460F5">
        <w:trPr>
          <w:trHeight w:val="300"/>
        </w:trPr>
        <w:tc>
          <w:tcPr>
            <w:tcW w:w="570" w:type="dxa"/>
            <w:shd w:val="clear" w:color="auto" w:fill="auto"/>
            <w:noWrap/>
            <w:hideMark/>
          </w:tcPr>
          <w:p w:rsidR="00607AE0" w:rsidRPr="00BB27C9" w:rsidRDefault="00607AE0" w:rsidP="00607AE0">
            <w:pPr>
              <w:jc w:val="center"/>
              <w:rPr>
                <w:i/>
                <w:iCs/>
                <w:color w:val="000000"/>
                <w:sz w:val="22"/>
                <w:szCs w:val="22"/>
              </w:rPr>
            </w:pPr>
            <w:r w:rsidRPr="00BB27C9">
              <w:rPr>
                <w:i/>
                <w:iCs/>
                <w:color w:val="000000"/>
                <w:sz w:val="22"/>
                <w:szCs w:val="22"/>
              </w:rPr>
              <w:t>1</w:t>
            </w:r>
          </w:p>
        </w:tc>
        <w:tc>
          <w:tcPr>
            <w:tcW w:w="3791" w:type="dxa"/>
            <w:shd w:val="clear" w:color="auto" w:fill="auto"/>
            <w:noWrap/>
            <w:hideMark/>
          </w:tcPr>
          <w:p w:rsidR="00607AE0" w:rsidRPr="00BB27C9" w:rsidRDefault="00607AE0" w:rsidP="00607AE0">
            <w:pPr>
              <w:jc w:val="center"/>
              <w:rPr>
                <w:i/>
                <w:iCs/>
                <w:color w:val="000000"/>
                <w:sz w:val="22"/>
                <w:szCs w:val="22"/>
              </w:rPr>
            </w:pPr>
            <w:r w:rsidRPr="00BB27C9">
              <w:rPr>
                <w:i/>
                <w:iCs/>
                <w:color w:val="000000"/>
                <w:sz w:val="22"/>
                <w:szCs w:val="22"/>
              </w:rPr>
              <w:t>2</w:t>
            </w:r>
          </w:p>
        </w:tc>
        <w:tc>
          <w:tcPr>
            <w:tcW w:w="4536" w:type="dxa"/>
            <w:shd w:val="clear" w:color="auto" w:fill="auto"/>
            <w:noWrap/>
            <w:hideMark/>
          </w:tcPr>
          <w:p w:rsidR="00607AE0" w:rsidRPr="00BB27C9" w:rsidRDefault="00607AE0" w:rsidP="00607AE0">
            <w:pPr>
              <w:jc w:val="center"/>
              <w:rPr>
                <w:i/>
                <w:iCs/>
                <w:color w:val="000000"/>
                <w:sz w:val="22"/>
                <w:szCs w:val="22"/>
              </w:rPr>
            </w:pPr>
            <w:r w:rsidRPr="00BB27C9">
              <w:rPr>
                <w:i/>
                <w:iCs/>
                <w:color w:val="000000"/>
                <w:sz w:val="22"/>
                <w:szCs w:val="22"/>
              </w:rPr>
              <w:t>3</w:t>
            </w:r>
          </w:p>
        </w:tc>
        <w:tc>
          <w:tcPr>
            <w:tcW w:w="4678" w:type="dxa"/>
            <w:shd w:val="clear" w:color="auto" w:fill="auto"/>
            <w:vAlign w:val="center"/>
          </w:tcPr>
          <w:p w:rsidR="00607AE0" w:rsidRPr="00BB27C9" w:rsidRDefault="00D36570" w:rsidP="00607AE0">
            <w:pPr>
              <w:jc w:val="center"/>
              <w:rPr>
                <w:i/>
                <w:iCs/>
                <w:color w:val="000000"/>
                <w:sz w:val="22"/>
                <w:szCs w:val="22"/>
              </w:rPr>
            </w:pPr>
            <w:r w:rsidRPr="00BB27C9">
              <w:rPr>
                <w:i/>
                <w:iCs/>
                <w:color w:val="000000"/>
                <w:sz w:val="22"/>
                <w:szCs w:val="22"/>
              </w:rPr>
              <w:t>4</w:t>
            </w:r>
          </w:p>
        </w:tc>
        <w:tc>
          <w:tcPr>
            <w:tcW w:w="1417" w:type="dxa"/>
            <w:tcBorders>
              <w:right w:val="single" w:sz="4" w:space="0" w:color="auto"/>
            </w:tcBorders>
            <w:shd w:val="clear" w:color="auto" w:fill="auto"/>
            <w:noWrap/>
          </w:tcPr>
          <w:p w:rsidR="00607AE0" w:rsidRPr="00BB27C9" w:rsidRDefault="00D36570" w:rsidP="00607AE0">
            <w:pPr>
              <w:jc w:val="center"/>
              <w:rPr>
                <w:i/>
                <w:iCs/>
                <w:color w:val="000000"/>
                <w:sz w:val="22"/>
                <w:szCs w:val="22"/>
              </w:rPr>
            </w:pPr>
            <w:r w:rsidRPr="00BB27C9">
              <w:rPr>
                <w:i/>
                <w:iCs/>
                <w:color w:val="000000"/>
                <w:sz w:val="22"/>
                <w:szCs w:val="22"/>
              </w:rPr>
              <w:t>5</w:t>
            </w:r>
          </w:p>
        </w:tc>
      </w:tr>
      <w:tr w:rsidR="00607AE0" w:rsidRPr="00BB27C9" w:rsidTr="00607AE0">
        <w:trPr>
          <w:gridAfter w:val="4"/>
          <w:wAfter w:w="14422" w:type="dxa"/>
          <w:trHeight w:val="300"/>
        </w:trPr>
        <w:tc>
          <w:tcPr>
            <w:tcW w:w="570" w:type="dxa"/>
            <w:tcBorders>
              <w:bottom w:val="single" w:sz="4" w:space="0" w:color="auto"/>
            </w:tcBorders>
            <w:shd w:val="clear" w:color="auto" w:fill="auto"/>
            <w:noWrap/>
          </w:tcPr>
          <w:p w:rsidR="00607AE0" w:rsidRPr="00BB27C9" w:rsidRDefault="00607AE0" w:rsidP="00607AE0">
            <w:pPr>
              <w:jc w:val="center"/>
              <w:rPr>
                <w:i/>
                <w:iCs/>
                <w:color w:val="000000"/>
                <w:sz w:val="22"/>
                <w:szCs w:val="22"/>
              </w:rPr>
            </w:pPr>
            <w:r w:rsidRPr="00BB27C9">
              <w:rPr>
                <w:b/>
                <w:bCs/>
                <w:color w:val="000000"/>
                <w:sz w:val="22"/>
                <w:szCs w:val="22"/>
              </w:rPr>
              <w:t>I</w:t>
            </w:r>
          </w:p>
        </w:tc>
      </w:tr>
      <w:tr w:rsidR="00607AE0" w:rsidRPr="00BB27C9" w:rsidTr="007460F5">
        <w:trPr>
          <w:trHeight w:val="1230"/>
        </w:trPr>
        <w:tc>
          <w:tcPr>
            <w:tcW w:w="570" w:type="dxa"/>
            <w:shd w:val="clear" w:color="auto" w:fill="auto"/>
            <w:noWrap/>
            <w:vAlign w:val="center"/>
            <w:hideMark/>
          </w:tcPr>
          <w:p w:rsidR="00607AE0" w:rsidRPr="00BB27C9" w:rsidRDefault="00607AE0" w:rsidP="00607AE0">
            <w:pPr>
              <w:jc w:val="center"/>
              <w:rPr>
                <w:color w:val="000000"/>
                <w:sz w:val="22"/>
                <w:szCs w:val="22"/>
              </w:rPr>
            </w:pPr>
            <w:r w:rsidRPr="00BB27C9">
              <w:rPr>
                <w:color w:val="000000"/>
                <w:sz w:val="22"/>
                <w:szCs w:val="22"/>
              </w:rPr>
              <w:t>1.</w:t>
            </w:r>
          </w:p>
        </w:tc>
        <w:tc>
          <w:tcPr>
            <w:tcW w:w="3791" w:type="dxa"/>
            <w:tcBorders>
              <w:bottom w:val="single" w:sz="4" w:space="0" w:color="auto"/>
            </w:tcBorders>
            <w:shd w:val="clear" w:color="auto" w:fill="auto"/>
            <w:vAlign w:val="center"/>
            <w:hideMark/>
          </w:tcPr>
          <w:p w:rsidR="00607AE0" w:rsidRPr="00BB27C9" w:rsidRDefault="00607AE0" w:rsidP="00607AE0">
            <w:pPr>
              <w:jc w:val="both"/>
              <w:rPr>
                <w:b/>
                <w:bCs/>
                <w:color w:val="000000"/>
                <w:sz w:val="22"/>
                <w:szCs w:val="22"/>
              </w:rPr>
            </w:pPr>
            <w:r w:rsidRPr="00BB27C9">
              <w:rPr>
                <w:b/>
                <w:bCs/>
                <w:color w:val="000000"/>
                <w:sz w:val="22"/>
                <w:szCs w:val="22"/>
              </w:rPr>
              <w:t>Įstaigos praėjusių metų veiklos rezultatų ataskaitoje nurodytas pajamų ir sąnaudų skirtumas (grynasis perviršis ar deficitas)</w:t>
            </w:r>
          </w:p>
        </w:tc>
        <w:tc>
          <w:tcPr>
            <w:tcW w:w="4536" w:type="dxa"/>
            <w:tcBorders>
              <w:bottom w:val="single" w:sz="4" w:space="0" w:color="auto"/>
            </w:tcBorders>
            <w:shd w:val="clear" w:color="auto" w:fill="auto"/>
            <w:vAlign w:val="center"/>
          </w:tcPr>
          <w:p w:rsidR="00607AE0" w:rsidRPr="00BB27C9" w:rsidRDefault="00607AE0" w:rsidP="00607AE0">
            <w:pPr>
              <w:jc w:val="center"/>
              <w:rPr>
                <w:color w:val="000000"/>
                <w:sz w:val="22"/>
                <w:szCs w:val="22"/>
              </w:rPr>
            </w:pPr>
            <w:r w:rsidRPr="00BB27C9">
              <w:rPr>
                <w:color w:val="000000"/>
                <w:sz w:val="22"/>
                <w:szCs w:val="22"/>
              </w:rPr>
              <w:t>Būti nenuostolingai</w:t>
            </w:r>
          </w:p>
        </w:tc>
        <w:tc>
          <w:tcPr>
            <w:tcW w:w="4678" w:type="dxa"/>
            <w:tcBorders>
              <w:bottom w:val="single" w:sz="4" w:space="0" w:color="auto"/>
            </w:tcBorders>
            <w:shd w:val="clear" w:color="auto" w:fill="auto"/>
            <w:vAlign w:val="center"/>
          </w:tcPr>
          <w:p w:rsidR="00607AE0" w:rsidRPr="00BB27C9" w:rsidRDefault="00607AE0" w:rsidP="00607AE0">
            <w:pPr>
              <w:jc w:val="center"/>
              <w:rPr>
                <w:color w:val="000000"/>
                <w:sz w:val="22"/>
                <w:szCs w:val="22"/>
              </w:rPr>
            </w:pPr>
            <w:r w:rsidRPr="00BB27C9">
              <w:rPr>
                <w:color w:val="000000"/>
                <w:sz w:val="22"/>
                <w:szCs w:val="22"/>
              </w:rPr>
              <w:t>Grynasis perviršis 2 307,69</w:t>
            </w:r>
          </w:p>
        </w:tc>
        <w:tc>
          <w:tcPr>
            <w:tcW w:w="1417" w:type="dxa"/>
            <w:tcBorders>
              <w:bottom w:val="single" w:sz="4" w:space="0" w:color="auto"/>
              <w:right w:val="single" w:sz="4" w:space="0" w:color="auto"/>
            </w:tcBorders>
            <w:shd w:val="clear" w:color="auto" w:fill="auto"/>
            <w:vAlign w:val="center"/>
          </w:tcPr>
          <w:p w:rsidR="00607AE0" w:rsidRPr="00BB27C9" w:rsidRDefault="00810E34" w:rsidP="00607AE0">
            <w:pPr>
              <w:jc w:val="center"/>
              <w:rPr>
                <w:color w:val="000000"/>
                <w:sz w:val="22"/>
                <w:szCs w:val="22"/>
              </w:rPr>
            </w:pPr>
            <w:r w:rsidRPr="00BB27C9">
              <w:rPr>
                <w:color w:val="000000"/>
                <w:sz w:val="22"/>
                <w:szCs w:val="22"/>
              </w:rPr>
              <w:t>10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2.</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Įstaigos sąnaudų darbo užmokesčiui dalis</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Valstybės institucijoms skyrus papildomų PSDF biudžeto lėšų asmens sveikatos priežiūros paslaugoms apmokėti ir rekomendavus jas nukreipti darbuotojų darbo užmokesčiui didinti, ne mažiau kaip 80 proc. nurodytų lėšų panaudojamos darbo užmokesčiui didinti</w:t>
            </w:r>
          </w:p>
        </w:tc>
        <w:tc>
          <w:tcPr>
            <w:tcW w:w="4678"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 xml:space="preserve">Procentinis papildomai skirtų lėšų panaudojimas – 87,9 proc. </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810E34" w:rsidP="00607AE0">
            <w:pPr>
              <w:jc w:val="center"/>
              <w:rPr>
                <w:sz w:val="22"/>
                <w:szCs w:val="22"/>
              </w:rPr>
            </w:pPr>
            <w:r w:rsidRPr="00BB27C9">
              <w:rPr>
                <w:sz w:val="22"/>
                <w:szCs w:val="22"/>
              </w:rPr>
              <w:t>10</w:t>
            </w:r>
          </w:p>
        </w:tc>
      </w:tr>
      <w:tr w:rsidR="00607AE0" w:rsidRPr="00BB27C9" w:rsidTr="007460F5">
        <w:trPr>
          <w:trHeight w:val="1114"/>
        </w:trPr>
        <w:tc>
          <w:tcPr>
            <w:tcW w:w="570" w:type="dxa"/>
            <w:shd w:val="clear" w:color="auto" w:fill="auto"/>
            <w:vAlign w:val="center"/>
          </w:tcPr>
          <w:p w:rsidR="00607AE0" w:rsidRPr="00BB27C9" w:rsidRDefault="00607AE0" w:rsidP="00607AE0">
            <w:pPr>
              <w:jc w:val="center"/>
              <w:rPr>
                <w:sz w:val="22"/>
                <w:szCs w:val="22"/>
              </w:rPr>
            </w:pPr>
            <w:r w:rsidRPr="00BB27C9">
              <w:rPr>
                <w:sz w:val="22"/>
                <w:szCs w:val="22"/>
              </w:rPr>
              <w:t>3.</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Įstaigos sąnaudų valdymo išlaidoms dalis</w:t>
            </w:r>
            <w:r w:rsidRPr="00BB27C9">
              <w:rPr>
                <w:b/>
                <w:sz w:val="22"/>
                <w:szCs w:val="22"/>
              </w:rPr>
              <w:tab/>
            </w:r>
            <w:r w:rsidRPr="00BB27C9">
              <w:rPr>
                <w:b/>
                <w:sz w:val="22"/>
                <w:szCs w:val="22"/>
              </w:rPr>
              <w:tab/>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Įstaigos sąnaudų valdymo išlaidoms dalis ne daugiau kaip 2,24</w:t>
            </w:r>
            <w:r w:rsidR="0016185F" w:rsidRPr="00BB27C9">
              <w:rPr>
                <w:sz w:val="22"/>
                <w:szCs w:val="22"/>
              </w:rPr>
              <w:t xml:space="preserve"> </w:t>
            </w:r>
            <w:r w:rsidRPr="00BB27C9">
              <w:rPr>
                <w:sz w:val="22"/>
                <w:szCs w:val="22"/>
              </w:rPr>
              <w:t>proc.</w:t>
            </w:r>
          </w:p>
        </w:tc>
        <w:tc>
          <w:tcPr>
            <w:tcW w:w="4678" w:type="dxa"/>
            <w:tcBorders>
              <w:top w:val="single" w:sz="4" w:space="0" w:color="auto"/>
              <w:bottom w:val="single" w:sz="4" w:space="0" w:color="auto"/>
            </w:tcBorders>
            <w:shd w:val="clear" w:color="auto" w:fill="auto"/>
            <w:vAlign w:val="center"/>
          </w:tcPr>
          <w:p w:rsidR="00607AE0" w:rsidRPr="00BB27C9" w:rsidRDefault="0016185F" w:rsidP="00607AE0">
            <w:pPr>
              <w:jc w:val="center"/>
              <w:rPr>
                <w:sz w:val="22"/>
                <w:szCs w:val="22"/>
              </w:rPr>
            </w:pPr>
            <w:r w:rsidRPr="00BB27C9">
              <w:rPr>
                <w:sz w:val="22"/>
                <w:szCs w:val="22"/>
              </w:rPr>
              <w:t xml:space="preserve">4,5 proc. </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810E34" w:rsidP="00607AE0">
            <w:pPr>
              <w:jc w:val="center"/>
              <w:rPr>
                <w:sz w:val="22"/>
                <w:szCs w:val="22"/>
              </w:rPr>
            </w:pPr>
            <w:r w:rsidRPr="00BB27C9">
              <w:rPr>
                <w:sz w:val="22"/>
                <w:szCs w:val="22"/>
              </w:rPr>
              <w:t>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4.</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Įstaigos finansinių įsipareigojimų dalis nuo metinio įstaigos biudžeto</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Įsipareigojimų koeficientas ne didesnis kaip 0,10</w:t>
            </w:r>
          </w:p>
        </w:tc>
        <w:tc>
          <w:tcPr>
            <w:tcW w:w="4678" w:type="dxa"/>
            <w:tcBorders>
              <w:top w:val="single" w:sz="4" w:space="0" w:color="auto"/>
              <w:bottom w:val="single" w:sz="4" w:space="0" w:color="auto"/>
            </w:tcBorders>
            <w:shd w:val="clear" w:color="auto" w:fill="auto"/>
            <w:vAlign w:val="center"/>
          </w:tcPr>
          <w:p w:rsidR="00607AE0" w:rsidRPr="00BB27C9" w:rsidRDefault="0016185F" w:rsidP="00607AE0">
            <w:pPr>
              <w:jc w:val="center"/>
              <w:rPr>
                <w:sz w:val="22"/>
                <w:szCs w:val="22"/>
              </w:rPr>
            </w:pPr>
            <w:r w:rsidRPr="00BB27C9">
              <w:rPr>
                <w:sz w:val="22"/>
                <w:szCs w:val="22"/>
              </w:rPr>
              <w:t>0,12 proc.</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810E34" w:rsidP="00607AE0">
            <w:pPr>
              <w:jc w:val="center"/>
              <w:rPr>
                <w:sz w:val="22"/>
                <w:szCs w:val="22"/>
              </w:rPr>
            </w:pPr>
            <w:r w:rsidRPr="00BB27C9">
              <w:rPr>
                <w:sz w:val="22"/>
                <w:szCs w:val="22"/>
              </w:rPr>
              <w:t>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5.</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Papildomų finansavimo šaltinių pritraukimas</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ASPĮ per pastaruosius 3 m. yra pasirašiusi bent vieną sutartį dėl dalyvavimo projekte, iš kurio gauna papildomą finansavimą</w:t>
            </w:r>
          </w:p>
        </w:tc>
        <w:tc>
          <w:tcPr>
            <w:tcW w:w="4678" w:type="dxa"/>
            <w:tcBorders>
              <w:top w:val="single" w:sz="4" w:space="0" w:color="auto"/>
              <w:bottom w:val="single" w:sz="4" w:space="0" w:color="auto"/>
            </w:tcBorders>
            <w:shd w:val="clear" w:color="auto" w:fill="auto"/>
            <w:vAlign w:val="center"/>
          </w:tcPr>
          <w:p w:rsidR="00607AE0" w:rsidRPr="00BB27C9" w:rsidRDefault="0016185F" w:rsidP="00607AE0">
            <w:pPr>
              <w:jc w:val="center"/>
              <w:rPr>
                <w:sz w:val="22"/>
                <w:szCs w:val="22"/>
              </w:rPr>
            </w:pPr>
            <w:r w:rsidRPr="00BB27C9">
              <w:rPr>
                <w:sz w:val="22"/>
                <w:szCs w:val="22"/>
              </w:rPr>
              <w:t>2021-12-07 pasirašyta sutartis Nr. SK-82-(1.13.) dėl psichikos sveikatos kompetencijų didinimo Įstaigos darbuotojams mokymo organizavimo vadovaujantis 2019 m. gegužės 17 d. LR SAM įsakymu Nr. V-590 „Dėl psichikos sveikatos kompetencijų didinimo įmonių darbuotojams tvarkos aprašo patvirtinimo“</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506206" w:rsidP="00607AE0">
            <w:pPr>
              <w:jc w:val="center"/>
              <w:rPr>
                <w:sz w:val="22"/>
                <w:szCs w:val="22"/>
              </w:rPr>
            </w:pPr>
            <w:r>
              <w:rPr>
                <w:sz w:val="22"/>
                <w:szCs w:val="22"/>
              </w:rPr>
              <w:t>10</w:t>
            </w:r>
          </w:p>
        </w:tc>
      </w:tr>
      <w:tr w:rsidR="00607AE0" w:rsidRPr="00BB27C9" w:rsidTr="00607AE0">
        <w:trPr>
          <w:gridAfter w:val="4"/>
          <w:wAfter w:w="14422" w:type="dxa"/>
        </w:trPr>
        <w:tc>
          <w:tcPr>
            <w:tcW w:w="570" w:type="dxa"/>
            <w:shd w:val="clear" w:color="auto" w:fill="auto"/>
            <w:vAlign w:val="center"/>
          </w:tcPr>
          <w:p w:rsidR="00607AE0" w:rsidRPr="00BB27C9" w:rsidRDefault="00607AE0" w:rsidP="00607AE0">
            <w:pPr>
              <w:jc w:val="center"/>
              <w:rPr>
                <w:b/>
                <w:sz w:val="22"/>
                <w:szCs w:val="22"/>
              </w:rPr>
            </w:pPr>
            <w:r w:rsidRPr="00BB27C9">
              <w:rPr>
                <w:b/>
                <w:sz w:val="22"/>
                <w:szCs w:val="22"/>
              </w:rPr>
              <w:t>II</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lastRenderedPageBreak/>
              <w:t>1.</w:t>
            </w:r>
          </w:p>
        </w:tc>
        <w:tc>
          <w:tcPr>
            <w:tcW w:w="3791" w:type="dxa"/>
            <w:tcBorders>
              <w:bottom w:val="single" w:sz="4" w:space="0" w:color="auto"/>
            </w:tcBorders>
            <w:shd w:val="clear" w:color="auto" w:fill="auto"/>
          </w:tcPr>
          <w:p w:rsidR="00607AE0" w:rsidRPr="00BB27C9" w:rsidRDefault="00607AE0" w:rsidP="00607AE0">
            <w:pPr>
              <w:jc w:val="both"/>
              <w:rPr>
                <w:b/>
                <w:sz w:val="22"/>
                <w:szCs w:val="22"/>
              </w:rPr>
            </w:pPr>
            <w:r w:rsidRPr="00BB27C9">
              <w:rPr>
                <w:b/>
                <w:sz w:val="22"/>
                <w:szCs w:val="22"/>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4536" w:type="dxa"/>
            <w:tcBorders>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Pacientų pasitenkinimo ASPĮ teikiamomis asmens sveikatos priežiūros paslaugomis lygis ne mažiau kaip 0,8 balo</w:t>
            </w:r>
          </w:p>
        </w:tc>
        <w:tc>
          <w:tcPr>
            <w:tcW w:w="4678" w:type="dxa"/>
            <w:tcBorders>
              <w:bottom w:val="single" w:sz="4" w:space="0" w:color="auto"/>
            </w:tcBorders>
            <w:shd w:val="clear" w:color="auto" w:fill="auto"/>
            <w:vAlign w:val="center"/>
          </w:tcPr>
          <w:p w:rsidR="00607AE0" w:rsidRPr="00BB27C9" w:rsidRDefault="0016185F" w:rsidP="00607AE0">
            <w:pPr>
              <w:jc w:val="center"/>
              <w:rPr>
                <w:sz w:val="22"/>
                <w:szCs w:val="22"/>
              </w:rPr>
            </w:pPr>
            <w:r w:rsidRPr="00BB27C9">
              <w:rPr>
                <w:sz w:val="22"/>
                <w:szCs w:val="22"/>
              </w:rPr>
              <w:t>Pacientų pasitenkinimo įstaigos teikiamomis paslaugomis lygis – 1 balas</w:t>
            </w:r>
          </w:p>
        </w:tc>
        <w:tc>
          <w:tcPr>
            <w:tcW w:w="1417" w:type="dxa"/>
            <w:tcBorders>
              <w:bottom w:val="single" w:sz="4" w:space="0" w:color="auto"/>
              <w:right w:val="single" w:sz="4" w:space="0" w:color="auto"/>
            </w:tcBorders>
            <w:shd w:val="clear" w:color="auto" w:fill="auto"/>
            <w:vAlign w:val="center"/>
          </w:tcPr>
          <w:p w:rsidR="00607AE0" w:rsidRPr="00BB27C9" w:rsidRDefault="00810E34" w:rsidP="00607AE0">
            <w:pPr>
              <w:jc w:val="center"/>
              <w:rPr>
                <w:sz w:val="22"/>
                <w:szCs w:val="22"/>
              </w:rPr>
            </w:pPr>
            <w:r w:rsidRPr="00BB27C9">
              <w:rPr>
                <w:sz w:val="22"/>
                <w:szCs w:val="22"/>
              </w:rPr>
              <w:t>10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2.</w:t>
            </w:r>
          </w:p>
        </w:tc>
        <w:tc>
          <w:tcPr>
            <w:tcW w:w="3791" w:type="dxa"/>
            <w:shd w:val="clear" w:color="auto" w:fill="auto"/>
            <w:vAlign w:val="center"/>
          </w:tcPr>
          <w:p w:rsidR="00607AE0" w:rsidRPr="00BB27C9" w:rsidRDefault="00607AE0" w:rsidP="00607AE0">
            <w:pPr>
              <w:jc w:val="both"/>
              <w:rPr>
                <w:b/>
                <w:sz w:val="22"/>
                <w:szCs w:val="22"/>
              </w:rPr>
            </w:pPr>
            <w:r w:rsidRPr="00BB27C9">
              <w:rPr>
                <w:b/>
                <w:sz w:val="22"/>
                <w:szCs w:val="22"/>
              </w:rPr>
              <w:t>Įstaigoje gautų pacientų skundų dėl įstaigoje suteiktų asmens sveikatos priežiūros paslaugų skaičius per metus ir pagrįstų skundų dalis</w:t>
            </w:r>
          </w:p>
        </w:tc>
        <w:tc>
          <w:tcPr>
            <w:tcW w:w="4536" w:type="dxa"/>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shd w:val="clear" w:color="auto" w:fill="auto"/>
            <w:vAlign w:val="center"/>
          </w:tcPr>
          <w:p w:rsidR="00607AE0" w:rsidRPr="00BB27C9" w:rsidRDefault="009A1BFB" w:rsidP="00607AE0">
            <w:pPr>
              <w:jc w:val="center"/>
              <w:rPr>
                <w:sz w:val="22"/>
                <w:szCs w:val="22"/>
              </w:rPr>
            </w:pPr>
            <w:r w:rsidRPr="00BB27C9">
              <w:rPr>
                <w:sz w:val="22"/>
                <w:szCs w:val="22"/>
              </w:rPr>
              <w:t>Skundų negauta</w:t>
            </w:r>
          </w:p>
        </w:tc>
        <w:tc>
          <w:tcPr>
            <w:tcW w:w="1417" w:type="dxa"/>
            <w:tcBorders>
              <w:right w:val="single" w:sz="4" w:space="0" w:color="auto"/>
            </w:tcBorders>
            <w:shd w:val="clear" w:color="auto" w:fill="auto"/>
            <w:vAlign w:val="center"/>
          </w:tcPr>
          <w:p w:rsidR="00607AE0" w:rsidRPr="00BB27C9" w:rsidRDefault="00810E34" w:rsidP="00607AE0">
            <w:pPr>
              <w:jc w:val="center"/>
              <w:rPr>
                <w:sz w:val="22"/>
                <w:szCs w:val="22"/>
              </w:rPr>
            </w:pPr>
            <w:r w:rsidRPr="00BB27C9">
              <w:rPr>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3.</w:t>
            </w:r>
          </w:p>
        </w:tc>
        <w:tc>
          <w:tcPr>
            <w:tcW w:w="3791" w:type="dxa"/>
            <w:shd w:val="clear" w:color="auto" w:fill="auto"/>
            <w:vAlign w:val="center"/>
          </w:tcPr>
          <w:p w:rsidR="00607AE0" w:rsidRPr="00BB27C9" w:rsidRDefault="00607AE0" w:rsidP="00607AE0">
            <w:pPr>
              <w:jc w:val="both"/>
              <w:rPr>
                <w:b/>
                <w:sz w:val="22"/>
                <w:szCs w:val="22"/>
              </w:rPr>
            </w:pPr>
            <w:r w:rsidRPr="00BB27C9">
              <w:rPr>
                <w:b/>
                <w:sz w:val="22"/>
                <w:szCs w:val="22"/>
              </w:rPr>
              <w:t>Įstaigoje gautų pagrįstų skundų dalis nuo visų įstaigoje suteiktų asmens sveikatos priežiūros paslaugų skaičiaus per metus pagal sveikatos apsaugos ministro nustatytas paslaugų grupes</w:t>
            </w:r>
            <w:r w:rsidRPr="00BB27C9">
              <w:rPr>
                <w:b/>
                <w:sz w:val="22"/>
                <w:szCs w:val="22"/>
              </w:rPr>
              <w:tab/>
            </w:r>
          </w:p>
        </w:tc>
        <w:tc>
          <w:tcPr>
            <w:tcW w:w="4536" w:type="dxa"/>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shd w:val="clear" w:color="auto" w:fill="auto"/>
            <w:vAlign w:val="center"/>
          </w:tcPr>
          <w:p w:rsidR="00607AE0" w:rsidRPr="00BB27C9" w:rsidRDefault="009A1BFB" w:rsidP="00607AE0">
            <w:pPr>
              <w:jc w:val="center"/>
              <w:rPr>
                <w:sz w:val="22"/>
                <w:szCs w:val="22"/>
              </w:rPr>
            </w:pPr>
            <w:r w:rsidRPr="00BB27C9">
              <w:rPr>
                <w:sz w:val="22"/>
                <w:szCs w:val="22"/>
              </w:rPr>
              <w:t>Skundų negauta</w:t>
            </w:r>
          </w:p>
        </w:tc>
        <w:tc>
          <w:tcPr>
            <w:tcW w:w="1417" w:type="dxa"/>
            <w:tcBorders>
              <w:right w:val="single" w:sz="4" w:space="0" w:color="auto"/>
            </w:tcBorders>
            <w:shd w:val="clear" w:color="auto" w:fill="auto"/>
            <w:vAlign w:val="center"/>
          </w:tcPr>
          <w:p w:rsidR="00607AE0" w:rsidRPr="00BB27C9" w:rsidRDefault="00810E34" w:rsidP="00607AE0">
            <w:pPr>
              <w:jc w:val="center"/>
              <w:rPr>
                <w:sz w:val="22"/>
                <w:szCs w:val="22"/>
              </w:rPr>
            </w:pPr>
            <w:r w:rsidRPr="00BB27C9">
              <w:rPr>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4.</w:t>
            </w:r>
          </w:p>
        </w:tc>
        <w:tc>
          <w:tcPr>
            <w:tcW w:w="3791" w:type="dxa"/>
            <w:tcBorders>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Įstaigoje taikomos kovos su korupcija priemonės, numatytos sveikatos apsaugos ministro tvirtinamoje Sveikatos priežiūros srities korupcijos prevencijos programoje</w:t>
            </w:r>
          </w:p>
        </w:tc>
        <w:tc>
          <w:tcPr>
            <w:tcW w:w="4536" w:type="dxa"/>
            <w:tcBorders>
              <w:bottom w:val="single" w:sz="4" w:space="0" w:color="auto"/>
            </w:tcBorders>
            <w:shd w:val="clear" w:color="auto" w:fill="auto"/>
            <w:vAlign w:val="center"/>
          </w:tcPr>
          <w:p w:rsidR="00607AE0" w:rsidRPr="00BB27C9" w:rsidRDefault="00607AE0" w:rsidP="00607AE0">
            <w:pPr>
              <w:jc w:val="center"/>
              <w:rPr>
                <w:b/>
                <w:sz w:val="22"/>
                <w:szCs w:val="22"/>
              </w:rPr>
            </w:pPr>
            <w:r w:rsidRPr="00BB27C9">
              <w:rPr>
                <w:bCs/>
                <w:sz w:val="22"/>
                <w:szCs w:val="22"/>
              </w:rPr>
              <w:t>Asmens sveikatos priežiūros įstaiga įtraukta į Skaidrių asmens sveikatos priežiūros įstaigų sąrašą</w:t>
            </w:r>
          </w:p>
        </w:tc>
        <w:tc>
          <w:tcPr>
            <w:tcW w:w="4678" w:type="dxa"/>
            <w:tcBorders>
              <w:bottom w:val="single" w:sz="4" w:space="0" w:color="auto"/>
            </w:tcBorders>
            <w:shd w:val="clear" w:color="auto" w:fill="auto"/>
            <w:vAlign w:val="center"/>
          </w:tcPr>
          <w:p w:rsidR="00607AE0" w:rsidRPr="00BB27C9" w:rsidRDefault="009A1BFB" w:rsidP="00607AE0">
            <w:pPr>
              <w:jc w:val="center"/>
              <w:rPr>
                <w:sz w:val="22"/>
                <w:szCs w:val="22"/>
              </w:rPr>
            </w:pPr>
            <w:r w:rsidRPr="00BB27C9">
              <w:rPr>
                <w:sz w:val="22"/>
                <w:szCs w:val="22"/>
              </w:rPr>
              <w:t>2020 m. gegužės 28 d. Panevėžio miesto savivaldybės tarybos sprendimu Nr. 1-136 Įstaigai suteiktas skaidrios asmens sveikatos priežiūros įstaigos vardas</w:t>
            </w:r>
          </w:p>
        </w:tc>
        <w:tc>
          <w:tcPr>
            <w:tcW w:w="1417" w:type="dxa"/>
            <w:tcBorders>
              <w:bottom w:val="single" w:sz="4" w:space="0" w:color="auto"/>
              <w:right w:val="single" w:sz="4" w:space="0" w:color="auto"/>
            </w:tcBorders>
            <w:shd w:val="clear" w:color="auto" w:fill="auto"/>
            <w:vAlign w:val="center"/>
          </w:tcPr>
          <w:p w:rsidR="00607AE0" w:rsidRPr="00BB27C9" w:rsidRDefault="00747D78" w:rsidP="00747D78">
            <w:pPr>
              <w:jc w:val="center"/>
              <w:rPr>
                <w:sz w:val="22"/>
                <w:szCs w:val="22"/>
              </w:rPr>
            </w:pPr>
            <w:r w:rsidRPr="00BB27C9">
              <w:rPr>
                <w:sz w:val="22"/>
                <w:szCs w:val="22"/>
              </w:rPr>
              <w:t>15</w:t>
            </w:r>
          </w:p>
        </w:tc>
      </w:tr>
      <w:tr w:rsidR="00607AE0" w:rsidRPr="00BB27C9" w:rsidTr="007460F5">
        <w:tc>
          <w:tcPr>
            <w:tcW w:w="570"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5.</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Informacinių technologijų diegimo ir plėtros lygis (pacientų elektroninės registracijos sistema, įstaigos interneto svetainės išsamumas, darbuotojų darbo krūvio apskaita, įstaigos dalyvavimo elektroninėje sveikatos sistemoje mastas)</w:t>
            </w:r>
            <w:r w:rsidRPr="00BB27C9">
              <w:rPr>
                <w:b/>
                <w:sz w:val="22"/>
                <w:szCs w:val="22"/>
              </w:rPr>
              <w:tab/>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ind w:left="360" w:hanging="360"/>
              <w:jc w:val="both"/>
              <w:rPr>
                <w:color w:val="000000"/>
                <w:sz w:val="22"/>
                <w:szCs w:val="22"/>
              </w:rPr>
            </w:pPr>
            <w:r w:rsidRPr="00BB27C9">
              <w:rPr>
                <w:rFonts w:eastAsia="Calibri"/>
                <w:color w:val="000000"/>
                <w:sz w:val="22"/>
                <w:szCs w:val="22"/>
              </w:rPr>
              <w:t>1.</w:t>
            </w:r>
            <w:r w:rsidRPr="00BB27C9">
              <w:rPr>
                <w:rFonts w:eastAsia="Calibri"/>
                <w:color w:val="000000"/>
                <w:sz w:val="22"/>
                <w:szCs w:val="22"/>
              </w:rPr>
              <w:tab/>
            </w:r>
            <w:r w:rsidRPr="00BB27C9">
              <w:rPr>
                <w:color w:val="000000"/>
                <w:sz w:val="22"/>
                <w:szCs w:val="22"/>
              </w:rPr>
              <w:t>ASPĮ, išrašant e. receptus, vaistų sąveikų tikrinimo funkcionalumas naudojamas visa apimtimi.</w:t>
            </w:r>
          </w:p>
          <w:p w:rsidR="00607AE0" w:rsidRPr="00BB27C9" w:rsidRDefault="00607AE0" w:rsidP="00607AE0">
            <w:pPr>
              <w:rPr>
                <w:sz w:val="22"/>
                <w:szCs w:val="22"/>
              </w:rPr>
            </w:pPr>
          </w:p>
          <w:p w:rsidR="00607AE0" w:rsidRPr="00BB27C9" w:rsidRDefault="00607AE0" w:rsidP="00607AE0">
            <w:pPr>
              <w:ind w:left="360" w:hanging="360"/>
              <w:jc w:val="both"/>
              <w:rPr>
                <w:color w:val="000000"/>
                <w:sz w:val="22"/>
                <w:szCs w:val="22"/>
              </w:rPr>
            </w:pPr>
            <w:r w:rsidRPr="00BB27C9">
              <w:rPr>
                <w:rFonts w:eastAsia="Calibri"/>
                <w:color w:val="000000"/>
                <w:sz w:val="22"/>
                <w:szCs w:val="22"/>
              </w:rPr>
              <w:t>2.</w:t>
            </w:r>
            <w:r w:rsidRPr="00BB27C9">
              <w:rPr>
                <w:rFonts w:eastAsia="Calibri"/>
                <w:color w:val="000000"/>
                <w:sz w:val="22"/>
                <w:szCs w:val="22"/>
              </w:rPr>
              <w:tab/>
            </w:r>
            <w:r w:rsidRPr="00BB27C9">
              <w:rPr>
                <w:color w:val="000000"/>
                <w:sz w:val="22"/>
                <w:szCs w:val="22"/>
              </w:rPr>
              <w:t>ASPĮ yra IPR IS dalyvis.</w:t>
            </w:r>
          </w:p>
          <w:p w:rsidR="00607AE0" w:rsidRPr="00BB27C9" w:rsidRDefault="00607AE0" w:rsidP="00607AE0">
            <w:pPr>
              <w:ind w:left="720"/>
              <w:rPr>
                <w:rFonts w:ascii="Calibri" w:hAnsi="Calibri"/>
                <w:sz w:val="22"/>
                <w:szCs w:val="22"/>
              </w:rPr>
            </w:pPr>
          </w:p>
          <w:p w:rsidR="00607AE0" w:rsidRPr="00BB27C9" w:rsidRDefault="00607AE0" w:rsidP="00607AE0">
            <w:pPr>
              <w:ind w:left="360" w:hanging="360"/>
              <w:jc w:val="both"/>
              <w:rPr>
                <w:color w:val="000000"/>
                <w:sz w:val="22"/>
                <w:szCs w:val="22"/>
              </w:rPr>
            </w:pPr>
            <w:r w:rsidRPr="00BB27C9">
              <w:rPr>
                <w:rFonts w:eastAsia="Calibri"/>
                <w:color w:val="000000"/>
                <w:sz w:val="22"/>
                <w:szCs w:val="22"/>
              </w:rPr>
              <w:t>3.</w:t>
            </w:r>
            <w:r w:rsidRPr="00BB27C9">
              <w:rPr>
                <w:rFonts w:eastAsia="Calibri"/>
                <w:color w:val="000000"/>
                <w:sz w:val="22"/>
                <w:szCs w:val="22"/>
              </w:rPr>
              <w:tab/>
              <w:t xml:space="preserve">Ne mažiau kaip 98 proc. visų vakcinacijos įrašų </w:t>
            </w:r>
            <w:r w:rsidRPr="00BB27C9">
              <w:rPr>
                <w:color w:val="000000"/>
                <w:sz w:val="22"/>
                <w:szCs w:val="22"/>
              </w:rPr>
              <w:t xml:space="preserve">(e. dokumentas Nr. E063 </w:t>
            </w:r>
            <w:r w:rsidRPr="00BB27C9">
              <w:rPr>
                <w:color w:val="000000"/>
                <w:sz w:val="22"/>
                <w:szCs w:val="22"/>
              </w:rPr>
              <w:lastRenderedPageBreak/>
              <w:t>„Vakcinacijos įrašas“) (toliau – E063</w:t>
            </w:r>
            <w:r w:rsidRPr="00BB27C9">
              <w:rPr>
                <w:rFonts w:eastAsia="Calibri"/>
                <w:color w:val="000000"/>
                <w:sz w:val="22"/>
                <w:szCs w:val="22"/>
              </w:rPr>
              <w:t>)</w:t>
            </w:r>
            <w:r w:rsidRPr="00BB27C9">
              <w:rPr>
                <w:color w:val="000000"/>
                <w:sz w:val="22"/>
                <w:szCs w:val="22"/>
              </w:rPr>
              <w:t xml:space="preserve"> </w:t>
            </w:r>
            <w:r w:rsidRPr="00BB27C9">
              <w:rPr>
                <w:rFonts w:eastAsia="Calibri"/>
                <w:color w:val="000000"/>
                <w:sz w:val="22"/>
                <w:szCs w:val="22"/>
              </w:rPr>
              <w:t>išrašoma el. būdu.</w:t>
            </w:r>
          </w:p>
          <w:p w:rsidR="00607AE0" w:rsidRPr="00BB27C9" w:rsidRDefault="00607AE0" w:rsidP="00607AE0">
            <w:pPr>
              <w:ind w:left="720"/>
              <w:rPr>
                <w:rFonts w:ascii="Calibri" w:hAnsi="Calibri"/>
                <w:sz w:val="22"/>
                <w:szCs w:val="22"/>
              </w:rPr>
            </w:pPr>
          </w:p>
          <w:p w:rsidR="00607AE0" w:rsidRPr="00BB27C9" w:rsidRDefault="00607AE0" w:rsidP="00607AE0">
            <w:pPr>
              <w:ind w:left="360" w:hanging="360"/>
              <w:jc w:val="both"/>
              <w:rPr>
                <w:color w:val="000000"/>
                <w:sz w:val="22"/>
                <w:szCs w:val="22"/>
              </w:rPr>
            </w:pPr>
            <w:r w:rsidRPr="00BB27C9">
              <w:rPr>
                <w:rFonts w:eastAsia="Calibri"/>
                <w:color w:val="000000"/>
                <w:sz w:val="22"/>
                <w:szCs w:val="22"/>
              </w:rPr>
              <w:t>4.</w:t>
            </w:r>
            <w:r w:rsidRPr="00BB27C9">
              <w:rPr>
                <w:rFonts w:eastAsia="Calibri"/>
                <w:color w:val="000000"/>
                <w:sz w:val="22"/>
                <w:szCs w:val="22"/>
              </w:rPr>
              <w:tab/>
            </w:r>
            <w:r w:rsidRPr="00BB27C9">
              <w:rPr>
                <w:rFonts w:eastAsia="Calibri"/>
                <w:color w:val="000000"/>
                <w:sz w:val="22"/>
                <w:szCs w:val="22"/>
                <w:lang w:eastAsia="lt-LT"/>
              </w:rPr>
              <w:t>Ne mažiau kaip 50 proc. visų E0</w:t>
            </w:r>
            <w:r w:rsidRPr="00BB27C9">
              <w:rPr>
                <w:rFonts w:eastAsia="Calibri"/>
                <w:color w:val="000000"/>
                <w:sz w:val="22"/>
                <w:szCs w:val="22"/>
                <w:lang w:val="en-US" w:eastAsia="lt-LT"/>
              </w:rPr>
              <w:t>27-a</w:t>
            </w:r>
            <w:r w:rsidRPr="00BB27C9">
              <w:rPr>
                <w:rFonts w:eastAsia="Calibri"/>
                <w:color w:val="000000"/>
                <w:sz w:val="22"/>
                <w:szCs w:val="22"/>
                <w:lang w:eastAsia="lt-LT"/>
              </w:rPr>
              <w:t xml:space="preserve"> išrašoma el. būdu.</w:t>
            </w:r>
          </w:p>
          <w:p w:rsidR="00607AE0" w:rsidRPr="00BB27C9" w:rsidRDefault="00607AE0" w:rsidP="00607AE0">
            <w:pPr>
              <w:ind w:left="720"/>
              <w:rPr>
                <w:rFonts w:ascii="Calibri" w:hAnsi="Calibri"/>
                <w:sz w:val="22"/>
                <w:szCs w:val="22"/>
              </w:rPr>
            </w:pPr>
          </w:p>
          <w:p w:rsidR="00607AE0" w:rsidRPr="00BB27C9" w:rsidRDefault="00607AE0" w:rsidP="00607AE0">
            <w:pPr>
              <w:ind w:left="360" w:hanging="360"/>
              <w:jc w:val="both"/>
              <w:rPr>
                <w:color w:val="000000"/>
                <w:sz w:val="22"/>
                <w:szCs w:val="22"/>
              </w:rPr>
            </w:pPr>
            <w:r w:rsidRPr="00BB27C9">
              <w:rPr>
                <w:rFonts w:eastAsia="Calibri"/>
                <w:color w:val="000000"/>
                <w:sz w:val="22"/>
                <w:szCs w:val="22"/>
              </w:rPr>
              <w:t>5.</w:t>
            </w:r>
            <w:r w:rsidRPr="00BB27C9">
              <w:rPr>
                <w:rFonts w:eastAsia="Calibri"/>
                <w:color w:val="000000"/>
                <w:sz w:val="22"/>
                <w:szCs w:val="22"/>
              </w:rPr>
              <w:tab/>
            </w:r>
            <w:r w:rsidRPr="00BB27C9">
              <w:rPr>
                <w:color w:val="000000"/>
                <w:sz w:val="22"/>
                <w:szCs w:val="22"/>
              </w:rPr>
              <w:t xml:space="preserve">Patvirtinta ASPĮ naudojamos </w:t>
            </w:r>
            <w:r w:rsidRPr="00BB27C9">
              <w:rPr>
                <w:rFonts w:eastAsia="Calibri"/>
                <w:color w:val="000000"/>
                <w:sz w:val="22"/>
                <w:szCs w:val="22"/>
              </w:rPr>
              <w:t>informacinės sistemos infrastruktūros saugumo dokumentacija.</w:t>
            </w:r>
          </w:p>
        </w:tc>
        <w:tc>
          <w:tcPr>
            <w:tcW w:w="4678" w:type="dxa"/>
            <w:tcBorders>
              <w:top w:val="single" w:sz="4" w:space="0" w:color="auto"/>
              <w:bottom w:val="single" w:sz="4" w:space="0" w:color="auto"/>
            </w:tcBorders>
            <w:shd w:val="clear" w:color="auto" w:fill="auto"/>
          </w:tcPr>
          <w:p w:rsidR="00607AE0" w:rsidRPr="00BB27C9" w:rsidRDefault="000F71A4" w:rsidP="00607AE0">
            <w:pPr>
              <w:jc w:val="both"/>
              <w:rPr>
                <w:sz w:val="22"/>
                <w:szCs w:val="22"/>
              </w:rPr>
            </w:pPr>
            <w:r w:rsidRPr="00BB27C9">
              <w:rPr>
                <w:sz w:val="22"/>
                <w:szCs w:val="22"/>
              </w:rPr>
              <w:lastRenderedPageBreak/>
              <w:t xml:space="preserve">1) Pagal Įstaigos veiklos specifiką </w:t>
            </w:r>
            <w:r w:rsidR="00AD104C">
              <w:rPr>
                <w:sz w:val="22"/>
                <w:szCs w:val="22"/>
              </w:rPr>
              <w:t xml:space="preserve">– </w:t>
            </w:r>
            <w:r w:rsidRPr="00BB27C9">
              <w:rPr>
                <w:sz w:val="22"/>
                <w:szCs w:val="22"/>
              </w:rPr>
              <w:t>net</w:t>
            </w:r>
            <w:r w:rsidR="00AD104C">
              <w:rPr>
                <w:sz w:val="22"/>
                <w:szCs w:val="22"/>
              </w:rPr>
              <w:t>a</w:t>
            </w:r>
            <w:r w:rsidRPr="00BB27C9">
              <w:rPr>
                <w:sz w:val="22"/>
                <w:szCs w:val="22"/>
              </w:rPr>
              <w:t>ik</w:t>
            </w:r>
            <w:r w:rsidR="00AD104C">
              <w:rPr>
                <w:sz w:val="22"/>
                <w:szCs w:val="22"/>
              </w:rPr>
              <w:t>oma</w:t>
            </w:r>
            <w:r w:rsidRPr="00BB27C9">
              <w:rPr>
                <w:sz w:val="22"/>
                <w:szCs w:val="22"/>
              </w:rPr>
              <w:t xml:space="preserve">. </w:t>
            </w:r>
          </w:p>
          <w:p w:rsidR="000F71A4" w:rsidRPr="00BB27C9" w:rsidRDefault="000F71A4" w:rsidP="00607AE0">
            <w:pPr>
              <w:jc w:val="both"/>
              <w:rPr>
                <w:sz w:val="22"/>
                <w:szCs w:val="22"/>
              </w:rPr>
            </w:pPr>
          </w:p>
          <w:p w:rsidR="000F71A4" w:rsidRPr="00BB27C9" w:rsidRDefault="000F71A4" w:rsidP="00607AE0">
            <w:pPr>
              <w:jc w:val="both"/>
              <w:rPr>
                <w:sz w:val="22"/>
                <w:szCs w:val="22"/>
              </w:rPr>
            </w:pPr>
            <w:r w:rsidRPr="00BB27C9">
              <w:rPr>
                <w:sz w:val="22"/>
                <w:szCs w:val="22"/>
              </w:rPr>
              <w:t xml:space="preserve">2) Įstaiga yra IPR IS dalyvis. </w:t>
            </w:r>
          </w:p>
          <w:p w:rsidR="000F71A4" w:rsidRPr="00BB27C9" w:rsidRDefault="000F71A4" w:rsidP="00607AE0">
            <w:pPr>
              <w:jc w:val="both"/>
              <w:rPr>
                <w:sz w:val="22"/>
                <w:szCs w:val="22"/>
              </w:rPr>
            </w:pPr>
          </w:p>
          <w:p w:rsidR="000F71A4" w:rsidRPr="00BB27C9" w:rsidRDefault="000F71A4" w:rsidP="00607AE0">
            <w:pPr>
              <w:jc w:val="both"/>
              <w:rPr>
                <w:sz w:val="22"/>
                <w:szCs w:val="22"/>
              </w:rPr>
            </w:pPr>
            <w:r w:rsidRPr="00BB27C9">
              <w:rPr>
                <w:sz w:val="22"/>
                <w:szCs w:val="22"/>
              </w:rPr>
              <w:t>3) Pagal Įstaigos veiklos specifiką – net</w:t>
            </w:r>
            <w:r w:rsidR="00AD104C">
              <w:rPr>
                <w:sz w:val="22"/>
                <w:szCs w:val="22"/>
              </w:rPr>
              <w:t>aikoma</w:t>
            </w:r>
            <w:r w:rsidRPr="00BB27C9">
              <w:rPr>
                <w:sz w:val="22"/>
                <w:szCs w:val="22"/>
              </w:rPr>
              <w:t>.</w:t>
            </w:r>
          </w:p>
          <w:p w:rsidR="000F71A4" w:rsidRPr="00BB27C9" w:rsidRDefault="000F71A4" w:rsidP="00607AE0">
            <w:pPr>
              <w:jc w:val="both"/>
              <w:rPr>
                <w:sz w:val="22"/>
                <w:szCs w:val="22"/>
              </w:rPr>
            </w:pPr>
          </w:p>
          <w:p w:rsidR="000F71A4" w:rsidRPr="00BB27C9" w:rsidRDefault="000F71A4" w:rsidP="00607AE0">
            <w:pPr>
              <w:jc w:val="both"/>
              <w:rPr>
                <w:sz w:val="22"/>
                <w:szCs w:val="22"/>
              </w:rPr>
            </w:pPr>
            <w:r w:rsidRPr="00BB27C9">
              <w:rPr>
                <w:sz w:val="22"/>
                <w:szCs w:val="22"/>
              </w:rPr>
              <w:t xml:space="preserve">4) Daugiau kaip 50 proc. visų E027-a išrašoma el. būdu. </w:t>
            </w:r>
          </w:p>
          <w:p w:rsidR="000F71A4" w:rsidRPr="00BB27C9" w:rsidRDefault="000F71A4" w:rsidP="00607AE0">
            <w:pPr>
              <w:jc w:val="both"/>
              <w:rPr>
                <w:sz w:val="22"/>
                <w:szCs w:val="22"/>
              </w:rPr>
            </w:pPr>
            <w:r w:rsidRPr="00BB27C9">
              <w:rPr>
                <w:sz w:val="22"/>
                <w:szCs w:val="22"/>
              </w:rPr>
              <w:lastRenderedPageBreak/>
              <w:t xml:space="preserve">5) Patvirtinta 2021-12-30 direktoriaus įsakymu Nr. </w:t>
            </w:r>
            <w:r w:rsidR="000161E7" w:rsidRPr="00BB27C9">
              <w:rPr>
                <w:sz w:val="22"/>
                <w:szCs w:val="22"/>
              </w:rPr>
              <w:t xml:space="preserve">V-64-(1.4.) „Dėl viešosios įstaigos Panevėžio fizinės medicinos ir reabilitacijos centro informacinės sistemos infrastruktūros saugumo dokumentacijos tvirtinimo ir atsakingų asmenų skyrimo“. </w:t>
            </w:r>
          </w:p>
        </w:tc>
        <w:tc>
          <w:tcPr>
            <w:tcW w:w="1417" w:type="dxa"/>
            <w:tcBorders>
              <w:top w:val="single" w:sz="4" w:space="0" w:color="auto"/>
              <w:bottom w:val="single" w:sz="4" w:space="0" w:color="auto"/>
              <w:right w:val="single" w:sz="4" w:space="0" w:color="auto"/>
            </w:tcBorders>
            <w:shd w:val="clear" w:color="auto" w:fill="auto"/>
          </w:tcPr>
          <w:p w:rsidR="008B1546" w:rsidRDefault="00AD104C" w:rsidP="00747D78">
            <w:pPr>
              <w:jc w:val="center"/>
              <w:rPr>
                <w:sz w:val="22"/>
                <w:szCs w:val="22"/>
              </w:rPr>
            </w:pPr>
            <w:r>
              <w:rPr>
                <w:sz w:val="22"/>
                <w:szCs w:val="22"/>
              </w:rPr>
              <w:lastRenderedPageBreak/>
              <w:t>10</w:t>
            </w:r>
          </w:p>
          <w:p w:rsidR="00AD104C" w:rsidRPr="00BB27C9" w:rsidRDefault="00AD104C" w:rsidP="00747D78">
            <w:pPr>
              <w:jc w:val="center"/>
              <w:rPr>
                <w:sz w:val="22"/>
                <w:szCs w:val="22"/>
              </w:rPr>
            </w:pPr>
            <w:r>
              <w:rPr>
                <w:sz w:val="22"/>
                <w:szCs w:val="22"/>
              </w:rPr>
              <w:t>(30/3)</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6.</w:t>
            </w:r>
          </w:p>
        </w:tc>
        <w:tc>
          <w:tcPr>
            <w:tcW w:w="3791" w:type="dxa"/>
            <w:tcBorders>
              <w:top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Įstaigoje suteiktų asmens sveikatos priežiūros paslaugų skaičius per ketvirtį ir per metus pagal sveikatos apsaugos ministro nustatytas paslaugų grupes</w:t>
            </w:r>
          </w:p>
        </w:tc>
        <w:tc>
          <w:tcPr>
            <w:tcW w:w="4536" w:type="dxa"/>
            <w:tcBorders>
              <w:top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tcBorders>
              <w:top w:val="single" w:sz="4" w:space="0" w:color="auto"/>
            </w:tcBorders>
            <w:shd w:val="clear" w:color="auto" w:fill="auto"/>
            <w:vAlign w:val="center"/>
          </w:tcPr>
          <w:tbl>
            <w:tblPr>
              <w:tblW w:w="5103" w:type="dxa"/>
              <w:tblLook w:val="04A0" w:firstRow="1" w:lastRow="0" w:firstColumn="1" w:lastColumn="0" w:noHBand="0" w:noVBand="1"/>
            </w:tblPr>
            <w:tblGrid>
              <w:gridCol w:w="868"/>
              <w:gridCol w:w="799"/>
              <w:gridCol w:w="709"/>
              <w:gridCol w:w="851"/>
              <w:gridCol w:w="850"/>
              <w:gridCol w:w="1026"/>
            </w:tblGrid>
            <w:tr w:rsidR="00A12E9C" w:rsidRPr="00A12E9C" w:rsidTr="00A12E9C">
              <w:trPr>
                <w:trHeight w:val="482"/>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Paslaugų kodas</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I ketv.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II ketv.</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III ketv.</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IV ketv.</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A12E9C" w:rsidRPr="00A12E9C" w:rsidRDefault="00A12E9C" w:rsidP="00A12E9C">
                  <w:pPr>
                    <w:ind w:right="67"/>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2021 m.</w:t>
                  </w:r>
                </w:p>
              </w:tc>
            </w:tr>
            <w:tr w:rsidR="00A12E9C" w:rsidRPr="00A12E9C" w:rsidTr="00A12E9C">
              <w:trPr>
                <w:trHeight w:val="241"/>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1040101</w:t>
                  </w:r>
                </w:p>
              </w:tc>
              <w:tc>
                <w:tcPr>
                  <w:tcW w:w="799"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1553</w:t>
                  </w:r>
                </w:p>
              </w:tc>
              <w:tc>
                <w:tcPr>
                  <w:tcW w:w="709"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2505</w:t>
                  </w:r>
                </w:p>
              </w:tc>
              <w:tc>
                <w:tcPr>
                  <w:tcW w:w="851"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2462</w:t>
                  </w:r>
                </w:p>
              </w:tc>
              <w:tc>
                <w:tcPr>
                  <w:tcW w:w="850"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3261</w:t>
                  </w:r>
                </w:p>
              </w:tc>
              <w:tc>
                <w:tcPr>
                  <w:tcW w:w="1026"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9871</w:t>
                  </w:r>
                </w:p>
              </w:tc>
            </w:tr>
            <w:tr w:rsidR="00A12E9C" w:rsidRPr="00A12E9C" w:rsidTr="00A12E9C">
              <w:trPr>
                <w:trHeight w:val="241"/>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307</w:t>
                  </w:r>
                </w:p>
              </w:tc>
              <w:tc>
                <w:tcPr>
                  <w:tcW w:w="799"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1400</w:t>
                  </w:r>
                </w:p>
              </w:tc>
              <w:tc>
                <w:tcPr>
                  <w:tcW w:w="709"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2469</w:t>
                  </w:r>
                </w:p>
              </w:tc>
              <w:tc>
                <w:tcPr>
                  <w:tcW w:w="851"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3956</w:t>
                  </w:r>
                </w:p>
              </w:tc>
              <w:tc>
                <w:tcPr>
                  <w:tcW w:w="850"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5360</w:t>
                  </w:r>
                </w:p>
              </w:tc>
              <w:tc>
                <w:tcPr>
                  <w:tcW w:w="1026"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13185</w:t>
                  </w:r>
                </w:p>
              </w:tc>
            </w:tr>
            <w:tr w:rsidR="00A12E9C" w:rsidRPr="00A12E9C" w:rsidTr="00A12E9C">
              <w:trPr>
                <w:trHeight w:val="241"/>
              </w:trPr>
              <w:tc>
                <w:tcPr>
                  <w:tcW w:w="868" w:type="dxa"/>
                  <w:tcBorders>
                    <w:top w:val="nil"/>
                    <w:left w:val="single" w:sz="4" w:space="0" w:color="auto"/>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303</w:t>
                  </w:r>
                </w:p>
              </w:tc>
              <w:tc>
                <w:tcPr>
                  <w:tcW w:w="799"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2561</w:t>
                  </w:r>
                </w:p>
              </w:tc>
              <w:tc>
                <w:tcPr>
                  <w:tcW w:w="709"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4556</w:t>
                  </w:r>
                </w:p>
              </w:tc>
              <w:tc>
                <w:tcPr>
                  <w:tcW w:w="851"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3497</w:t>
                  </w:r>
                </w:p>
              </w:tc>
              <w:tc>
                <w:tcPr>
                  <w:tcW w:w="850"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3312</w:t>
                  </w:r>
                </w:p>
              </w:tc>
              <w:tc>
                <w:tcPr>
                  <w:tcW w:w="1026" w:type="dxa"/>
                  <w:tcBorders>
                    <w:top w:val="nil"/>
                    <w:left w:val="nil"/>
                    <w:bottom w:val="single" w:sz="4" w:space="0" w:color="auto"/>
                    <w:right w:val="single" w:sz="4" w:space="0" w:color="auto"/>
                  </w:tcBorders>
                  <w:shd w:val="clear" w:color="auto" w:fill="auto"/>
                  <w:vAlign w:val="center"/>
                  <w:hideMark/>
                </w:tcPr>
                <w:p w:rsidR="00A12E9C" w:rsidRPr="00A12E9C" w:rsidRDefault="00A12E9C" w:rsidP="00A12E9C">
                  <w:pPr>
                    <w:jc w:val="center"/>
                    <w:rPr>
                      <w:rFonts w:ascii="Calibri" w:hAnsi="Calibri" w:cs="Calibri"/>
                      <w:color w:val="000000"/>
                      <w:sz w:val="18"/>
                      <w:szCs w:val="18"/>
                      <w:lang w:eastAsia="lt-LT"/>
                    </w:rPr>
                  </w:pPr>
                  <w:r w:rsidRPr="00A12E9C">
                    <w:rPr>
                      <w:rFonts w:ascii="Calibri" w:hAnsi="Calibri" w:cs="Calibri"/>
                      <w:color w:val="000000"/>
                      <w:sz w:val="18"/>
                      <w:szCs w:val="18"/>
                      <w:lang w:eastAsia="lt-LT"/>
                    </w:rPr>
                    <w:t>13929</w:t>
                  </w:r>
                </w:p>
              </w:tc>
            </w:tr>
          </w:tbl>
          <w:p w:rsidR="00607AE0" w:rsidRPr="00BB27C9" w:rsidRDefault="00607AE0" w:rsidP="00607AE0">
            <w:pPr>
              <w:jc w:val="center"/>
              <w:rPr>
                <w:sz w:val="22"/>
                <w:szCs w:val="22"/>
                <w:highlight w:val="yellow"/>
              </w:rPr>
            </w:pPr>
          </w:p>
        </w:tc>
        <w:tc>
          <w:tcPr>
            <w:tcW w:w="1417" w:type="dxa"/>
            <w:tcBorders>
              <w:top w:val="single" w:sz="4" w:space="0" w:color="auto"/>
              <w:right w:val="single" w:sz="4" w:space="0" w:color="auto"/>
            </w:tcBorders>
            <w:shd w:val="clear" w:color="auto" w:fill="auto"/>
            <w:vAlign w:val="center"/>
          </w:tcPr>
          <w:p w:rsidR="00607AE0" w:rsidRPr="00BB27C9" w:rsidRDefault="00747D78" w:rsidP="00607AE0">
            <w:pPr>
              <w:jc w:val="center"/>
              <w:rPr>
                <w:sz w:val="22"/>
                <w:szCs w:val="22"/>
              </w:rPr>
            </w:pPr>
            <w:r w:rsidRPr="00BB27C9">
              <w:rPr>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7.</w:t>
            </w:r>
          </w:p>
        </w:tc>
        <w:tc>
          <w:tcPr>
            <w:tcW w:w="3791" w:type="dxa"/>
            <w:shd w:val="clear" w:color="auto" w:fill="auto"/>
          </w:tcPr>
          <w:p w:rsidR="00607AE0" w:rsidRPr="00BB27C9" w:rsidRDefault="00607AE0" w:rsidP="00607AE0">
            <w:pPr>
              <w:jc w:val="both"/>
              <w:rPr>
                <w:b/>
                <w:sz w:val="22"/>
                <w:szCs w:val="22"/>
              </w:rPr>
            </w:pPr>
            <w:r w:rsidRPr="00BB27C9">
              <w:rPr>
                <w:b/>
                <w:sz w:val="22"/>
                <w:szCs w:val="22"/>
              </w:rPr>
              <w:t>Vidutinis laikas nuo paciento kreipimosi į įstaigą dėl asmens sveikatos priežiūros paslaugos suteikimo momento iki paskirto paslaugos gavimo laiko pagal sveikatos apsaugos ministro nustatytas paslaugų grupes</w:t>
            </w:r>
          </w:p>
        </w:tc>
        <w:tc>
          <w:tcPr>
            <w:tcW w:w="4536" w:type="dxa"/>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shd w:val="clear" w:color="auto" w:fill="auto"/>
            <w:vAlign w:val="center"/>
          </w:tcPr>
          <w:p w:rsidR="00607AE0" w:rsidRPr="00BB27C9" w:rsidRDefault="007F199F" w:rsidP="00607AE0">
            <w:pPr>
              <w:jc w:val="center"/>
              <w:rPr>
                <w:sz w:val="22"/>
                <w:szCs w:val="22"/>
              </w:rPr>
            </w:pPr>
            <w:r w:rsidRPr="00BB27C9">
              <w:rPr>
                <w:sz w:val="22"/>
                <w:szCs w:val="22"/>
              </w:rPr>
              <w:t>Iki 30 kalendorinių dienų</w:t>
            </w:r>
          </w:p>
        </w:tc>
        <w:tc>
          <w:tcPr>
            <w:tcW w:w="1417" w:type="dxa"/>
            <w:tcBorders>
              <w:right w:val="single" w:sz="4" w:space="0" w:color="auto"/>
            </w:tcBorders>
            <w:shd w:val="clear" w:color="auto" w:fill="auto"/>
            <w:vAlign w:val="center"/>
          </w:tcPr>
          <w:p w:rsidR="00607AE0" w:rsidRPr="00BB27C9" w:rsidRDefault="00747D78" w:rsidP="00607AE0">
            <w:pPr>
              <w:jc w:val="center"/>
              <w:rPr>
                <w:sz w:val="22"/>
                <w:szCs w:val="22"/>
              </w:rPr>
            </w:pPr>
            <w:r w:rsidRPr="00BB27C9">
              <w:rPr>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8.</w:t>
            </w:r>
          </w:p>
        </w:tc>
        <w:tc>
          <w:tcPr>
            <w:tcW w:w="3791" w:type="dxa"/>
            <w:shd w:val="clear" w:color="auto" w:fill="auto"/>
          </w:tcPr>
          <w:p w:rsidR="00607AE0" w:rsidRPr="00BB27C9" w:rsidRDefault="00607AE0" w:rsidP="00607AE0">
            <w:pPr>
              <w:jc w:val="both"/>
              <w:rPr>
                <w:b/>
                <w:sz w:val="22"/>
                <w:szCs w:val="22"/>
              </w:rPr>
            </w:pPr>
            <w:r w:rsidRPr="00BB27C9">
              <w:rPr>
                <w:b/>
                <w:sz w:val="22"/>
                <w:szCs w:val="22"/>
              </w:rPr>
              <w:t>Įstaigoje dirbančių darbuotojų ir etatų skaičius ir įstaigoje suteiktų asmens sveikatos priežiūros paslaugų skaičius per metus</w:t>
            </w:r>
          </w:p>
        </w:tc>
        <w:tc>
          <w:tcPr>
            <w:tcW w:w="4536" w:type="dxa"/>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shd w:val="clear" w:color="auto" w:fill="auto"/>
            <w:vAlign w:val="center"/>
          </w:tcPr>
          <w:p w:rsidR="00607AE0" w:rsidRPr="00BB27C9" w:rsidRDefault="007F199F" w:rsidP="00607AE0">
            <w:pPr>
              <w:jc w:val="center"/>
              <w:rPr>
                <w:sz w:val="22"/>
                <w:szCs w:val="22"/>
              </w:rPr>
            </w:pPr>
            <w:r w:rsidRPr="00BB27C9">
              <w:rPr>
                <w:sz w:val="22"/>
                <w:szCs w:val="22"/>
              </w:rPr>
              <w:t xml:space="preserve">2021-12-31: darbuotojai – 104; etatai – 93,04; </w:t>
            </w:r>
          </w:p>
          <w:p w:rsidR="007F199F" w:rsidRPr="00BB27C9" w:rsidRDefault="007F199F" w:rsidP="00607AE0">
            <w:pPr>
              <w:jc w:val="center"/>
              <w:rPr>
                <w:sz w:val="22"/>
                <w:szCs w:val="22"/>
              </w:rPr>
            </w:pPr>
            <w:r w:rsidRPr="00BB27C9">
              <w:rPr>
                <w:sz w:val="22"/>
                <w:szCs w:val="22"/>
              </w:rPr>
              <w:t>Suteiktų paslaugų skaičius per 2021 m. – 36 892</w:t>
            </w:r>
          </w:p>
        </w:tc>
        <w:tc>
          <w:tcPr>
            <w:tcW w:w="1417" w:type="dxa"/>
            <w:tcBorders>
              <w:right w:val="single" w:sz="4" w:space="0" w:color="auto"/>
            </w:tcBorders>
            <w:shd w:val="clear" w:color="auto" w:fill="auto"/>
            <w:vAlign w:val="center"/>
          </w:tcPr>
          <w:p w:rsidR="00607AE0" w:rsidRPr="00BB27C9" w:rsidRDefault="00747D78" w:rsidP="00607AE0">
            <w:pPr>
              <w:jc w:val="center"/>
              <w:rPr>
                <w:sz w:val="22"/>
                <w:szCs w:val="22"/>
              </w:rPr>
            </w:pPr>
            <w:r w:rsidRPr="00BB27C9">
              <w:rPr>
                <w:sz w:val="22"/>
                <w:szCs w:val="22"/>
              </w:rPr>
              <w:t>-</w:t>
            </w:r>
          </w:p>
        </w:tc>
      </w:tr>
      <w:tr w:rsidR="00607AE0" w:rsidRPr="00BB27C9" w:rsidTr="007460F5">
        <w:trPr>
          <w:trHeight w:val="2208"/>
        </w:trPr>
        <w:tc>
          <w:tcPr>
            <w:tcW w:w="570" w:type="dxa"/>
            <w:shd w:val="clear" w:color="auto" w:fill="auto"/>
            <w:vAlign w:val="center"/>
          </w:tcPr>
          <w:p w:rsidR="00607AE0" w:rsidRPr="00BB27C9" w:rsidRDefault="00607AE0" w:rsidP="00607AE0">
            <w:pPr>
              <w:jc w:val="center"/>
              <w:rPr>
                <w:sz w:val="22"/>
                <w:szCs w:val="22"/>
              </w:rPr>
            </w:pPr>
            <w:r w:rsidRPr="00BB27C9">
              <w:rPr>
                <w:sz w:val="22"/>
                <w:szCs w:val="22"/>
              </w:rPr>
              <w:t>9.</w:t>
            </w:r>
          </w:p>
        </w:tc>
        <w:tc>
          <w:tcPr>
            <w:tcW w:w="3791" w:type="dxa"/>
            <w:shd w:val="clear" w:color="auto" w:fill="auto"/>
            <w:vAlign w:val="center"/>
          </w:tcPr>
          <w:p w:rsidR="00607AE0" w:rsidRPr="00BB27C9" w:rsidRDefault="00607AE0" w:rsidP="00607AE0">
            <w:pPr>
              <w:jc w:val="both"/>
              <w:rPr>
                <w:b/>
                <w:sz w:val="22"/>
                <w:szCs w:val="22"/>
              </w:rPr>
            </w:pPr>
            <w:r w:rsidRPr="00BB27C9">
              <w:rPr>
                <w:b/>
                <w:sz w:val="22"/>
                <w:szCs w:val="22"/>
              </w:rPr>
              <w:t>Vidutinė hospitalizuotų pacientų gydymo trukmė įstaigoje pagal sveikatos apsaugos ministro nustatytas paslaugų grupes (taikoma tik antrinio ir tretinio lygio asmens sveikatos priežiūros paslaugas teikiančioms įstaigoms)</w:t>
            </w:r>
          </w:p>
        </w:tc>
        <w:tc>
          <w:tcPr>
            <w:tcW w:w="4536" w:type="dxa"/>
            <w:shd w:val="clear" w:color="auto" w:fill="auto"/>
            <w:vAlign w:val="center"/>
          </w:tcPr>
          <w:p w:rsidR="00607AE0" w:rsidRPr="00BB27C9" w:rsidRDefault="00607AE0" w:rsidP="00607AE0">
            <w:pPr>
              <w:jc w:val="center"/>
              <w:rPr>
                <w:b/>
                <w:sz w:val="22"/>
                <w:szCs w:val="22"/>
              </w:rPr>
            </w:pPr>
            <w:r w:rsidRPr="00BB27C9">
              <w:rPr>
                <w:b/>
                <w:sz w:val="22"/>
                <w:szCs w:val="22"/>
              </w:rPr>
              <w:t>-</w:t>
            </w:r>
          </w:p>
        </w:tc>
        <w:tc>
          <w:tcPr>
            <w:tcW w:w="4678" w:type="dxa"/>
            <w:shd w:val="clear" w:color="auto" w:fill="auto"/>
            <w:vAlign w:val="center"/>
          </w:tcPr>
          <w:p w:rsidR="00607AE0" w:rsidRPr="00BB27C9" w:rsidRDefault="008B1546" w:rsidP="00607AE0">
            <w:pPr>
              <w:jc w:val="center"/>
              <w:rPr>
                <w:b/>
                <w:sz w:val="22"/>
                <w:szCs w:val="22"/>
              </w:rPr>
            </w:pPr>
            <w:r>
              <w:rPr>
                <w:sz w:val="22"/>
                <w:szCs w:val="22"/>
              </w:rPr>
              <w:t>-</w:t>
            </w:r>
          </w:p>
        </w:tc>
        <w:tc>
          <w:tcPr>
            <w:tcW w:w="1417" w:type="dxa"/>
            <w:tcBorders>
              <w:right w:val="single" w:sz="4" w:space="0" w:color="auto"/>
            </w:tcBorders>
            <w:shd w:val="clear" w:color="auto" w:fill="auto"/>
            <w:vAlign w:val="center"/>
          </w:tcPr>
          <w:p w:rsidR="00607AE0" w:rsidRPr="00BB27C9" w:rsidRDefault="00747D78" w:rsidP="00607AE0">
            <w:pPr>
              <w:jc w:val="center"/>
              <w:rPr>
                <w:b/>
                <w:sz w:val="22"/>
                <w:szCs w:val="22"/>
              </w:rPr>
            </w:pPr>
            <w:r w:rsidRPr="00BB27C9">
              <w:rPr>
                <w:b/>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lastRenderedPageBreak/>
              <w:t>10.</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Lovos užimtumo rodiklis įstaigoje pagal sveikatos apsaugos ministro nustatytas paslaugų grupes (taikoma tik antrinio ir tretinio lygio asmens sveikatos priežiūros paslaugas teikiančioms įstaigoms)</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w:t>
            </w:r>
          </w:p>
        </w:tc>
        <w:tc>
          <w:tcPr>
            <w:tcW w:w="4678" w:type="dxa"/>
            <w:tcBorders>
              <w:top w:val="single" w:sz="4" w:space="0" w:color="auto"/>
              <w:bottom w:val="single" w:sz="4" w:space="0" w:color="auto"/>
            </w:tcBorders>
            <w:shd w:val="clear" w:color="auto" w:fill="auto"/>
            <w:vAlign w:val="center"/>
          </w:tcPr>
          <w:p w:rsidR="00607AE0" w:rsidRPr="00BB27C9" w:rsidRDefault="008B1546" w:rsidP="00607AE0">
            <w:pPr>
              <w:jc w:val="center"/>
              <w:rPr>
                <w:sz w:val="22"/>
                <w:szCs w:val="22"/>
              </w:rPr>
            </w:pPr>
            <w:r>
              <w:rPr>
                <w:sz w:val="22"/>
                <w:szCs w:val="22"/>
              </w:rPr>
              <w:t>-</w:t>
            </w:r>
            <w:r w:rsidR="00417E95" w:rsidRPr="00BB27C9">
              <w:rPr>
                <w:sz w:val="22"/>
                <w:szCs w:val="22"/>
              </w:rPr>
              <w:t xml:space="preserve"> </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747D78" w:rsidP="00607AE0">
            <w:pPr>
              <w:jc w:val="center"/>
              <w:rPr>
                <w:sz w:val="22"/>
                <w:szCs w:val="22"/>
              </w:rPr>
            </w:pPr>
            <w:r w:rsidRPr="00BB27C9">
              <w:rPr>
                <w:sz w:val="22"/>
                <w:szCs w:val="22"/>
              </w:rPr>
              <w:t>-</w:t>
            </w:r>
          </w:p>
        </w:tc>
      </w:tr>
      <w:tr w:rsidR="00500483" w:rsidRPr="00BB27C9" w:rsidTr="008B1546">
        <w:trPr>
          <w:trHeight w:val="1448"/>
        </w:trPr>
        <w:tc>
          <w:tcPr>
            <w:tcW w:w="570" w:type="dxa"/>
            <w:vMerge w:val="restart"/>
            <w:shd w:val="clear" w:color="auto" w:fill="auto"/>
            <w:vAlign w:val="center"/>
          </w:tcPr>
          <w:p w:rsidR="00500483" w:rsidRPr="00BB27C9" w:rsidRDefault="00500483" w:rsidP="00500483">
            <w:pPr>
              <w:jc w:val="center"/>
              <w:rPr>
                <w:sz w:val="22"/>
                <w:szCs w:val="22"/>
              </w:rPr>
            </w:pPr>
            <w:r w:rsidRPr="00BB27C9">
              <w:rPr>
                <w:sz w:val="22"/>
                <w:szCs w:val="22"/>
              </w:rPr>
              <w:t>11.</w:t>
            </w:r>
          </w:p>
        </w:tc>
        <w:tc>
          <w:tcPr>
            <w:tcW w:w="3791" w:type="dxa"/>
            <w:vMerge w:val="restart"/>
            <w:tcBorders>
              <w:top w:val="single" w:sz="4" w:space="0" w:color="auto"/>
            </w:tcBorders>
            <w:shd w:val="clear" w:color="auto" w:fill="auto"/>
          </w:tcPr>
          <w:p w:rsidR="00500483" w:rsidRPr="00BB27C9" w:rsidRDefault="00500483" w:rsidP="00500483">
            <w:pPr>
              <w:jc w:val="both"/>
              <w:rPr>
                <w:b/>
                <w:sz w:val="22"/>
                <w:szCs w:val="22"/>
              </w:rPr>
            </w:pPr>
            <w:r w:rsidRPr="00BB27C9">
              <w:rPr>
                <w:b/>
                <w:sz w:val="22"/>
                <w:szCs w:val="22"/>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4536" w:type="dxa"/>
            <w:tcBorders>
              <w:top w:val="single" w:sz="4" w:space="0" w:color="auto"/>
              <w:bottom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Kompiuterinės tomografijos aparatų apkrova – ne mažiau kaip 16 kompiuterinės tomografijos tyrimų per vieną darbo dieną vienu kompiuterinės tomografijos aparatu</w:t>
            </w:r>
          </w:p>
        </w:tc>
        <w:tc>
          <w:tcPr>
            <w:tcW w:w="4678" w:type="dxa"/>
            <w:tcBorders>
              <w:top w:val="single" w:sz="4" w:space="0" w:color="auto"/>
              <w:bottom w:val="single" w:sz="4" w:space="0" w:color="auto"/>
            </w:tcBorders>
            <w:shd w:val="clear" w:color="auto" w:fill="auto"/>
            <w:vAlign w:val="center"/>
          </w:tcPr>
          <w:p w:rsidR="00500483" w:rsidRPr="00BB27C9" w:rsidRDefault="008B1546" w:rsidP="00500483">
            <w:pPr>
              <w:jc w:val="center"/>
              <w:rPr>
                <w:sz w:val="22"/>
                <w:szCs w:val="22"/>
              </w:rPr>
            </w:pPr>
            <w:r>
              <w:rPr>
                <w:sz w:val="22"/>
                <w:szCs w:val="22"/>
              </w:rPr>
              <w:t>-</w:t>
            </w:r>
          </w:p>
        </w:tc>
        <w:tc>
          <w:tcPr>
            <w:tcW w:w="1417" w:type="dxa"/>
            <w:tcBorders>
              <w:top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w:t>
            </w:r>
          </w:p>
        </w:tc>
      </w:tr>
      <w:tr w:rsidR="00500483" w:rsidRPr="00BB27C9" w:rsidTr="007460F5">
        <w:trPr>
          <w:trHeight w:val="703"/>
        </w:trPr>
        <w:tc>
          <w:tcPr>
            <w:tcW w:w="570" w:type="dxa"/>
            <w:vMerge/>
            <w:shd w:val="clear" w:color="auto" w:fill="auto"/>
            <w:vAlign w:val="center"/>
          </w:tcPr>
          <w:p w:rsidR="00500483" w:rsidRPr="00BB27C9" w:rsidRDefault="00500483" w:rsidP="00500483">
            <w:pPr>
              <w:jc w:val="center"/>
              <w:rPr>
                <w:sz w:val="22"/>
                <w:szCs w:val="22"/>
              </w:rPr>
            </w:pPr>
          </w:p>
        </w:tc>
        <w:tc>
          <w:tcPr>
            <w:tcW w:w="3791" w:type="dxa"/>
            <w:vMerge/>
            <w:tcBorders>
              <w:bottom w:val="single" w:sz="4" w:space="0" w:color="auto"/>
            </w:tcBorders>
            <w:shd w:val="clear" w:color="auto" w:fill="auto"/>
          </w:tcPr>
          <w:p w:rsidR="00500483" w:rsidRPr="00BB27C9" w:rsidRDefault="00500483" w:rsidP="00500483">
            <w:pPr>
              <w:jc w:val="both"/>
              <w:rPr>
                <w:b/>
                <w:sz w:val="22"/>
                <w:szCs w:val="22"/>
              </w:rPr>
            </w:pPr>
          </w:p>
        </w:tc>
        <w:tc>
          <w:tcPr>
            <w:tcW w:w="4536" w:type="dxa"/>
            <w:tcBorders>
              <w:top w:val="single" w:sz="4" w:space="0" w:color="auto"/>
              <w:bottom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Magnetinio rezonanso tomografijos aparatų apkrova – ne mažiau kaip 16 magnetinio rezonanso tomografijos tyrimų per vieną darbo dieną vienu magnetinio rezonanso tomografijos aparatu</w:t>
            </w:r>
          </w:p>
        </w:tc>
        <w:tc>
          <w:tcPr>
            <w:tcW w:w="4678" w:type="dxa"/>
            <w:tcBorders>
              <w:top w:val="single" w:sz="4" w:space="0" w:color="auto"/>
              <w:bottom w:val="single" w:sz="4" w:space="0" w:color="auto"/>
            </w:tcBorders>
            <w:shd w:val="clear" w:color="auto" w:fill="auto"/>
            <w:vAlign w:val="center"/>
          </w:tcPr>
          <w:p w:rsidR="00500483" w:rsidRPr="00BB27C9" w:rsidRDefault="008B1546" w:rsidP="00500483">
            <w:pPr>
              <w:jc w:val="center"/>
              <w:rPr>
                <w:sz w:val="22"/>
                <w:szCs w:val="22"/>
              </w:rPr>
            </w:pPr>
            <w:r>
              <w:rPr>
                <w:sz w:val="22"/>
                <w:szCs w:val="22"/>
              </w:rPr>
              <w:t>-</w:t>
            </w:r>
          </w:p>
        </w:tc>
        <w:tc>
          <w:tcPr>
            <w:tcW w:w="1417" w:type="dxa"/>
            <w:tcBorders>
              <w:top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w:t>
            </w:r>
          </w:p>
        </w:tc>
      </w:tr>
      <w:tr w:rsidR="00500483" w:rsidRPr="00BB27C9" w:rsidTr="00607AE0">
        <w:trPr>
          <w:gridAfter w:val="4"/>
          <w:wAfter w:w="14422" w:type="dxa"/>
        </w:trPr>
        <w:tc>
          <w:tcPr>
            <w:tcW w:w="570" w:type="dxa"/>
            <w:tcBorders>
              <w:right w:val="single" w:sz="4" w:space="0" w:color="auto"/>
            </w:tcBorders>
            <w:shd w:val="clear" w:color="auto" w:fill="auto"/>
            <w:vAlign w:val="center"/>
          </w:tcPr>
          <w:p w:rsidR="00500483" w:rsidRPr="00BB27C9" w:rsidRDefault="00500483" w:rsidP="00500483">
            <w:pPr>
              <w:jc w:val="center"/>
              <w:rPr>
                <w:b/>
                <w:sz w:val="22"/>
                <w:szCs w:val="22"/>
              </w:rPr>
            </w:pPr>
            <w:r w:rsidRPr="00BB27C9">
              <w:rPr>
                <w:b/>
                <w:sz w:val="22"/>
                <w:szCs w:val="22"/>
              </w:rPr>
              <w:t>III</w:t>
            </w:r>
          </w:p>
        </w:tc>
      </w:tr>
      <w:tr w:rsidR="00500483" w:rsidRPr="00BB27C9" w:rsidTr="007460F5">
        <w:tc>
          <w:tcPr>
            <w:tcW w:w="570" w:type="dxa"/>
            <w:tcBorders>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500483" w:rsidRPr="00BB27C9" w:rsidRDefault="00500483" w:rsidP="00500483">
            <w:pPr>
              <w:jc w:val="both"/>
              <w:rPr>
                <w:b/>
                <w:sz w:val="22"/>
                <w:szCs w:val="22"/>
              </w:rPr>
            </w:pPr>
            <w:r w:rsidRPr="00BB27C9">
              <w:rPr>
                <w:b/>
                <w:sz w:val="22"/>
                <w:szCs w:val="22"/>
              </w:rPr>
              <w:t>Kritinis likvidumo rodiklis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Ne mažiau kaip 0,8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4,17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10</w:t>
            </w:r>
          </w:p>
        </w:tc>
      </w:tr>
      <w:tr w:rsidR="00500483" w:rsidRPr="00BB27C9" w:rsidTr="007460F5">
        <w:trPr>
          <w:trHeight w:val="1191"/>
        </w:trPr>
        <w:tc>
          <w:tcPr>
            <w:tcW w:w="570" w:type="dxa"/>
            <w:tcBorders>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both"/>
              <w:rPr>
                <w:b/>
                <w:sz w:val="22"/>
                <w:szCs w:val="22"/>
              </w:rPr>
            </w:pPr>
            <w:r w:rsidRPr="00BB27C9">
              <w:rPr>
                <w:b/>
                <w:sz w:val="22"/>
                <w:szCs w:val="22"/>
              </w:rPr>
              <w:t>Konsoliduotų viešųjų pirkimų skaičius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color w:val="000000"/>
                <w:sz w:val="22"/>
                <w:szCs w:val="22"/>
                <w:lang w:eastAsia="en-GB"/>
              </w:rPr>
              <w:t>Ne mažiau kaip 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0483" w:rsidRPr="00BB27C9" w:rsidRDefault="00500483" w:rsidP="00500483">
            <w:pPr>
              <w:jc w:val="center"/>
              <w:rPr>
                <w:sz w:val="22"/>
                <w:szCs w:val="22"/>
              </w:rPr>
            </w:pPr>
            <w:r w:rsidRPr="00BB27C9">
              <w:rPr>
                <w:sz w:val="22"/>
                <w:szCs w:val="22"/>
              </w:rPr>
              <w:t>10</w:t>
            </w:r>
          </w:p>
        </w:tc>
      </w:tr>
    </w:tbl>
    <w:p w:rsidR="001A1A0F" w:rsidRPr="00BB27C9" w:rsidRDefault="00747D78">
      <w:pPr>
        <w:rPr>
          <w:b/>
          <w:sz w:val="22"/>
          <w:szCs w:val="22"/>
        </w:rPr>
      </w:pP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b/>
          <w:sz w:val="22"/>
          <w:szCs w:val="22"/>
        </w:rPr>
        <w:t>VISO:</w:t>
      </w:r>
      <w:r w:rsidRPr="00BB27C9">
        <w:rPr>
          <w:sz w:val="22"/>
          <w:szCs w:val="22"/>
        </w:rPr>
        <w:t xml:space="preserve"> </w:t>
      </w:r>
      <w:r w:rsidR="00D36570" w:rsidRPr="00BB27C9">
        <w:rPr>
          <w:sz w:val="22"/>
          <w:szCs w:val="22"/>
        </w:rPr>
        <w:t xml:space="preserve">     </w:t>
      </w:r>
      <w:r w:rsidR="00D36570" w:rsidRPr="00BB27C9">
        <w:rPr>
          <w:b/>
          <w:sz w:val="22"/>
          <w:szCs w:val="22"/>
        </w:rPr>
        <w:t xml:space="preserve"> </w:t>
      </w:r>
      <w:r w:rsidR="008B1546">
        <w:rPr>
          <w:b/>
          <w:sz w:val="22"/>
          <w:szCs w:val="22"/>
        </w:rPr>
        <w:t xml:space="preserve">    </w:t>
      </w:r>
      <w:r w:rsidR="00506206">
        <w:rPr>
          <w:b/>
          <w:sz w:val="22"/>
          <w:szCs w:val="22"/>
        </w:rPr>
        <w:t>85</w:t>
      </w:r>
    </w:p>
    <w:p w:rsidR="00C33550" w:rsidRPr="00BB27C9" w:rsidRDefault="00C33550" w:rsidP="00C33550">
      <w:pPr>
        <w:ind w:firstLine="709"/>
        <w:jc w:val="both"/>
        <w:rPr>
          <w:sz w:val="22"/>
          <w:szCs w:val="22"/>
          <w:highlight w:val="yellow"/>
        </w:rPr>
      </w:pPr>
    </w:p>
    <w:p w:rsidR="00C33550" w:rsidRPr="00BB27C9" w:rsidRDefault="00C33550" w:rsidP="00166D34">
      <w:pPr>
        <w:spacing w:line="276" w:lineRule="auto"/>
        <w:ind w:firstLine="709"/>
        <w:jc w:val="both"/>
        <w:rPr>
          <w:sz w:val="22"/>
          <w:szCs w:val="22"/>
        </w:rPr>
      </w:pPr>
      <w:r w:rsidRPr="00BB27C9">
        <w:rPr>
          <w:sz w:val="22"/>
          <w:szCs w:val="22"/>
        </w:rPr>
        <w:t xml:space="preserve">Vertinimas atliktas vadovaujantis </w:t>
      </w:r>
      <w:r w:rsidRPr="00BB27C9">
        <w:rPr>
          <w:color w:val="000000"/>
          <w:sz w:val="22"/>
          <w:szCs w:val="22"/>
        </w:rPr>
        <w:t>Lietuvos nacionalinės sveikatos sistemos</w:t>
      </w:r>
      <w:r w:rsidRPr="00BB27C9">
        <w:rPr>
          <w:caps/>
          <w:color w:val="000000"/>
          <w:sz w:val="22"/>
          <w:szCs w:val="22"/>
        </w:rPr>
        <w:t xml:space="preserve"> </w:t>
      </w:r>
      <w:r w:rsidRPr="00BB27C9">
        <w:rPr>
          <w:color w:val="000000"/>
          <w:sz w:val="22"/>
          <w:szCs w:val="22"/>
        </w:rPr>
        <w:t>viešųjų įstaigų</w:t>
      </w:r>
      <w:r w:rsidRPr="00BB27C9">
        <w:rPr>
          <w:caps/>
          <w:color w:val="000000"/>
          <w:sz w:val="22"/>
          <w:szCs w:val="22"/>
        </w:rPr>
        <w:t xml:space="preserve"> </w:t>
      </w:r>
      <w:r w:rsidRPr="00BB27C9">
        <w:rPr>
          <w:color w:val="000000"/>
          <w:sz w:val="22"/>
          <w:szCs w:val="22"/>
        </w:rPr>
        <w:t>vadovų ir jų pavaduotojų mėnesinės algos kintamosios dalies dydžio nustatymo tvarkos aprašu, patvirtintu</w:t>
      </w:r>
      <w:r w:rsidR="009A4592" w:rsidRPr="00BB27C9">
        <w:rPr>
          <w:color w:val="000000"/>
          <w:sz w:val="22"/>
          <w:szCs w:val="22"/>
        </w:rPr>
        <w:t xml:space="preserve"> </w:t>
      </w:r>
      <w:r w:rsidRPr="00BB27C9">
        <w:rPr>
          <w:sz w:val="22"/>
          <w:szCs w:val="22"/>
          <w:lang w:eastAsia="lt-LT"/>
        </w:rPr>
        <w:t xml:space="preserve">Lietuvos Respublikos sveikatos apsaugos ministro </w:t>
      </w:r>
      <w:r w:rsidR="009A4592" w:rsidRPr="00BB27C9">
        <w:rPr>
          <w:sz w:val="22"/>
          <w:szCs w:val="22"/>
          <w:lang w:eastAsia="lt-LT"/>
        </w:rPr>
        <w:t>2022 m. kovo 10 d. įsakymu Nr. V-520</w:t>
      </w:r>
      <w:hyperlink r:id="rId7" w:history="1">
        <w:r w:rsidR="009A4592" w:rsidRPr="00BB27C9">
          <w:rPr>
            <w:rStyle w:val="Hipersaitas"/>
            <w:sz w:val="22"/>
            <w:szCs w:val="22"/>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9A4592" w:rsidRPr="00BB27C9">
        <w:rPr>
          <w:sz w:val="22"/>
          <w:szCs w:val="22"/>
        </w:rPr>
        <w:t xml:space="preserve">, </w:t>
      </w:r>
      <w:r w:rsidRPr="00BB27C9">
        <w:rPr>
          <w:sz w:val="22"/>
          <w:szCs w:val="22"/>
          <w:lang w:eastAsia="lt-LT"/>
        </w:rPr>
        <w:t xml:space="preserve">vertinant </w:t>
      </w:r>
      <w:r w:rsidRPr="00BB27C9">
        <w:rPr>
          <w:sz w:val="22"/>
          <w:szCs w:val="22"/>
        </w:rPr>
        <w:t xml:space="preserve"> Lietuvos Respublikos sveikatos apsaugos ministro </w:t>
      </w:r>
      <w:r w:rsidR="009C4B8A" w:rsidRPr="00BB27C9">
        <w:rPr>
          <w:sz w:val="22"/>
          <w:szCs w:val="22"/>
        </w:rPr>
        <w:t xml:space="preserve">2021 m. rugpjūčio 30 d. </w:t>
      </w:r>
      <w:r w:rsidRPr="00BB27C9">
        <w:rPr>
          <w:sz w:val="22"/>
          <w:szCs w:val="22"/>
        </w:rPr>
        <w:t>įsakymu Nr. V-</w:t>
      </w:r>
      <w:r w:rsidR="009C4B8A" w:rsidRPr="00BB27C9">
        <w:rPr>
          <w:sz w:val="22"/>
          <w:szCs w:val="22"/>
        </w:rPr>
        <w:t>1964</w:t>
      </w:r>
      <w:r w:rsidRPr="00BB27C9">
        <w:rPr>
          <w:sz w:val="22"/>
          <w:szCs w:val="22"/>
        </w:rPr>
        <w:t xml:space="preserve"> „</w:t>
      </w:r>
      <w:hyperlink r:id="rId8" w:history="1">
        <w:r w:rsidR="009C4B8A" w:rsidRPr="00BB27C9">
          <w:rPr>
            <w:rStyle w:val="Hipersaitas"/>
            <w:sz w:val="22"/>
            <w:szCs w:val="22"/>
          </w:rPr>
          <w:t>Dėl Lietuvos nacionalinės sveikatos sistemos viešųjų ir biudžetinių įstaigų, teikiančių asmens sveikatos priežiūros paslaugas, veiklos rezultatų vertinimo rodiklių 2021 metų siektinų reikšmių patvirtinimo</w:t>
        </w:r>
      </w:hyperlink>
      <w:r w:rsidR="009C4B8A" w:rsidRPr="00BB27C9">
        <w:rPr>
          <w:sz w:val="22"/>
          <w:szCs w:val="22"/>
        </w:rPr>
        <w:t xml:space="preserve">“ </w:t>
      </w:r>
      <w:r w:rsidRPr="00BB27C9">
        <w:rPr>
          <w:sz w:val="22"/>
          <w:szCs w:val="22"/>
        </w:rPr>
        <w:t>nustatytų reikšmių pasiekimą.</w:t>
      </w:r>
    </w:p>
    <w:sectPr w:rsidR="00C33550" w:rsidRPr="00BB27C9">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851" w:bottom="567"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D77" w:rsidRDefault="00A87D77">
      <w:pPr>
        <w:rPr>
          <w:szCs w:val="24"/>
        </w:rPr>
      </w:pPr>
      <w:r>
        <w:rPr>
          <w:szCs w:val="24"/>
        </w:rPr>
        <w:separator/>
      </w:r>
    </w:p>
  </w:endnote>
  <w:endnote w:type="continuationSeparator" w:id="0">
    <w:p w:rsidR="00A87D77" w:rsidRDefault="00A87D7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D77" w:rsidRDefault="00A87D77">
      <w:pPr>
        <w:rPr>
          <w:szCs w:val="24"/>
        </w:rPr>
      </w:pPr>
      <w:r>
        <w:rPr>
          <w:szCs w:val="24"/>
        </w:rPr>
        <w:separator/>
      </w:r>
    </w:p>
  </w:footnote>
  <w:footnote w:type="continuationSeparator" w:id="0">
    <w:p w:rsidR="00A87D77" w:rsidRDefault="00A87D77">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rsidR="001A1A0F" w:rsidRDefault="001A1A0F">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39587C">
      <w:rPr>
        <w:noProof/>
        <w:szCs w:val="24"/>
      </w:rPr>
      <w:t>4</w:t>
    </w:r>
    <w:r>
      <w:rPr>
        <w:szCs w:val="24"/>
      </w:rPr>
      <w:fldChar w:fldCharType="end"/>
    </w:r>
  </w:p>
  <w:p w:rsidR="001A1A0F" w:rsidRDefault="001A1A0F">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9E"/>
    <w:rsid w:val="000161E7"/>
    <w:rsid w:val="00027F03"/>
    <w:rsid w:val="000F71A4"/>
    <w:rsid w:val="0016185F"/>
    <w:rsid w:val="00166D34"/>
    <w:rsid w:val="001A1A0F"/>
    <w:rsid w:val="00363CB3"/>
    <w:rsid w:val="00365B7C"/>
    <w:rsid w:val="0039587C"/>
    <w:rsid w:val="00417E95"/>
    <w:rsid w:val="00425E7B"/>
    <w:rsid w:val="00500483"/>
    <w:rsid w:val="00506206"/>
    <w:rsid w:val="00607AE0"/>
    <w:rsid w:val="007460F5"/>
    <w:rsid w:val="00747D78"/>
    <w:rsid w:val="007C18D7"/>
    <w:rsid w:val="007F199F"/>
    <w:rsid w:val="007F2CCD"/>
    <w:rsid w:val="00810E34"/>
    <w:rsid w:val="00811ED8"/>
    <w:rsid w:val="00836435"/>
    <w:rsid w:val="008B1546"/>
    <w:rsid w:val="00932FEF"/>
    <w:rsid w:val="009A1BFB"/>
    <w:rsid w:val="009A4592"/>
    <w:rsid w:val="009C4B8A"/>
    <w:rsid w:val="00A12E9C"/>
    <w:rsid w:val="00A87D77"/>
    <w:rsid w:val="00AD104C"/>
    <w:rsid w:val="00AF605C"/>
    <w:rsid w:val="00BB27C9"/>
    <w:rsid w:val="00C33550"/>
    <w:rsid w:val="00D36570"/>
    <w:rsid w:val="00DA02C3"/>
    <w:rsid w:val="00DF4F5D"/>
    <w:rsid w:val="00EC74B1"/>
    <w:rsid w:val="00F566DD"/>
    <w:rsid w:val="00FD109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118355"/>
  <w15:docId w15:val="{C4821400-66A0-48E3-A623-7F36920B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33550"/>
    <w:rPr>
      <w:color w:val="0563C1" w:themeColor="hyperlink"/>
      <w:u w:val="single"/>
    </w:rPr>
  </w:style>
  <w:style w:type="character" w:customStyle="1" w:styleId="UnresolvedMention">
    <w:name w:val="Unresolved Mention"/>
    <w:basedOn w:val="Numatytasispastraiposriftas"/>
    <w:uiPriority w:val="99"/>
    <w:semiHidden/>
    <w:unhideWhenUsed/>
    <w:rsid w:val="00C33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014">
      <w:bodyDiv w:val="1"/>
      <w:marLeft w:val="0"/>
      <w:marRight w:val="0"/>
      <w:marTop w:val="0"/>
      <w:marBottom w:val="0"/>
      <w:divBdr>
        <w:top w:val="none" w:sz="0" w:space="0" w:color="auto"/>
        <w:left w:val="none" w:sz="0" w:space="0" w:color="auto"/>
        <w:bottom w:val="none" w:sz="0" w:space="0" w:color="auto"/>
        <w:right w:val="none" w:sz="0" w:space="0" w:color="auto"/>
      </w:divBdr>
    </w:div>
    <w:div w:id="117918166">
      <w:bodyDiv w:val="1"/>
      <w:marLeft w:val="0"/>
      <w:marRight w:val="0"/>
      <w:marTop w:val="0"/>
      <w:marBottom w:val="0"/>
      <w:divBdr>
        <w:top w:val="none" w:sz="0" w:space="0" w:color="auto"/>
        <w:left w:val="none" w:sz="0" w:space="0" w:color="auto"/>
        <w:bottom w:val="none" w:sz="0" w:space="0" w:color="auto"/>
        <w:right w:val="none" w:sz="0" w:space="0" w:color="auto"/>
      </w:divBdr>
    </w:div>
    <w:div w:id="177235051">
      <w:bodyDiv w:val="1"/>
      <w:marLeft w:val="0"/>
      <w:marRight w:val="0"/>
      <w:marTop w:val="0"/>
      <w:marBottom w:val="0"/>
      <w:divBdr>
        <w:top w:val="none" w:sz="0" w:space="0" w:color="auto"/>
        <w:left w:val="none" w:sz="0" w:space="0" w:color="auto"/>
        <w:bottom w:val="none" w:sz="0" w:space="0" w:color="auto"/>
        <w:right w:val="none" w:sz="0" w:space="0" w:color="auto"/>
      </w:divBdr>
    </w:div>
    <w:div w:id="182742846">
      <w:bodyDiv w:val="1"/>
      <w:marLeft w:val="0"/>
      <w:marRight w:val="0"/>
      <w:marTop w:val="0"/>
      <w:marBottom w:val="0"/>
      <w:divBdr>
        <w:top w:val="none" w:sz="0" w:space="0" w:color="auto"/>
        <w:left w:val="none" w:sz="0" w:space="0" w:color="auto"/>
        <w:bottom w:val="none" w:sz="0" w:space="0" w:color="auto"/>
        <w:right w:val="none" w:sz="0" w:space="0" w:color="auto"/>
      </w:divBdr>
    </w:div>
    <w:div w:id="226040467">
      <w:bodyDiv w:val="1"/>
      <w:marLeft w:val="0"/>
      <w:marRight w:val="0"/>
      <w:marTop w:val="0"/>
      <w:marBottom w:val="0"/>
      <w:divBdr>
        <w:top w:val="none" w:sz="0" w:space="0" w:color="auto"/>
        <w:left w:val="none" w:sz="0" w:space="0" w:color="auto"/>
        <w:bottom w:val="none" w:sz="0" w:space="0" w:color="auto"/>
        <w:right w:val="none" w:sz="0" w:space="0" w:color="auto"/>
      </w:divBdr>
    </w:div>
    <w:div w:id="267202645">
      <w:bodyDiv w:val="1"/>
      <w:marLeft w:val="0"/>
      <w:marRight w:val="0"/>
      <w:marTop w:val="0"/>
      <w:marBottom w:val="0"/>
      <w:divBdr>
        <w:top w:val="none" w:sz="0" w:space="0" w:color="auto"/>
        <w:left w:val="none" w:sz="0" w:space="0" w:color="auto"/>
        <w:bottom w:val="none" w:sz="0" w:space="0" w:color="auto"/>
        <w:right w:val="none" w:sz="0" w:space="0" w:color="auto"/>
      </w:divBdr>
    </w:div>
    <w:div w:id="303782550">
      <w:bodyDiv w:val="1"/>
      <w:marLeft w:val="0"/>
      <w:marRight w:val="0"/>
      <w:marTop w:val="0"/>
      <w:marBottom w:val="0"/>
      <w:divBdr>
        <w:top w:val="none" w:sz="0" w:space="0" w:color="auto"/>
        <w:left w:val="none" w:sz="0" w:space="0" w:color="auto"/>
        <w:bottom w:val="none" w:sz="0" w:space="0" w:color="auto"/>
        <w:right w:val="none" w:sz="0" w:space="0" w:color="auto"/>
      </w:divBdr>
    </w:div>
    <w:div w:id="320235612">
      <w:bodyDiv w:val="1"/>
      <w:marLeft w:val="0"/>
      <w:marRight w:val="0"/>
      <w:marTop w:val="0"/>
      <w:marBottom w:val="0"/>
      <w:divBdr>
        <w:top w:val="none" w:sz="0" w:space="0" w:color="auto"/>
        <w:left w:val="none" w:sz="0" w:space="0" w:color="auto"/>
        <w:bottom w:val="none" w:sz="0" w:space="0" w:color="auto"/>
        <w:right w:val="none" w:sz="0" w:space="0" w:color="auto"/>
      </w:divBdr>
    </w:div>
    <w:div w:id="333340845">
      <w:bodyDiv w:val="1"/>
      <w:marLeft w:val="0"/>
      <w:marRight w:val="0"/>
      <w:marTop w:val="0"/>
      <w:marBottom w:val="0"/>
      <w:divBdr>
        <w:top w:val="none" w:sz="0" w:space="0" w:color="auto"/>
        <w:left w:val="none" w:sz="0" w:space="0" w:color="auto"/>
        <w:bottom w:val="none" w:sz="0" w:space="0" w:color="auto"/>
        <w:right w:val="none" w:sz="0" w:space="0" w:color="auto"/>
      </w:divBdr>
    </w:div>
    <w:div w:id="356737734">
      <w:bodyDiv w:val="1"/>
      <w:marLeft w:val="0"/>
      <w:marRight w:val="0"/>
      <w:marTop w:val="0"/>
      <w:marBottom w:val="0"/>
      <w:divBdr>
        <w:top w:val="none" w:sz="0" w:space="0" w:color="auto"/>
        <w:left w:val="none" w:sz="0" w:space="0" w:color="auto"/>
        <w:bottom w:val="none" w:sz="0" w:space="0" w:color="auto"/>
        <w:right w:val="none" w:sz="0" w:space="0" w:color="auto"/>
      </w:divBdr>
    </w:div>
    <w:div w:id="357245085">
      <w:bodyDiv w:val="1"/>
      <w:marLeft w:val="0"/>
      <w:marRight w:val="0"/>
      <w:marTop w:val="0"/>
      <w:marBottom w:val="0"/>
      <w:divBdr>
        <w:top w:val="none" w:sz="0" w:space="0" w:color="auto"/>
        <w:left w:val="none" w:sz="0" w:space="0" w:color="auto"/>
        <w:bottom w:val="none" w:sz="0" w:space="0" w:color="auto"/>
        <w:right w:val="none" w:sz="0" w:space="0" w:color="auto"/>
      </w:divBdr>
    </w:div>
    <w:div w:id="415634710">
      <w:bodyDiv w:val="1"/>
      <w:marLeft w:val="0"/>
      <w:marRight w:val="0"/>
      <w:marTop w:val="0"/>
      <w:marBottom w:val="0"/>
      <w:divBdr>
        <w:top w:val="none" w:sz="0" w:space="0" w:color="auto"/>
        <w:left w:val="none" w:sz="0" w:space="0" w:color="auto"/>
        <w:bottom w:val="none" w:sz="0" w:space="0" w:color="auto"/>
        <w:right w:val="none" w:sz="0" w:space="0" w:color="auto"/>
      </w:divBdr>
    </w:div>
    <w:div w:id="452940354">
      <w:bodyDiv w:val="1"/>
      <w:marLeft w:val="0"/>
      <w:marRight w:val="0"/>
      <w:marTop w:val="0"/>
      <w:marBottom w:val="0"/>
      <w:divBdr>
        <w:top w:val="none" w:sz="0" w:space="0" w:color="auto"/>
        <w:left w:val="none" w:sz="0" w:space="0" w:color="auto"/>
        <w:bottom w:val="none" w:sz="0" w:space="0" w:color="auto"/>
        <w:right w:val="none" w:sz="0" w:space="0" w:color="auto"/>
      </w:divBdr>
    </w:div>
    <w:div w:id="618990922">
      <w:bodyDiv w:val="1"/>
      <w:marLeft w:val="0"/>
      <w:marRight w:val="0"/>
      <w:marTop w:val="0"/>
      <w:marBottom w:val="0"/>
      <w:divBdr>
        <w:top w:val="none" w:sz="0" w:space="0" w:color="auto"/>
        <w:left w:val="none" w:sz="0" w:space="0" w:color="auto"/>
        <w:bottom w:val="none" w:sz="0" w:space="0" w:color="auto"/>
        <w:right w:val="none" w:sz="0" w:space="0" w:color="auto"/>
      </w:divBdr>
    </w:div>
    <w:div w:id="631792954">
      <w:bodyDiv w:val="1"/>
      <w:marLeft w:val="0"/>
      <w:marRight w:val="0"/>
      <w:marTop w:val="0"/>
      <w:marBottom w:val="0"/>
      <w:divBdr>
        <w:top w:val="none" w:sz="0" w:space="0" w:color="auto"/>
        <w:left w:val="none" w:sz="0" w:space="0" w:color="auto"/>
        <w:bottom w:val="none" w:sz="0" w:space="0" w:color="auto"/>
        <w:right w:val="none" w:sz="0" w:space="0" w:color="auto"/>
      </w:divBdr>
    </w:div>
    <w:div w:id="665130863">
      <w:bodyDiv w:val="1"/>
      <w:marLeft w:val="0"/>
      <w:marRight w:val="0"/>
      <w:marTop w:val="0"/>
      <w:marBottom w:val="0"/>
      <w:divBdr>
        <w:top w:val="none" w:sz="0" w:space="0" w:color="auto"/>
        <w:left w:val="none" w:sz="0" w:space="0" w:color="auto"/>
        <w:bottom w:val="none" w:sz="0" w:space="0" w:color="auto"/>
        <w:right w:val="none" w:sz="0" w:space="0" w:color="auto"/>
      </w:divBdr>
    </w:div>
    <w:div w:id="728069591">
      <w:bodyDiv w:val="1"/>
      <w:marLeft w:val="0"/>
      <w:marRight w:val="0"/>
      <w:marTop w:val="0"/>
      <w:marBottom w:val="0"/>
      <w:divBdr>
        <w:top w:val="none" w:sz="0" w:space="0" w:color="auto"/>
        <w:left w:val="none" w:sz="0" w:space="0" w:color="auto"/>
        <w:bottom w:val="none" w:sz="0" w:space="0" w:color="auto"/>
        <w:right w:val="none" w:sz="0" w:space="0" w:color="auto"/>
      </w:divBdr>
    </w:div>
    <w:div w:id="742682762">
      <w:bodyDiv w:val="1"/>
      <w:marLeft w:val="0"/>
      <w:marRight w:val="0"/>
      <w:marTop w:val="0"/>
      <w:marBottom w:val="0"/>
      <w:divBdr>
        <w:top w:val="none" w:sz="0" w:space="0" w:color="auto"/>
        <w:left w:val="none" w:sz="0" w:space="0" w:color="auto"/>
        <w:bottom w:val="none" w:sz="0" w:space="0" w:color="auto"/>
        <w:right w:val="none" w:sz="0" w:space="0" w:color="auto"/>
      </w:divBdr>
    </w:div>
    <w:div w:id="748815659">
      <w:bodyDiv w:val="1"/>
      <w:marLeft w:val="0"/>
      <w:marRight w:val="0"/>
      <w:marTop w:val="0"/>
      <w:marBottom w:val="0"/>
      <w:divBdr>
        <w:top w:val="none" w:sz="0" w:space="0" w:color="auto"/>
        <w:left w:val="none" w:sz="0" w:space="0" w:color="auto"/>
        <w:bottom w:val="none" w:sz="0" w:space="0" w:color="auto"/>
        <w:right w:val="none" w:sz="0" w:space="0" w:color="auto"/>
      </w:divBdr>
    </w:div>
    <w:div w:id="860246297">
      <w:bodyDiv w:val="1"/>
      <w:marLeft w:val="0"/>
      <w:marRight w:val="0"/>
      <w:marTop w:val="0"/>
      <w:marBottom w:val="0"/>
      <w:divBdr>
        <w:top w:val="none" w:sz="0" w:space="0" w:color="auto"/>
        <w:left w:val="none" w:sz="0" w:space="0" w:color="auto"/>
        <w:bottom w:val="none" w:sz="0" w:space="0" w:color="auto"/>
        <w:right w:val="none" w:sz="0" w:space="0" w:color="auto"/>
      </w:divBdr>
    </w:div>
    <w:div w:id="868419436">
      <w:bodyDiv w:val="1"/>
      <w:marLeft w:val="0"/>
      <w:marRight w:val="0"/>
      <w:marTop w:val="0"/>
      <w:marBottom w:val="0"/>
      <w:divBdr>
        <w:top w:val="none" w:sz="0" w:space="0" w:color="auto"/>
        <w:left w:val="none" w:sz="0" w:space="0" w:color="auto"/>
        <w:bottom w:val="none" w:sz="0" w:space="0" w:color="auto"/>
        <w:right w:val="none" w:sz="0" w:space="0" w:color="auto"/>
      </w:divBdr>
    </w:div>
    <w:div w:id="881094203">
      <w:bodyDiv w:val="1"/>
      <w:marLeft w:val="0"/>
      <w:marRight w:val="0"/>
      <w:marTop w:val="0"/>
      <w:marBottom w:val="0"/>
      <w:divBdr>
        <w:top w:val="none" w:sz="0" w:space="0" w:color="auto"/>
        <w:left w:val="none" w:sz="0" w:space="0" w:color="auto"/>
        <w:bottom w:val="none" w:sz="0" w:space="0" w:color="auto"/>
        <w:right w:val="none" w:sz="0" w:space="0" w:color="auto"/>
      </w:divBdr>
    </w:div>
    <w:div w:id="889149898">
      <w:bodyDiv w:val="1"/>
      <w:marLeft w:val="0"/>
      <w:marRight w:val="0"/>
      <w:marTop w:val="0"/>
      <w:marBottom w:val="0"/>
      <w:divBdr>
        <w:top w:val="none" w:sz="0" w:space="0" w:color="auto"/>
        <w:left w:val="none" w:sz="0" w:space="0" w:color="auto"/>
        <w:bottom w:val="none" w:sz="0" w:space="0" w:color="auto"/>
        <w:right w:val="none" w:sz="0" w:space="0" w:color="auto"/>
      </w:divBdr>
    </w:div>
    <w:div w:id="913202375">
      <w:bodyDiv w:val="1"/>
      <w:marLeft w:val="0"/>
      <w:marRight w:val="0"/>
      <w:marTop w:val="0"/>
      <w:marBottom w:val="0"/>
      <w:divBdr>
        <w:top w:val="none" w:sz="0" w:space="0" w:color="auto"/>
        <w:left w:val="none" w:sz="0" w:space="0" w:color="auto"/>
        <w:bottom w:val="none" w:sz="0" w:space="0" w:color="auto"/>
        <w:right w:val="none" w:sz="0" w:space="0" w:color="auto"/>
      </w:divBdr>
      <w:divsChild>
        <w:div w:id="426315575">
          <w:marLeft w:val="0"/>
          <w:marRight w:val="0"/>
          <w:marTop w:val="0"/>
          <w:marBottom w:val="0"/>
          <w:divBdr>
            <w:top w:val="none" w:sz="0" w:space="0" w:color="auto"/>
            <w:left w:val="none" w:sz="0" w:space="0" w:color="auto"/>
            <w:bottom w:val="none" w:sz="0" w:space="0" w:color="auto"/>
            <w:right w:val="none" w:sz="0" w:space="0" w:color="auto"/>
          </w:divBdr>
        </w:div>
      </w:divsChild>
    </w:div>
    <w:div w:id="968052818">
      <w:bodyDiv w:val="1"/>
      <w:marLeft w:val="0"/>
      <w:marRight w:val="0"/>
      <w:marTop w:val="0"/>
      <w:marBottom w:val="0"/>
      <w:divBdr>
        <w:top w:val="none" w:sz="0" w:space="0" w:color="auto"/>
        <w:left w:val="none" w:sz="0" w:space="0" w:color="auto"/>
        <w:bottom w:val="none" w:sz="0" w:space="0" w:color="auto"/>
        <w:right w:val="none" w:sz="0" w:space="0" w:color="auto"/>
      </w:divBdr>
    </w:div>
    <w:div w:id="1009990104">
      <w:bodyDiv w:val="1"/>
      <w:marLeft w:val="0"/>
      <w:marRight w:val="0"/>
      <w:marTop w:val="0"/>
      <w:marBottom w:val="0"/>
      <w:divBdr>
        <w:top w:val="none" w:sz="0" w:space="0" w:color="auto"/>
        <w:left w:val="none" w:sz="0" w:space="0" w:color="auto"/>
        <w:bottom w:val="none" w:sz="0" w:space="0" w:color="auto"/>
        <w:right w:val="none" w:sz="0" w:space="0" w:color="auto"/>
      </w:divBdr>
    </w:div>
    <w:div w:id="1068964630">
      <w:bodyDiv w:val="1"/>
      <w:marLeft w:val="0"/>
      <w:marRight w:val="0"/>
      <w:marTop w:val="0"/>
      <w:marBottom w:val="0"/>
      <w:divBdr>
        <w:top w:val="none" w:sz="0" w:space="0" w:color="auto"/>
        <w:left w:val="none" w:sz="0" w:space="0" w:color="auto"/>
        <w:bottom w:val="none" w:sz="0" w:space="0" w:color="auto"/>
        <w:right w:val="none" w:sz="0" w:space="0" w:color="auto"/>
      </w:divBdr>
    </w:div>
    <w:div w:id="1327856247">
      <w:bodyDiv w:val="1"/>
      <w:marLeft w:val="0"/>
      <w:marRight w:val="0"/>
      <w:marTop w:val="0"/>
      <w:marBottom w:val="0"/>
      <w:divBdr>
        <w:top w:val="none" w:sz="0" w:space="0" w:color="auto"/>
        <w:left w:val="none" w:sz="0" w:space="0" w:color="auto"/>
        <w:bottom w:val="none" w:sz="0" w:space="0" w:color="auto"/>
        <w:right w:val="none" w:sz="0" w:space="0" w:color="auto"/>
      </w:divBdr>
    </w:div>
    <w:div w:id="1438789343">
      <w:bodyDiv w:val="1"/>
      <w:marLeft w:val="0"/>
      <w:marRight w:val="0"/>
      <w:marTop w:val="0"/>
      <w:marBottom w:val="0"/>
      <w:divBdr>
        <w:top w:val="none" w:sz="0" w:space="0" w:color="auto"/>
        <w:left w:val="none" w:sz="0" w:space="0" w:color="auto"/>
        <w:bottom w:val="none" w:sz="0" w:space="0" w:color="auto"/>
        <w:right w:val="none" w:sz="0" w:space="0" w:color="auto"/>
      </w:divBdr>
    </w:div>
    <w:div w:id="1459759661">
      <w:bodyDiv w:val="1"/>
      <w:marLeft w:val="0"/>
      <w:marRight w:val="0"/>
      <w:marTop w:val="0"/>
      <w:marBottom w:val="0"/>
      <w:divBdr>
        <w:top w:val="none" w:sz="0" w:space="0" w:color="auto"/>
        <w:left w:val="none" w:sz="0" w:space="0" w:color="auto"/>
        <w:bottom w:val="none" w:sz="0" w:space="0" w:color="auto"/>
        <w:right w:val="none" w:sz="0" w:space="0" w:color="auto"/>
      </w:divBdr>
    </w:div>
    <w:div w:id="1463617561">
      <w:bodyDiv w:val="1"/>
      <w:marLeft w:val="0"/>
      <w:marRight w:val="0"/>
      <w:marTop w:val="0"/>
      <w:marBottom w:val="0"/>
      <w:divBdr>
        <w:top w:val="none" w:sz="0" w:space="0" w:color="auto"/>
        <w:left w:val="none" w:sz="0" w:space="0" w:color="auto"/>
        <w:bottom w:val="none" w:sz="0" w:space="0" w:color="auto"/>
        <w:right w:val="none" w:sz="0" w:space="0" w:color="auto"/>
      </w:divBdr>
    </w:div>
    <w:div w:id="1464302385">
      <w:bodyDiv w:val="1"/>
      <w:marLeft w:val="0"/>
      <w:marRight w:val="0"/>
      <w:marTop w:val="0"/>
      <w:marBottom w:val="0"/>
      <w:divBdr>
        <w:top w:val="none" w:sz="0" w:space="0" w:color="auto"/>
        <w:left w:val="none" w:sz="0" w:space="0" w:color="auto"/>
        <w:bottom w:val="none" w:sz="0" w:space="0" w:color="auto"/>
        <w:right w:val="none" w:sz="0" w:space="0" w:color="auto"/>
      </w:divBdr>
    </w:div>
    <w:div w:id="1644236922">
      <w:bodyDiv w:val="1"/>
      <w:marLeft w:val="0"/>
      <w:marRight w:val="0"/>
      <w:marTop w:val="0"/>
      <w:marBottom w:val="0"/>
      <w:divBdr>
        <w:top w:val="none" w:sz="0" w:space="0" w:color="auto"/>
        <w:left w:val="none" w:sz="0" w:space="0" w:color="auto"/>
        <w:bottom w:val="none" w:sz="0" w:space="0" w:color="auto"/>
        <w:right w:val="none" w:sz="0" w:space="0" w:color="auto"/>
      </w:divBdr>
    </w:div>
    <w:div w:id="1649821494">
      <w:bodyDiv w:val="1"/>
      <w:marLeft w:val="0"/>
      <w:marRight w:val="0"/>
      <w:marTop w:val="0"/>
      <w:marBottom w:val="0"/>
      <w:divBdr>
        <w:top w:val="none" w:sz="0" w:space="0" w:color="auto"/>
        <w:left w:val="none" w:sz="0" w:space="0" w:color="auto"/>
        <w:bottom w:val="none" w:sz="0" w:space="0" w:color="auto"/>
        <w:right w:val="none" w:sz="0" w:space="0" w:color="auto"/>
      </w:divBdr>
    </w:div>
    <w:div w:id="1756439494">
      <w:bodyDiv w:val="1"/>
      <w:marLeft w:val="0"/>
      <w:marRight w:val="0"/>
      <w:marTop w:val="0"/>
      <w:marBottom w:val="0"/>
      <w:divBdr>
        <w:top w:val="none" w:sz="0" w:space="0" w:color="auto"/>
        <w:left w:val="none" w:sz="0" w:space="0" w:color="auto"/>
        <w:bottom w:val="none" w:sz="0" w:space="0" w:color="auto"/>
        <w:right w:val="none" w:sz="0" w:space="0" w:color="auto"/>
      </w:divBdr>
    </w:div>
    <w:div w:id="1779983223">
      <w:bodyDiv w:val="1"/>
      <w:marLeft w:val="0"/>
      <w:marRight w:val="0"/>
      <w:marTop w:val="0"/>
      <w:marBottom w:val="0"/>
      <w:divBdr>
        <w:top w:val="none" w:sz="0" w:space="0" w:color="auto"/>
        <w:left w:val="none" w:sz="0" w:space="0" w:color="auto"/>
        <w:bottom w:val="none" w:sz="0" w:space="0" w:color="auto"/>
        <w:right w:val="none" w:sz="0" w:space="0" w:color="auto"/>
      </w:divBdr>
    </w:div>
    <w:div w:id="1804345566">
      <w:bodyDiv w:val="1"/>
      <w:marLeft w:val="0"/>
      <w:marRight w:val="0"/>
      <w:marTop w:val="0"/>
      <w:marBottom w:val="0"/>
      <w:divBdr>
        <w:top w:val="none" w:sz="0" w:space="0" w:color="auto"/>
        <w:left w:val="none" w:sz="0" w:space="0" w:color="auto"/>
        <w:bottom w:val="none" w:sz="0" w:space="0" w:color="auto"/>
        <w:right w:val="none" w:sz="0" w:space="0" w:color="auto"/>
      </w:divBdr>
    </w:div>
    <w:div w:id="1867254688">
      <w:bodyDiv w:val="1"/>
      <w:marLeft w:val="0"/>
      <w:marRight w:val="0"/>
      <w:marTop w:val="0"/>
      <w:marBottom w:val="0"/>
      <w:divBdr>
        <w:top w:val="none" w:sz="0" w:space="0" w:color="auto"/>
        <w:left w:val="none" w:sz="0" w:space="0" w:color="auto"/>
        <w:bottom w:val="none" w:sz="0" w:space="0" w:color="auto"/>
        <w:right w:val="none" w:sz="0" w:space="0" w:color="auto"/>
      </w:divBdr>
    </w:div>
    <w:div w:id="1980261028">
      <w:bodyDiv w:val="1"/>
      <w:marLeft w:val="0"/>
      <w:marRight w:val="0"/>
      <w:marTop w:val="0"/>
      <w:marBottom w:val="0"/>
      <w:divBdr>
        <w:top w:val="none" w:sz="0" w:space="0" w:color="auto"/>
        <w:left w:val="none" w:sz="0" w:space="0" w:color="auto"/>
        <w:bottom w:val="none" w:sz="0" w:space="0" w:color="auto"/>
        <w:right w:val="none" w:sz="0" w:space="0" w:color="auto"/>
      </w:divBdr>
    </w:div>
    <w:div w:id="2112315210">
      <w:bodyDiv w:val="1"/>
      <w:marLeft w:val="0"/>
      <w:marRight w:val="0"/>
      <w:marTop w:val="0"/>
      <w:marBottom w:val="0"/>
      <w:divBdr>
        <w:top w:val="none" w:sz="0" w:space="0" w:color="auto"/>
        <w:left w:val="none" w:sz="0" w:space="0" w:color="auto"/>
        <w:bottom w:val="none" w:sz="0" w:space="0" w:color="auto"/>
        <w:right w:val="none" w:sz="0" w:space="0" w:color="auto"/>
      </w:divBdr>
    </w:div>
    <w:div w:id="21332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4036f4f409ca11ecb4af84e751d2e0c9?positionInSearchResults=0&amp;searchModelUUID=220c9789-fabb-479b-abc8-518ea5601f3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t/legalAct/450f02c0a08c11ec966fd5047f7e709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0563-7549-4AC0-9482-210C6791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4670</Words>
  <Characters>2662</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7318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Diana Brazdžiunienė</cp:lastModifiedBy>
  <cp:revision>2</cp:revision>
  <cp:lastPrinted>2019-05-09T07:37:00Z</cp:lastPrinted>
  <dcterms:created xsi:type="dcterms:W3CDTF">2022-04-13T07:43:00Z</dcterms:created>
  <dcterms:modified xsi:type="dcterms:W3CDTF">2022-04-13T07:43:00Z</dcterms:modified>
</cp:coreProperties>
</file>