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96" w:rsidRDefault="00C325A7">
      <w:pPr>
        <w:spacing w:before="64"/>
        <w:ind w:left="3354" w:right="364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TEISĖS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AKTŲ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ANTIKORUPCINIO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VERTINIMO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PAŽYMA</w:t>
      </w:r>
    </w:p>
    <w:p w:rsidR="00A91896" w:rsidRDefault="00A91896">
      <w:pPr>
        <w:spacing w:before="11"/>
        <w:rPr>
          <w:b/>
          <w:sz w:val="23"/>
        </w:rPr>
      </w:pPr>
    </w:p>
    <w:p w:rsidR="00A91896" w:rsidRDefault="00C325A7">
      <w:pPr>
        <w:pStyle w:val="Pagrindinistekstas"/>
        <w:ind w:left="124"/>
      </w:pPr>
      <w:r>
        <w:rPr>
          <w:i w:val="0"/>
        </w:rPr>
        <w:t>Teisės</w:t>
      </w:r>
      <w:r>
        <w:rPr>
          <w:i w:val="0"/>
          <w:spacing w:val="36"/>
        </w:rPr>
        <w:t xml:space="preserve"> </w:t>
      </w:r>
      <w:r>
        <w:rPr>
          <w:i w:val="0"/>
        </w:rPr>
        <w:t>akto</w:t>
      </w:r>
      <w:r>
        <w:rPr>
          <w:i w:val="0"/>
          <w:spacing w:val="35"/>
        </w:rPr>
        <w:t xml:space="preserve"> </w:t>
      </w:r>
      <w:r>
        <w:rPr>
          <w:i w:val="0"/>
        </w:rPr>
        <w:t>projekto</w:t>
      </w:r>
      <w:r>
        <w:rPr>
          <w:i w:val="0"/>
          <w:spacing w:val="35"/>
        </w:rPr>
        <w:t xml:space="preserve"> </w:t>
      </w:r>
      <w:r>
        <w:rPr>
          <w:i w:val="0"/>
        </w:rPr>
        <w:t>pavadinimas:</w:t>
      </w:r>
      <w:r>
        <w:rPr>
          <w:i w:val="0"/>
          <w:spacing w:val="38"/>
        </w:rPr>
        <w:t xml:space="preserve"> </w:t>
      </w:r>
      <w:r>
        <w:t>Panevėžio</w:t>
      </w:r>
      <w:r>
        <w:rPr>
          <w:spacing w:val="37"/>
        </w:rPr>
        <w:t xml:space="preserve"> </w:t>
      </w:r>
      <w:r>
        <w:t>miesto</w:t>
      </w:r>
      <w:r>
        <w:rPr>
          <w:spacing w:val="35"/>
        </w:rPr>
        <w:t xml:space="preserve"> </w:t>
      </w:r>
      <w:r>
        <w:t>savivaldybės</w:t>
      </w:r>
      <w:r>
        <w:rPr>
          <w:spacing w:val="37"/>
        </w:rPr>
        <w:t xml:space="preserve"> </w:t>
      </w:r>
      <w:r>
        <w:t>tarybos</w:t>
      </w:r>
      <w:r>
        <w:rPr>
          <w:spacing w:val="36"/>
        </w:rPr>
        <w:t xml:space="preserve"> </w:t>
      </w:r>
      <w:r>
        <w:t>sprendimo</w:t>
      </w:r>
      <w:r>
        <w:rPr>
          <w:spacing w:val="35"/>
        </w:rPr>
        <w:t xml:space="preserve"> </w:t>
      </w:r>
      <w:r>
        <w:t>„Dėl</w:t>
      </w:r>
      <w:r>
        <w:rPr>
          <w:spacing w:val="34"/>
        </w:rPr>
        <w:t xml:space="preserve"> </w:t>
      </w:r>
      <w:r>
        <w:t>lėšų,</w:t>
      </w:r>
      <w:r>
        <w:rPr>
          <w:spacing w:val="35"/>
        </w:rPr>
        <w:t xml:space="preserve"> </w:t>
      </w:r>
      <w:r>
        <w:t>skirtų</w:t>
      </w:r>
      <w:r>
        <w:rPr>
          <w:spacing w:val="35"/>
        </w:rPr>
        <w:t xml:space="preserve"> </w:t>
      </w:r>
      <w:r>
        <w:t>Panevėžio</w:t>
      </w:r>
      <w:r>
        <w:rPr>
          <w:spacing w:val="35"/>
        </w:rPr>
        <w:t xml:space="preserve"> </w:t>
      </w:r>
      <w:r>
        <w:t>miesto</w:t>
      </w:r>
      <w:r>
        <w:rPr>
          <w:spacing w:val="35"/>
        </w:rPr>
        <w:t xml:space="preserve"> </w:t>
      </w:r>
      <w:r>
        <w:t>savivaldybei</w:t>
      </w:r>
      <w:r>
        <w:rPr>
          <w:spacing w:val="36"/>
        </w:rPr>
        <w:t xml:space="preserve"> </w:t>
      </w:r>
      <w:r>
        <w:t>2022</w:t>
      </w:r>
      <w:r>
        <w:rPr>
          <w:spacing w:val="35"/>
        </w:rPr>
        <w:t xml:space="preserve"> </w:t>
      </w:r>
      <w:r>
        <w:t>m.</w:t>
      </w:r>
      <w:r>
        <w:t xml:space="preserve"> bendrojo ugdymo mokyklų tinklo stiprinimo iniciatyvoms skatinti, paskirstymo ir panaudojimo tvarkos aprašo patvirtinimo“ projektas.</w:t>
      </w:r>
    </w:p>
    <w:p w:rsidR="00A91896" w:rsidRDefault="00C325A7">
      <w:pPr>
        <w:ind w:left="124"/>
        <w:rPr>
          <w:i/>
          <w:sz w:val="24"/>
        </w:rPr>
      </w:pP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akto</w:t>
      </w:r>
      <w:r>
        <w:rPr>
          <w:spacing w:val="-3"/>
          <w:sz w:val="24"/>
        </w:rPr>
        <w:t xml:space="preserve"> </w:t>
      </w:r>
      <w:r>
        <w:rPr>
          <w:sz w:val="24"/>
        </w:rPr>
        <w:t>projekto</w:t>
      </w:r>
      <w:r>
        <w:rPr>
          <w:spacing w:val="-3"/>
          <w:sz w:val="24"/>
        </w:rPr>
        <w:t xml:space="preserve"> </w:t>
      </w:r>
      <w:r>
        <w:rPr>
          <w:sz w:val="24"/>
        </w:rPr>
        <w:t>tiesioginis</w:t>
      </w:r>
      <w:r>
        <w:rPr>
          <w:spacing w:val="-2"/>
          <w:sz w:val="24"/>
        </w:rPr>
        <w:t xml:space="preserve"> </w:t>
      </w:r>
      <w:r>
        <w:rPr>
          <w:sz w:val="24"/>
        </w:rPr>
        <w:t>rengėjas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Panevėžio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miesto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savivaldybės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administracijos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Švietimo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skyriaus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vedėjos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pavaduotojas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Dainius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Šipelis.</w:t>
      </w:r>
    </w:p>
    <w:p w:rsidR="00A91896" w:rsidRDefault="00C325A7">
      <w:pPr>
        <w:ind w:left="124"/>
        <w:rPr>
          <w:sz w:val="24"/>
        </w:rPr>
      </w:pP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akto</w:t>
      </w:r>
      <w:r>
        <w:rPr>
          <w:spacing w:val="-3"/>
          <w:sz w:val="24"/>
        </w:rPr>
        <w:t xml:space="preserve"> </w:t>
      </w:r>
      <w:r>
        <w:rPr>
          <w:sz w:val="24"/>
        </w:rPr>
        <w:t>projekto</w:t>
      </w:r>
      <w:r>
        <w:rPr>
          <w:spacing w:val="-3"/>
          <w:sz w:val="24"/>
        </w:rPr>
        <w:t xml:space="preserve"> </w:t>
      </w:r>
      <w:r>
        <w:rPr>
          <w:sz w:val="24"/>
        </w:rPr>
        <w:t>antikorupcinis</w:t>
      </w:r>
      <w:r>
        <w:rPr>
          <w:spacing w:val="-2"/>
          <w:sz w:val="24"/>
        </w:rPr>
        <w:t xml:space="preserve"> </w:t>
      </w:r>
      <w:r>
        <w:rPr>
          <w:sz w:val="24"/>
        </w:rPr>
        <w:t>vertinimas</w:t>
      </w:r>
      <w:r>
        <w:rPr>
          <w:spacing w:val="-3"/>
          <w:sz w:val="24"/>
        </w:rPr>
        <w:t xml:space="preserve"> </w:t>
      </w:r>
      <w:r>
        <w:rPr>
          <w:sz w:val="24"/>
        </w:rPr>
        <w:t>atliktas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pažymėti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reikiamą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atsakymą</w:t>
      </w:r>
      <w:r>
        <w:rPr>
          <w:spacing w:val="-2"/>
          <w:sz w:val="24"/>
        </w:rPr>
        <w:t>):</w:t>
      </w:r>
    </w:p>
    <w:p w:rsidR="00A91896" w:rsidRDefault="00C325A7">
      <w:pPr>
        <w:pStyle w:val="Sraopastraipa"/>
        <w:numPr>
          <w:ilvl w:val="0"/>
          <w:numId w:val="9"/>
        </w:numPr>
        <w:tabs>
          <w:tab w:val="left" w:pos="1624"/>
        </w:tabs>
        <w:ind w:right="576" w:firstLine="1296"/>
        <w:rPr>
          <w:sz w:val="24"/>
        </w:rPr>
      </w:pPr>
      <w:r>
        <w:rPr>
          <w:sz w:val="24"/>
        </w:rPr>
        <w:t>suderinus</w:t>
      </w:r>
      <w:r>
        <w:rPr>
          <w:spacing w:val="-4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akto</w:t>
      </w:r>
      <w:r>
        <w:rPr>
          <w:spacing w:val="-4"/>
          <w:sz w:val="24"/>
        </w:rPr>
        <w:t xml:space="preserve"> </w:t>
      </w:r>
      <w:r>
        <w:rPr>
          <w:sz w:val="24"/>
        </w:rPr>
        <w:t>projektą</w:t>
      </w:r>
      <w:r>
        <w:rPr>
          <w:spacing w:val="-3"/>
          <w:sz w:val="24"/>
        </w:rPr>
        <w:t xml:space="preserve"> </w:t>
      </w:r>
      <w:r>
        <w:rPr>
          <w:sz w:val="24"/>
        </w:rPr>
        <w:t>viešojo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3"/>
          <w:sz w:val="24"/>
        </w:rPr>
        <w:t xml:space="preserve"> </w:t>
      </w:r>
      <w:r>
        <w:rPr>
          <w:sz w:val="24"/>
        </w:rPr>
        <w:t>subjekte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pavaldžiomis</w:t>
      </w:r>
      <w:r>
        <w:rPr>
          <w:spacing w:val="-2"/>
          <w:sz w:val="24"/>
        </w:rPr>
        <w:t xml:space="preserve"> </w:t>
      </w:r>
      <w:r>
        <w:rPr>
          <w:sz w:val="24"/>
        </w:rPr>
        <w:t>įstaigomis</w:t>
      </w:r>
      <w:r>
        <w:rPr>
          <w:spacing w:val="-2"/>
          <w:sz w:val="24"/>
        </w:rPr>
        <w:t xml:space="preserve"> </w:t>
      </w:r>
      <w:r>
        <w:rPr>
          <w:sz w:val="24"/>
        </w:rPr>
        <w:t>(įstaigomis prie</w:t>
      </w:r>
      <w:r>
        <w:rPr>
          <w:spacing w:val="-5"/>
          <w:sz w:val="24"/>
        </w:rPr>
        <w:t xml:space="preserve"> </w:t>
      </w:r>
      <w:r>
        <w:rPr>
          <w:sz w:val="24"/>
        </w:rPr>
        <w:t>ministerijos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kitomis minist</w:t>
      </w:r>
      <w:r>
        <w:rPr>
          <w:sz w:val="24"/>
        </w:rPr>
        <w:t>rui pavestose valdymo srityse veikiančiomis įstaigomis ir įmonėmis);</w:t>
      </w:r>
    </w:p>
    <w:p w:rsidR="00A91896" w:rsidRDefault="00C325A7">
      <w:pPr>
        <w:pStyle w:val="Sraopastraipa"/>
        <w:numPr>
          <w:ilvl w:val="0"/>
          <w:numId w:val="9"/>
        </w:numPr>
        <w:tabs>
          <w:tab w:val="left" w:pos="1624"/>
        </w:tabs>
        <w:ind w:left="1624"/>
        <w:rPr>
          <w:sz w:val="24"/>
        </w:rPr>
      </w:pPr>
      <w:r>
        <w:rPr>
          <w:sz w:val="24"/>
        </w:rPr>
        <w:t>suderinus</w:t>
      </w:r>
      <w:r>
        <w:rPr>
          <w:spacing w:val="-5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akto</w:t>
      </w:r>
      <w:r>
        <w:rPr>
          <w:spacing w:val="-3"/>
          <w:sz w:val="24"/>
        </w:rPr>
        <w:t xml:space="preserve"> </w:t>
      </w:r>
      <w:r>
        <w:rPr>
          <w:sz w:val="24"/>
        </w:rPr>
        <w:t>projektą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suinteresuotomis institucijomis, kai</w:t>
      </w:r>
      <w:r>
        <w:rPr>
          <w:spacing w:val="-4"/>
          <w:sz w:val="24"/>
        </w:rPr>
        <w:t xml:space="preserve"> </w:t>
      </w:r>
      <w:r>
        <w:rPr>
          <w:sz w:val="24"/>
        </w:rPr>
        <w:t>jis</w:t>
      </w:r>
      <w:r>
        <w:rPr>
          <w:spacing w:val="-3"/>
          <w:sz w:val="24"/>
        </w:rPr>
        <w:t xml:space="preserve"> </w:t>
      </w:r>
      <w:r>
        <w:rPr>
          <w:sz w:val="24"/>
        </w:rPr>
        <w:t>buvo</w:t>
      </w:r>
      <w:r>
        <w:rPr>
          <w:spacing w:val="-3"/>
          <w:sz w:val="24"/>
        </w:rPr>
        <w:t xml:space="preserve"> </w:t>
      </w:r>
      <w:r>
        <w:rPr>
          <w:sz w:val="24"/>
        </w:rPr>
        <w:t>papildytas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pakeistas.</w:t>
      </w:r>
    </w:p>
    <w:p w:rsidR="00A91896" w:rsidRDefault="00C325A7">
      <w:pPr>
        <w:pStyle w:val="Pagrindinistekstas"/>
        <w:ind w:left="124" w:right="433"/>
        <w:jc w:val="both"/>
        <w:rPr>
          <w:i w:val="0"/>
        </w:rPr>
      </w:pPr>
      <w:r>
        <w:rPr>
          <w:i w:val="0"/>
        </w:rPr>
        <w:t xml:space="preserve">Antikorupciniu požiūriu rizikingos teisės akto projekto nuostatos </w:t>
      </w:r>
      <w:r>
        <w:t>(nurodomas antikorupcinio vertinimo kriterijus (toliau – kriterijus), kurį taikant</w:t>
      </w:r>
      <w:r>
        <w:t xml:space="preserve"> nustatytai korupcijos rizikai šalinti ar valdyti teisės akto projekte nenumatyta priemonių. Pildoma, kai, vertintojo nuomone, teisės akto projekto tiesioginio rengėjo siūlom</w:t>
      </w:r>
      <w:r>
        <w:t>ų pataisų nepakanka korupcijos atsiradimo rizikai mažinti arba kai vertintojas nesutinka su teisės akto projekto tiesioginio rengėjo argumentais, kodėl neatsižvelgta į vertintojo pateiktas pastabas</w:t>
      </w:r>
      <w:r>
        <w:rPr>
          <w:i w:val="0"/>
        </w:rPr>
        <w:t>):</w:t>
      </w:r>
    </w:p>
    <w:p w:rsidR="00A91896" w:rsidRDefault="00C325A7">
      <w:pPr>
        <w:spacing w:before="7"/>
        <w:rPr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158750</wp:posOffset>
                </wp:positionV>
                <wp:extent cx="9067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14280"/>
                            <a:gd name="T2" fmla="+- 0 15984 1704"/>
                            <a:gd name="T3" fmla="*/ T2 w 14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80">
                              <a:moveTo>
                                <a:pt x="0" y="0"/>
                              </a:moveTo>
                              <a:lnTo>
                                <a:pt x="1428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76ED5" id="docshape1" o:spid="_x0000_s1026" style="position:absolute;margin-left:85.2pt;margin-top:12.5pt;width:71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" path="m,l14280,e" filled="f" strokeweight=".21086mm">
                <v:path arrowok="t" o:connecttype="custom" o:connectlocs="0,0;9067800,0" o:connectangles="0,0"/>
                <w10:wrap type="topAndBottom" anchorx="page"/>
              </v:shape>
            </w:pict>
          </mc:Fallback>
        </mc:AlternateContent>
      </w:r>
    </w:p>
    <w:p w:rsidR="00A91896" w:rsidRDefault="00A91896">
      <w:pPr>
        <w:spacing w:before="9" w:after="1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92"/>
        <w:gridCol w:w="3958"/>
        <w:gridCol w:w="3824"/>
        <w:gridCol w:w="2702"/>
      </w:tblGrid>
      <w:tr w:rsidR="00A91896">
        <w:trPr>
          <w:trHeight w:val="4416"/>
        </w:trPr>
        <w:tc>
          <w:tcPr>
            <w:tcW w:w="708" w:type="dxa"/>
          </w:tcPr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38"/>
              </w:rPr>
            </w:pPr>
          </w:p>
          <w:p w:rsidR="00A91896" w:rsidRDefault="00C325A7">
            <w:pPr>
              <w:pStyle w:val="TableParagraph"/>
              <w:ind w:left="200" w:right="168" w:hanging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392" w:type="dxa"/>
          </w:tcPr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4"/>
              </w:rPr>
            </w:pPr>
          </w:p>
          <w:p w:rsidR="00A91896" w:rsidRDefault="00C325A7">
            <w:pPr>
              <w:pStyle w:val="TableParagraph"/>
              <w:ind w:left="1226" w:right="1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Kriterijus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Kriterijaus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vertinimas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(nurodant,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kad</w:t>
            </w:r>
          </w:p>
          <w:p w:rsidR="00A91896" w:rsidRDefault="00C325A7">
            <w:pPr>
              <w:pStyle w:val="TableParagraph"/>
              <w:ind w:left="152" w:right="137" w:hanging="2"/>
              <w:jc w:val="center"/>
              <w:rPr>
                <w:sz w:val="24"/>
              </w:rPr>
            </w:pPr>
            <w:r>
              <w:rPr>
                <w:sz w:val="24"/>
              </w:rPr>
              <w:t>„Kriterijų atitinka“ / „Kriterijaus neatitinka“ / „Kriterijus nėra teisės akto projekto reglamentavimo dalykas“) ir pagrindimas, jeigu teisės aktas neatitinka kriterijaus (nurodomos konkrečios teisės akto projekto ar kitų teisės a</w:t>
            </w:r>
            <w:r>
              <w:rPr>
                <w:sz w:val="24"/>
              </w:rPr>
              <w:t>ktų nuostatos, pagrindžiančios neigiamą atsakymą, pateikiamos antikorupcinį teisės akto projekto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vertinimą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atliekančio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asmens pastabos ir pasiūlymai dėl korupcijos rizikos mažinimo)</w:t>
            </w:r>
          </w:p>
          <w:p w:rsidR="00A91896" w:rsidRDefault="00C325A7">
            <w:pPr>
              <w:pStyle w:val="TableParagraph"/>
              <w:spacing w:line="270" w:lineRule="atLeast"/>
              <w:ind w:left="304" w:right="312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 teisės akto projekto antikorupcinį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vertinimą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atliekantis </w:t>
            </w:r>
            <w:r>
              <w:rPr>
                <w:i/>
                <w:spacing w:val="-2"/>
                <w:sz w:val="24"/>
              </w:rPr>
              <w:t>asmuo)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C325A7">
            <w:pPr>
              <w:pStyle w:val="TableParagraph"/>
              <w:spacing w:before="184"/>
              <w:ind w:left="288" w:right="272" w:hanging="3"/>
              <w:jc w:val="center"/>
              <w:rPr>
                <w:sz w:val="24"/>
              </w:rPr>
            </w:pPr>
            <w:r>
              <w:rPr>
                <w:sz w:val="24"/>
              </w:rPr>
              <w:t>Teisės akto projekto pakeitimas, mažinantis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korupcijos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riziką,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arba teisės akto projekto tiesioginio rengėjo argumentai, kodėl neatsižvelgta į pastabą</w:t>
            </w:r>
          </w:p>
          <w:p w:rsidR="00A91896" w:rsidRDefault="00C325A7">
            <w:pPr>
              <w:pStyle w:val="TableParagraph"/>
              <w:ind w:left="130" w:right="138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tiesioginis </w:t>
            </w:r>
            <w:r>
              <w:rPr>
                <w:i/>
                <w:spacing w:val="-2"/>
                <w:sz w:val="24"/>
              </w:rPr>
              <w:t>rengėjas)</w:t>
            </w:r>
          </w:p>
        </w:tc>
        <w:tc>
          <w:tcPr>
            <w:tcW w:w="2702" w:type="dxa"/>
          </w:tcPr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A91896">
            <w:pPr>
              <w:pStyle w:val="TableParagraph"/>
              <w:rPr>
                <w:sz w:val="26"/>
              </w:rPr>
            </w:pPr>
          </w:p>
          <w:p w:rsidR="00A91896" w:rsidRDefault="00C325A7">
            <w:pPr>
              <w:pStyle w:val="TableParagraph"/>
              <w:spacing w:before="207"/>
              <w:ind w:left="206" w:right="191" w:firstLine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Išvada dėl teisės akto projekto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pakeitimų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arba argumentų, kodėl neatsižvelgta į pastabą (</w:t>
            </w:r>
            <w:r>
              <w:rPr>
                <w:i/>
                <w:sz w:val="24"/>
              </w:rPr>
              <w:t xml:space="preserve">pildo teisės akto projekto antikorupcinį vertinimą atliekantis </w:t>
            </w:r>
            <w:r>
              <w:rPr>
                <w:i/>
                <w:spacing w:val="-2"/>
                <w:sz w:val="24"/>
              </w:rPr>
              <w:t>asmuo)</w:t>
            </w:r>
          </w:p>
        </w:tc>
      </w:tr>
      <w:tr w:rsidR="00A91896">
        <w:trPr>
          <w:trHeight w:val="551"/>
        </w:trPr>
        <w:tc>
          <w:tcPr>
            <w:tcW w:w="708" w:type="dxa"/>
          </w:tcPr>
          <w:p w:rsidR="00A91896" w:rsidRDefault="00C325A7">
            <w:pPr>
              <w:pStyle w:val="TableParagraph"/>
              <w:ind w:left="251" w:right="2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nesudaro išskirtinių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nevienodų</w:t>
            </w:r>
            <w:r>
              <w:rPr>
                <w:spacing w:val="-2"/>
                <w:sz w:val="24"/>
              </w:rPr>
              <w:t xml:space="preserve"> sąlygų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A91896" w:rsidRDefault="00C325A7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</w:tbl>
    <w:p w:rsidR="00A91896" w:rsidRDefault="00A91896">
      <w:pPr>
        <w:spacing w:line="256" w:lineRule="exact"/>
        <w:rPr>
          <w:sz w:val="24"/>
        </w:rPr>
        <w:sectPr w:rsidR="00A91896">
          <w:type w:val="continuous"/>
          <w:pgSz w:w="16840" w:h="11910" w:orient="landscape"/>
          <w:pgMar w:top="1340" w:right="440" w:bottom="280" w:left="1580" w:header="567" w:footer="567" w:gutter="0"/>
          <w:cols w:space="1296"/>
        </w:sectPr>
      </w:pPr>
    </w:p>
    <w:p w:rsidR="00A91896" w:rsidRDefault="00A91896">
      <w:pPr>
        <w:spacing w:before="4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92"/>
        <w:gridCol w:w="3958"/>
        <w:gridCol w:w="3824"/>
        <w:gridCol w:w="2702"/>
      </w:tblGrid>
      <w:tr w:rsidR="00A91896">
        <w:trPr>
          <w:trHeight w:val="551"/>
        </w:trPr>
        <w:tc>
          <w:tcPr>
            <w:tcW w:w="708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subjektams,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kuriais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susijęs teisės akto įgyvendinimas</w:t>
            </w:r>
          </w:p>
        </w:tc>
        <w:tc>
          <w:tcPr>
            <w:tcW w:w="3958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</w:tr>
      <w:tr w:rsidR="00A91896">
        <w:trPr>
          <w:trHeight w:val="1103"/>
        </w:trPr>
        <w:tc>
          <w:tcPr>
            <w:tcW w:w="708" w:type="dxa"/>
          </w:tcPr>
          <w:p w:rsidR="00A91896" w:rsidRDefault="00C325A7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nėra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spragų ar nuostatų, leisiančių dviprasmiškai aiškinti ir taikyti teisės aktą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A91896" w:rsidRDefault="00C325A7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A91896">
        <w:trPr>
          <w:trHeight w:val="2484"/>
        </w:trPr>
        <w:tc>
          <w:tcPr>
            <w:tcW w:w="708" w:type="dxa"/>
          </w:tcPr>
          <w:p w:rsidR="00A91896" w:rsidRDefault="00C325A7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nustatyta, kad sprendimą dėl teisių suteikimo, apribojimų nustatymo,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sankcijų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taikymo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ir pan. priimantis subjektas atskirtas nuo šių sprendimų teisėtumą ir įgyvendinimą kontroliuojančio (prižiūrinčio) </w:t>
            </w:r>
            <w:r>
              <w:rPr>
                <w:spacing w:val="-2"/>
                <w:sz w:val="24"/>
              </w:rPr>
              <w:t>subjekto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A91896" w:rsidRDefault="00C325A7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A91896">
        <w:trPr>
          <w:trHeight w:val="1103"/>
        </w:trPr>
        <w:tc>
          <w:tcPr>
            <w:tcW w:w="708" w:type="dxa"/>
          </w:tcPr>
          <w:p w:rsidR="00A91896" w:rsidRDefault="00C325A7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nustatyti subjekto įgaliojimai (teisės) atitinka subjekto atliekamas funkcijas (pareigas)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A91896" w:rsidRDefault="00C325A7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A91896">
        <w:trPr>
          <w:trHeight w:val="828"/>
        </w:trPr>
        <w:tc>
          <w:tcPr>
            <w:tcW w:w="708" w:type="dxa"/>
          </w:tcPr>
          <w:p w:rsidR="00A91896" w:rsidRDefault="00C325A7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320"/>
              <w:jc w:val="both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nustatytas baigtinis sprendimų priėmimo kriterijų (atvejų) sąrašas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A91896" w:rsidRDefault="00C325A7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A91896">
        <w:trPr>
          <w:trHeight w:val="1103"/>
        </w:trPr>
        <w:tc>
          <w:tcPr>
            <w:tcW w:w="708" w:type="dxa"/>
          </w:tcPr>
          <w:p w:rsidR="00A91896" w:rsidRDefault="00C325A7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285"/>
              <w:jc w:val="both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nustatytas baigtinis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motyvuotų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atvejų,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kai priimant sprendimus taikomos išimtys, sąrašas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A91896" w:rsidRDefault="00C325A7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A91896">
        <w:trPr>
          <w:trHeight w:val="828"/>
        </w:trPr>
        <w:tc>
          <w:tcPr>
            <w:tcW w:w="708" w:type="dxa"/>
          </w:tcPr>
          <w:p w:rsidR="00A91896" w:rsidRDefault="00C325A7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nustatyta sprendimų priėmimo, įforminimo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viešinimo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tvarka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A91896" w:rsidRDefault="00C325A7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A91896">
        <w:trPr>
          <w:trHeight w:val="1103"/>
        </w:trPr>
        <w:tc>
          <w:tcPr>
            <w:tcW w:w="708" w:type="dxa"/>
          </w:tcPr>
          <w:p w:rsidR="00A91896" w:rsidRDefault="00C325A7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nustatyti sprendimų dėl mažareikšmiškumo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kriterijai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 priėmimo tvarka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 reglamentavimo dalykas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A91896" w:rsidRDefault="00C325A7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A91896">
        <w:trPr>
          <w:trHeight w:val="275"/>
        </w:trPr>
        <w:tc>
          <w:tcPr>
            <w:tcW w:w="708" w:type="dxa"/>
          </w:tcPr>
          <w:p w:rsidR="00A91896" w:rsidRDefault="00C325A7">
            <w:pPr>
              <w:pStyle w:val="TableParagraph"/>
              <w:spacing w:line="256" w:lineRule="exact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92" w:type="dxa"/>
          </w:tcPr>
          <w:p w:rsidR="00A91896" w:rsidRDefault="00C325A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Jeigu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numatomą</w:t>
            </w:r>
          </w:p>
        </w:tc>
        <w:tc>
          <w:tcPr>
            <w:tcW w:w="3958" w:type="dxa"/>
          </w:tcPr>
          <w:p w:rsidR="00A91896" w:rsidRDefault="00C325A7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2"/>
                <w:sz w:val="24"/>
              </w:rPr>
              <w:t xml:space="preserve"> projekto</w:t>
            </w:r>
          </w:p>
        </w:tc>
        <w:tc>
          <w:tcPr>
            <w:tcW w:w="3824" w:type="dxa"/>
          </w:tcPr>
          <w:p w:rsidR="00A91896" w:rsidRDefault="00A91896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</w:tcPr>
          <w:p w:rsidR="00A91896" w:rsidRDefault="00C325A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pacing w:val="-2"/>
                <w:sz w:val="24"/>
              </w:rPr>
              <w:t>tenkina</w:t>
            </w:r>
          </w:p>
        </w:tc>
      </w:tr>
    </w:tbl>
    <w:p w:rsidR="00A91896" w:rsidRDefault="00A91896">
      <w:pPr>
        <w:spacing w:line="256" w:lineRule="exact"/>
        <w:rPr>
          <w:sz w:val="24"/>
        </w:rPr>
        <w:sectPr w:rsidR="00A91896">
          <w:pgSz w:w="16840" w:h="11910" w:orient="landscape"/>
          <w:pgMar w:top="1100" w:right="440" w:bottom="280" w:left="1580" w:header="567" w:footer="567" w:gutter="0"/>
          <w:cols w:space="1296"/>
        </w:sectPr>
      </w:pPr>
    </w:p>
    <w:p w:rsidR="00A91896" w:rsidRDefault="00C325A7">
      <w:pPr>
        <w:ind w:left="2705"/>
        <w:rPr>
          <w:sz w:val="20"/>
        </w:rPr>
      </w:pPr>
      <w:r>
        <w:rPr>
          <w:noProof/>
          <w:sz w:val="20"/>
          <w:lang w:eastAsia="lt-LT"/>
        </w:rPr>
        <w:lastRenderedPageBreak/>
        <w:drawing>
          <wp:inline distT="0" distB="0" distL="0" distR="0">
            <wp:extent cx="2120156" cy="3314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96" w:rsidRDefault="00A91896">
      <w:pPr>
        <w:spacing w:before="5"/>
        <w:rPr>
          <w:sz w:val="25"/>
        </w:rPr>
      </w:pPr>
    </w:p>
    <w:p w:rsidR="00A91896" w:rsidRDefault="00C325A7">
      <w:pPr>
        <w:spacing w:before="91"/>
        <w:ind w:left="1610" w:right="161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converted.</w:t>
      </w:r>
    </w:p>
    <w:p w:rsidR="00A91896" w:rsidRDefault="00C325A7">
      <w:pPr>
        <w:spacing w:before="161"/>
        <w:ind w:left="1610" w:right="161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document.</w:t>
      </w:r>
    </w:p>
    <w:p w:rsidR="00A91896" w:rsidRDefault="00A91896">
      <w:pPr>
        <w:pStyle w:val="Pagrindinistekstas"/>
        <w:spacing w:before="10"/>
        <w:rPr>
          <w:rFonts w:ascii="Arial"/>
          <w:i w:val="0"/>
          <w:sz w:val="43"/>
        </w:rPr>
      </w:pPr>
    </w:p>
    <w:p w:rsidR="00A91896" w:rsidRDefault="00C325A7">
      <w:pPr>
        <w:ind w:left="1610" w:right="1610"/>
        <w:jc w:val="center"/>
        <w:rPr>
          <w:rFonts w:ascii="Arial"/>
          <w:b/>
          <w:sz w:val="30"/>
        </w:rPr>
      </w:pPr>
      <w:hyperlink r:id="rId6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 w:rsidR="00A91896">
      <w:pgSz w:w="12240" w:h="15840"/>
      <w:pgMar w:top="1480" w:right="1720" w:bottom="280" w:left="1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631"/>
    <w:multiLevelType w:val="hybridMultilevel"/>
    <w:tmpl w:val="08F0384E"/>
    <w:lvl w:ilvl="0" w:tplc="848A1B5A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8B28F6DE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4A84FDCE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8DC2BDFA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A516A5E4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A5206B26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F9220F7E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92CE7132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17BCE6AA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1" w15:restartNumberingAfterBreak="0">
    <w:nsid w:val="209A738F"/>
    <w:multiLevelType w:val="hybridMultilevel"/>
    <w:tmpl w:val="02C0CECC"/>
    <w:lvl w:ilvl="0" w:tplc="0576C452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1062DC58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C70CAA2C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CF5EE332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726AB0F6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4148E1B0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CF940F2E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9C62017E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876CCAC0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2" w15:restartNumberingAfterBreak="0">
    <w:nsid w:val="30E73FE8"/>
    <w:multiLevelType w:val="hybridMultilevel"/>
    <w:tmpl w:val="E1E80B72"/>
    <w:lvl w:ilvl="0" w:tplc="819243E6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62FCDAF6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BF883C3A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0DFE4BE0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1F22AD38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EFDECA86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0B1C83A8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24DA40EC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2D881D6C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3" w15:restartNumberingAfterBreak="0">
    <w:nsid w:val="4CC4432D"/>
    <w:multiLevelType w:val="hybridMultilevel"/>
    <w:tmpl w:val="B58E9F58"/>
    <w:lvl w:ilvl="0" w:tplc="883838CA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EFBECB48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3F26DF4E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782C9C06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38B252BA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210C3A1C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CA060638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D94AA1BE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6EB698D6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4" w15:restartNumberingAfterBreak="0">
    <w:nsid w:val="53052BAC"/>
    <w:multiLevelType w:val="hybridMultilevel"/>
    <w:tmpl w:val="507E42AC"/>
    <w:lvl w:ilvl="0" w:tplc="335003A4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1DEC5FE6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6C4292EC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D76E4156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F66051D6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F314CA10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779CF664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00702378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0AB28898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5" w15:restartNumberingAfterBreak="0">
    <w:nsid w:val="536A5168"/>
    <w:multiLevelType w:val="hybridMultilevel"/>
    <w:tmpl w:val="7E948654"/>
    <w:lvl w:ilvl="0" w:tplc="DB1EA6C2">
      <w:numFmt w:val="bullet"/>
      <w:lvlText w:val="□"/>
      <w:lvlJc w:val="left"/>
      <w:pPr>
        <w:ind w:left="12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0B588606">
      <w:numFmt w:val="bullet"/>
      <w:lvlText w:val="•"/>
      <w:lvlJc w:val="left"/>
      <w:pPr>
        <w:ind w:left="1589" w:hanging="204"/>
      </w:pPr>
      <w:rPr>
        <w:rFonts w:hint="default"/>
        <w:lang w:val="lt-LT" w:eastAsia="en-US" w:bidi="ar-SA"/>
      </w:rPr>
    </w:lvl>
    <w:lvl w:ilvl="2" w:tplc="35569A1E">
      <w:numFmt w:val="bullet"/>
      <w:lvlText w:val="•"/>
      <w:lvlJc w:val="left"/>
      <w:pPr>
        <w:ind w:left="3059" w:hanging="204"/>
      </w:pPr>
      <w:rPr>
        <w:rFonts w:hint="default"/>
        <w:lang w:val="lt-LT" w:eastAsia="en-US" w:bidi="ar-SA"/>
      </w:rPr>
    </w:lvl>
    <w:lvl w:ilvl="3" w:tplc="E94EFA66">
      <w:numFmt w:val="bullet"/>
      <w:lvlText w:val="•"/>
      <w:lvlJc w:val="left"/>
      <w:pPr>
        <w:ind w:left="4529" w:hanging="204"/>
      </w:pPr>
      <w:rPr>
        <w:rFonts w:hint="default"/>
        <w:lang w:val="lt-LT" w:eastAsia="en-US" w:bidi="ar-SA"/>
      </w:rPr>
    </w:lvl>
    <w:lvl w:ilvl="4" w:tplc="B84A8D08">
      <w:numFmt w:val="bullet"/>
      <w:lvlText w:val="•"/>
      <w:lvlJc w:val="left"/>
      <w:pPr>
        <w:ind w:left="5999" w:hanging="204"/>
      </w:pPr>
      <w:rPr>
        <w:rFonts w:hint="default"/>
        <w:lang w:val="lt-LT" w:eastAsia="en-US" w:bidi="ar-SA"/>
      </w:rPr>
    </w:lvl>
    <w:lvl w:ilvl="5" w:tplc="E7B0E024">
      <w:numFmt w:val="bullet"/>
      <w:lvlText w:val="•"/>
      <w:lvlJc w:val="left"/>
      <w:pPr>
        <w:ind w:left="7468" w:hanging="204"/>
      </w:pPr>
      <w:rPr>
        <w:rFonts w:hint="default"/>
        <w:lang w:val="lt-LT" w:eastAsia="en-US" w:bidi="ar-SA"/>
      </w:rPr>
    </w:lvl>
    <w:lvl w:ilvl="6" w:tplc="43C4478A">
      <w:numFmt w:val="bullet"/>
      <w:lvlText w:val="•"/>
      <w:lvlJc w:val="left"/>
      <w:pPr>
        <w:ind w:left="8938" w:hanging="204"/>
      </w:pPr>
      <w:rPr>
        <w:rFonts w:hint="default"/>
        <w:lang w:val="lt-LT" w:eastAsia="en-US" w:bidi="ar-SA"/>
      </w:rPr>
    </w:lvl>
    <w:lvl w:ilvl="7" w:tplc="DC5C459E">
      <w:numFmt w:val="bullet"/>
      <w:lvlText w:val="•"/>
      <w:lvlJc w:val="left"/>
      <w:pPr>
        <w:ind w:left="10408" w:hanging="204"/>
      </w:pPr>
      <w:rPr>
        <w:rFonts w:hint="default"/>
        <w:lang w:val="lt-LT" w:eastAsia="en-US" w:bidi="ar-SA"/>
      </w:rPr>
    </w:lvl>
    <w:lvl w:ilvl="8" w:tplc="2376DF60">
      <w:numFmt w:val="bullet"/>
      <w:lvlText w:val="•"/>
      <w:lvlJc w:val="left"/>
      <w:pPr>
        <w:ind w:left="11878" w:hanging="204"/>
      </w:pPr>
      <w:rPr>
        <w:rFonts w:hint="default"/>
        <w:lang w:val="lt-LT" w:eastAsia="en-US" w:bidi="ar-SA"/>
      </w:rPr>
    </w:lvl>
  </w:abstractNum>
  <w:abstractNum w:abstractNumId="6" w15:restartNumberingAfterBreak="0">
    <w:nsid w:val="5FFD2C69"/>
    <w:multiLevelType w:val="hybridMultilevel"/>
    <w:tmpl w:val="E2068D46"/>
    <w:lvl w:ilvl="0" w:tplc="56AC9236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B9161998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64349220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38464A9E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0448A724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AF421D96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4F700354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0B90DCAC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5EC40564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7" w15:restartNumberingAfterBreak="0">
    <w:nsid w:val="695D5DAE"/>
    <w:multiLevelType w:val="hybridMultilevel"/>
    <w:tmpl w:val="3AB6E3FA"/>
    <w:lvl w:ilvl="0" w:tplc="69241120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497467F8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124C5322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A65EF7E8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0F78D310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8F12315E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30CEAA3E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A44210F4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D048F97C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8" w15:restartNumberingAfterBreak="0">
    <w:nsid w:val="7ED80839"/>
    <w:multiLevelType w:val="hybridMultilevel"/>
    <w:tmpl w:val="2F8A48CA"/>
    <w:lvl w:ilvl="0" w:tplc="F432DF0E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A4806EA8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C248FF24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90D8350A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170C8E1C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4560CF9A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E5385B5C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3AEE3046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69E4E734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96"/>
    <w:rsid w:val="00A91896"/>
    <w:rsid w:val="00C3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58B6A-70DB-4676-A197-4064668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4" w:hanging="204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eepdfconvert.com/membersh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Drakšas</dc:creator>
  <cp:lastModifiedBy>Diana Brazdžiunienė</cp:lastModifiedBy>
  <cp:revision>3</cp:revision>
  <dcterms:created xsi:type="dcterms:W3CDTF">2022-07-26T12:31:00Z</dcterms:created>
  <dcterms:modified xsi:type="dcterms:W3CDTF">2022-07-26T12:31:00Z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2022-07-26T00:00:00Z</vt:filetime>
  </property>
</Properties>
</file>