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E3241" w14:textId="77777777" w:rsidR="008F4236" w:rsidRDefault="008F4236" w:rsidP="00B118D7">
      <w:pPr>
        <w:jc w:val="center"/>
        <w:rPr>
          <w:b/>
        </w:rPr>
      </w:pPr>
      <w:bookmarkStart w:id="0" w:name="_GoBack"/>
      <w:bookmarkEnd w:id="0"/>
    </w:p>
    <w:p w14:paraId="151ACDBE" w14:textId="77777777" w:rsidR="009C0B81" w:rsidRDefault="00B118D7" w:rsidP="00B118D7">
      <w:pPr>
        <w:jc w:val="center"/>
        <w:rPr>
          <w:b/>
        </w:rPr>
      </w:pPr>
      <w:r>
        <w:rPr>
          <w:b/>
        </w:rPr>
        <w:t>AIŠKINAMASIS RAŠTAS</w:t>
      </w:r>
    </w:p>
    <w:p w14:paraId="4053BB9A" w14:textId="77777777" w:rsidR="00B118D7" w:rsidRPr="00932073" w:rsidRDefault="00B118D7" w:rsidP="00932073"/>
    <w:p w14:paraId="6750EB05" w14:textId="110A5929" w:rsidR="004747AE" w:rsidRDefault="004747AE" w:rsidP="004747AE">
      <w:pPr>
        <w:jc w:val="center"/>
        <w:rPr>
          <w:b/>
        </w:rPr>
      </w:pPr>
      <w:r>
        <w:rPr>
          <w:b/>
        </w:rPr>
        <w:t xml:space="preserve">DĖL FIKSUOTŲ PAJAMŲ MOKESČIO IR LENGVATŲ DYDŽIŲ, TAIKOMŲ </w:t>
      </w:r>
      <w:r w:rsidR="006B072D">
        <w:rPr>
          <w:b/>
        </w:rPr>
        <w:t>ĮSIGYJANT VERSLO LIUDIJIMUS 20</w:t>
      </w:r>
      <w:r w:rsidR="00660896">
        <w:rPr>
          <w:b/>
        </w:rPr>
        <w:t>2</w:t>
      </w:r>
      <w:r w:rsidR="00272259">
        <w:rPr>
          <w:b/>
        </w:rPr>
        <w:t>3</w:t>
      </w:r>
      <w:r>
        <w:rPr>
          <w:b/>
        </w:rPr>
        <w:t xml:space="preserve"> METAIS VYKDOMAI VEIKLAI, </w:t>
      </w:r>
      <w:r w:rsidR="00DD64C5">
        <w:rPr>
          <w:b/>
        </w:rPr>
        <w:t>NUSTATYMO</w:t>
      </w:r>
    </w:p>
    <w:p w14:paraId="2655041F" w14:textId="77777777" w:rsidR="00DA7368" w:rsidRDefault="00DA7368" w:rsidP="004747AE">
      <w:pPr>
        <w:jc w:val="center"/>
      </w:pPr>
    </w:p>
    <w:p w14:paraId="268BE2EB" w14:textId="77777777" w:rsidR="0015599E" w:rsidRDefault="00AE1BF1" w:rsidP="00E42409">
      <w:pPr>
        <w:jc w:val="both"/>
      </w:pPr>
      <w:r w:rsidRPr="00E84D1B">
        <w:rPr>
          <w:b/>
        </w:rPr>
        <w:t>1. Problemos esmė:</w:t>
      </w:r>
      <w:r w:rsidR="0034126C" w:rsidRPr="004A151A">
        <w:t xml:space="preserve"> </w:t>
      </w:r>
    </w:p>
    <w:p w14:paraId="5F8D1A0D" w14:textId="2C7E9D27" w:rsidR="00E42409" w:rsidRDefault="0015599E" w:rsidP="00E42409">
      <w:pPr>
        <w:jc w:val="both"/>
      </w:pPr>
      <w:r>
        <w:tab/>
      </w:r>
      <w:r w:rsidR="0040684F" w:rsidRPr="00E51E86">
        <w:t xml:space="preserve">Vadovaujantis </w:t>
      </w:r>
      <w:r w:rsidR="0040684F">
        <w:t xml:space="preserve">Lietuvos Respublikos vietos savivaldos įstatymo 16 straipsnio 2 dalies 37 punktu, vietinių rinkliavų ir mokesčių tarifų nustatymas įstatymu nustatyta tvarka yra išimtinė savivaldybės tarybos kompetencija. </w:t>
      </w:r>
      <w:r w:rsidR="00E42409" w:rsidRPr="004A151A">
        <w:t>Vadovaujantis Lietuvos Respublikos</w:t>
      </w:r>
      <w:r w:rsidR="00E42409">
        <w:t xml:space="preserve"> </w:t>
      </w:r>
      <w:r w:rsidR="00E42409" w:rsidRPr="004A151A">
        <w:t>gy</w:t>
      </w:r>
      <w:r w:rsidR="00E42409">
        <w:t>ventojų pajamų mokesčio įstatymo 6 straips</w:t>
      </w:r>
      <w:r w:rsidR="006B072D">
        <w:t>nio 3</w:t>
      </w:r>
      <w:r w:rsidR="00E42409">
        <w:t xml:space="preserve"> dalimi</w:t>
      </w:r>
      <w:r w:rsidR="00911076">
        <w:t>,</w:t>
      </w:r>
      <w:r w:rsidR="00E42409">
        <w:t xml:space="preserve"> </w:t>
      </w:r>
      <w:r w:rsidR="00911076">
        <w:t>L</w:t>
      </w:r>
      <w:r w:rsidR="00E42409">
        <w:t>ietuvos Respublikos Vyriausybės 2002 m. lapkričio 19 d. nutarimu Nr.1797 „Dėl verslo liudijimų išdavimo gyventojams taisyklių“,</w:t>
      </w:r>
      <w:r w:rsidR="00A83A20">
        <w:t xml:space="preserve"> savivaldybės taryba </w:t>
      </w:r>
      <w:r w:rsidR="00E42409" w:rsidRPr="004A151A">
        <w:t>turi patvirtinti</w:t>
      </w:r>
      <w:r w:rsidR="00E42409">
        <w:t xml:space="preserve"> ir pateikti </w:t>
      </w:r>
      <w:r w:rsidR="0022125A">
        <w:t xml:space="preserve">Panevėžio </w:t>
      </w:r>
      <w:r w:rsidR="00E42409">
        <w:t>apskrities valstybinei mokesčių inspekcijai</w:t>
      </w:r>
      <w:r w:rsidR="00E42409" w:rsidRPr="004A151A">
        <w:t xml:space="preserve"> fiksuot</w:t>
      </w:r>
      <w:r w:rsidR="00C84402">
        <w:t>ų</w:t>
      </w:r>
      <w:r w:rsidR="00E42409" w:rsidRPr="004A151A">
        <w:t xml:space="preserve"> pajamų mokesčio, mokamo už pajamas, gautas iš veiklos, kuria verčiamasi turint verslo liudijimą</w:t>
      </w:r>
      <w:r w:rsidR="00EA455F">
        <w:t xml:space="preserve"> ir lengvatų</w:t>
      </w:r>
      <w:r w:rsidR="00E42409" w:rsidRPr="004A151A">
        <w:t xml:space="preserve">, </w:t>
      </w:r>
      <w:r w:rsidR="00E42409">
        <w:t>20</w:t>
      </w:r>
      <w:r w:rsidR="00660896">
        <w:t>2</w:t>
      </w:r>
      <w:r w:rsidR="00272259">
        <w:t>3</w:t>
      </w:r>
      <w:r w:rsidR="00E42409">
        <w:t xml:space="preserve"> metų </w:t>
      </w:r>
      <w:r w:rsidR="00E42409" w:rsidRPr="004A151A">
        <w:t>dydžius.</w:t>
      </w:r>
    </w:p>
    <w:p w14:paraId="432D45E8" w14:textId="77777777" w:rsidR="009537F1" w:rsidRPr="004A151A" w:rsidRDefault="009537F1" w:rsidP="00E42409">
      <w:pPr>
        <w:jc w:val="both"/>
      </w:pPr>
    </w:p>
    <w:p w14:paraId="3ADF9F50" w14:textId="77777777" w:rsidR="0015599E" w:rsidRDefault="00CB1C08" w:rsidP="00CB1C08">
      <w:pPr>
        <w:jc w:val="both"/>
        <w:rPr>
          <w:b/>
        </w:rPr>
      </w:pPr>
      <w:r>
        <w:rPr>
          <w:b/>
        </w:rPr>
        <w:t>2. K</w:t>
      </w:r>
      <w:r w:rsidRPr="00CB0BF3">
        <w:rPr>
          <w:b/>
        </w:rPr>
        <w:t>aip šiuo metu sprendžiami sprendimo projekte aptarti klausimai</w:t>
      </w:r>
      <w:r>
        <w:rPr>
          <w:b/>
        </w:rPr>
        <w:t xml:space="preserve">: </w:t>
      </w:r>
    </w:p>
    <w:p w14:paraId="2FEF8539" w14:textId="26B203B2" w:rsidR="00CB1C08" w:rsidRDefault="0015599E" w:rsidP="00CB1C08">
      <w:pPr>
        <w:jc w:val="both"/>
      </w:pPr>
      <w:r>
        <w:rPr>
          <w:b/>
        </w:rPr>
        <w:tab/>
      </w:r>
      <w:r w:rsidR="0040684F">
        <w:t>2021</w:t>
      </w:r>
      <w:r w:rsidR="008274E5">
        <w:t xml:space="preserve"> metais</w:t>
      </w:r>
      <w:r w:rsidR="005D5196">
        <w:t xml:space="preserve"> galioja Panevėžio </w:t>
      </w:r>
      <w:r w:rsidR="00660896">
        <w:t>miesto savivaldybės tarybos 20</w:t>
      </w:r>
      <w:r w:rsidR="009A4621">
        <w:t>20</w:t>
      </w:r>
      <w:r w:rsidR="005B1C06">
        <w:t xml:space="preserve"> m. </w:t>
      </w:r>
      <w:r w:rsidR="009A4621">
        <w:t>gegužės</w:t>
      </w:r>
      <w:r w:rsidR="005B1C06">
        <w:t xml:space="preserve"> </w:t>
      </w:r>
      <w:r w:rsidR="006D1FAC">
        <w:t>2</w:t>
      </w:r>
      <w:r w:rsidR="009A4621">
        <w:t>5</w:t>
      </w:r>
      <w:r w:rsidR="005B1C06">
        <w:t xml:space="preserve"> d. sprendimas Nr.1-</w:t>
      </w:r>
      <w:r w:rsidR="009A4621">
        <w:t>144</w:t>
      </w:r>
      <w:r w:rsidR="00BD28A0">
        <w:t xml:space="preserve"> „</w:t>
      </w:r>
      <w:r w:rsidR="005B1C06">
        <w:t xml:space="preserve">Dėl fiksuotų pajamų mokesčio </w:t>
      </w:r>
      <w:r w:rsidR="000E1EBB">
        <w:t xml:space="preserve">ir lengvatų </w:t>
      </w:r>
      <w:r w:rsidR="005B1C06">
        <w:t>dydži</w:t>
      </w:r>
      <w:r w:rsidR="00182773">
        <w:t>ų</w:t>
      </w:r>
      <w:r w:rsidR="000E1EBB">
        <w:t>, taikomų įsigyjant verslo</w:t>
      </w:r>
      <w:r w:rsidR="00182773">
        <w:t xml:space="preserve"> </w:t>
      </w:r>
      <w:r w:rsidR="006D1FAC">
        <w:t>liudijimus 202</w:t>
      </w:r>
      <w:r w:rsidR="009A4621">
        <w:t>1</w:t>
      </w:r>
      <w:r w:rsidR="000E1EBB">
        <w:t xml:space="preserve"> metais vykdomai veiklai, sąrašų patvirtinimo“.</w:t>
      </w:r>
    </w:p>
    <w:p w14:paraId="12D6A849" w14:textId="77777777" w:rsidR="008F4236" w:rsidRDefault="008F4236" w:rsidP="00CB1C08">
      <w:pPr>
        <w:jc w:val="both"/>
      </w:pPr>
    </w:p>
    <w:p w14:paraId="5002C46C" w14:textId="77777777" w:rsidR="001C35F1" w:rsidRDefault="001C35F1" w:rsidP="001C35F1">
      <w:pPr>
        <w:jc w:val="both"/>
        <w:rPr>
          <w:b/>
        </w:rPr>
      </w:pPr>
      <w:r w:rsidRPr="00CB0BF3">
        <w:rPr>
          <w:b/>
        </w:rPr>
        <w:t>3. Sprendimo priėmimo būtinumo pagrindimas, kokių pozityvių rezultatų laukiama:</w:t>
      </w:r>
    </w:p>
    <w:p w14:paraId="15363D27" w14:textId="408898E6" w:rsidR="0007520D" w:rsidRPr="00E063D5" w:rsidRDefault="0090520C" w:rsidP="00B42334">
      <w:pPr>
        <w:jc w:val="both"/>
        <w:rPr>
          <w:lang w:val="en-US"/>
        </w:rPr>
      </w:pPr>
      <w:r>
        <w:tab/>
      </w:r>
      <w:r w:rsidR="007E1CC2" w:rsidRPr="00275DE2">
        <w:t xml:space="preserve">Rengiant sprendimo projektą buvo išanalizuoti Valstybinės mokesčių inspekcijos duomenys </w:t>
      </w:r>
      <w:r w:rsidR="007E1CC2">
        <w:t>apie</w:t>
      </w:r>
      <w:r w:rsidR="009A4621">
        <w:t xml:space="preserve"> 201</w:t>
      </w:r>
      <w:r w:rsidR="005061A0">
        <w:t>7</w:t>
      </w:r>
      <w:r w:rsidR="006D1FAC">
        <w:t>-20</w:t>
      </w:r>
      <w:r w:rsidR="009A4621">
        <w:t>2</w:t>
      </w:r>
      <w:r w:rsidR="00C67C25">
        <w:t>2</w:t>
      </w:r>
      <w:r w:rsidR="00426F65">
        <w:t xml:space="preserve"> metais</w:t>
      </w:r>
      <w:r w:rsidR="007E1CC2">
        <w:t xml:space="preserve"> išduotus verslo liudijimus</w:t>
      </w:r>
      <w:r w:rsidR="00426F65">
        <w:t xml:space="preserve"> (1 lentelė</w:t>
      </w:r>
      <w:r w:rsidR="00426F65" w:rsidRPr="00350BA0">
        <w:t>)</w:t>
      </w:r>
      <w:r w:rsidR="0007520D" w:rsidRPr="00350BA0">
        <w:t xml:space="preserve">. </w:t>
      </w:r>
      <w:r w:rsidR="00B17C4C">
        <w:t>Pastebima, kad</w:t>
      </w:r>
      <w:r w:rsidR="0007520D" w:rsidRPr="00350BA0">
        <w:t xml:space="preserve"> Panevėžio miesto gyventojų</w:t>
      </w:r>
      <w:r w:rsidR="00D808A0" w:rsidRPr="00350BA0">
        <w:t xml:space="preserve"> išpirktų </w:t>
      </w:r>
      <w:r w:rsidR="0007520D" w:rsidRPr="00350BA0">
        <w:t xml:space="preserve"> verslo liudijim</w:t>
      </w:r>
      <w:r w:rsidR="00D808A0" w:rsidRPr="00350BA0">
        <w:t>ų skaičius</w:t>
      </w:r>
      <w:r w:rsidR="0007520D" w:rsidRPr="00350BA0">
        <w:t xml:space="preserve"> </w:t>
      </w:r>
      <w:r w:rsidR="009A4621">
        <w:t xml:space="preserve">mažėja, atitinkamai </w:t>
      </w:r>
      <w:r w:rsidR="00DF67CC">
        <w:t>keičiasi</w:t>
      </w:r>
      <w:r w:rsidR="0007520D">
        <w:t xml:space="preserve"> gautos sumos į savivaldybės biudžetą.</w:t>
      </w:r>
      <w:r w:rsidR="0040684F">
        <w:t xml:space="preserve"> Ryškiausi pokyčia</w:t>
      </w:r>
      <w:r w:rsidR="0040684F" w:rsidRPr="0040684F">
        <w:t>i fiksuojami 2020 ir 2021 metais, kai vyravo pandeminiai apribojimai veikloms vykdyti.</w:t>
      </w:r>
      <w:r w:rsidR="00272259">
        <w:t xml:space="preserve"> </w:t>
      </w:r>
    </w:p>
    <w:p w14:paraId="5CD4B372" w14:textId="77777777" w:rsidR="0007520D" w:rsidRDefault="0007520D" w:rsidP="0007520D">
      <w:pPr>
        <w:ind w:firstLine="1296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1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1605"/>
        <w:gridCol w:w="2364"/>
        <w:gridCol w:w="1985"/>
      </w:tblGrid>
      <w:tr w:rsidR="0007520D" w14:paraId="33CBBA0A" w14:textId="77777777" w:rsidTr="00556196">
        <w:tc>
          <w:tcPr>
            <w:tcW w:w="846" w:type="dxa"/>
            <w:shd w:val="clear" w:color="auto" w:fill="auto"/>
          </w:tcPr>
          <w:p w14:paraId="66F4F1AE" w14:textId="77777777" w:rsidR="0007520D" w:rsidRPr="00B63069" w:rsidRDefault="0007520D" w:rsidP="00556196">
            <w:pPr>
              <w:rPr>
                <w:rFonts w:eastAsia="Calibri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DE8952C" w14:textId="77777777" w:rsidR="0007520D" w:rsidRPr="00B63069" w:rsidRDefault="0007520D" w:rsidP="00556196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Metai</w:t>
            </w:r>
          </w:p>
        </w:tc>
        <w:tc>
          <w:tcPr>
            <w:tcW w:w="1605" w:type="dxa"/>
            <w:shd w:val="clear" w:color="auto" w:fill="auto"/>
          </w:tcPr>
          <w:p w14:paraId="3EAFA794" w14:textId="77777777" w:rsidR="0007520D" w:rsidRPr="00350BA0" w:rsidRDefault="0007520D" w:rsidP="00556196">
            <w:pPr>
              <w:rPr>
                <w:rFonts w:eastAsia="Calibri"/>
                <w:szCs w:val="22"/>
              </w:rPr>
            </w:pPr>
            <w:r w:rsidRPr="00350BA0">
              <w:rPr>
                <w:rFonts w:eastAsia="Calibri"/>
                <w:szCs w:val="22"/>
              </w:rPr>
              <w:t xml:space="preserve">Gyventojų </w:t>
            </w:r>
            <w:r w:rsidR="00D808A0" w:rsidRPr="00350BA0">
              <w:rPr>
                <w:rFonts w:eastAsia="Calibri"/>
                <w:szCs w:val="22"/>
              </w:rPr>
              <w:t>išpirktų verslo liudijimų sk.</w:t>
            </w:r>
          </w:p>
        </w:tc>
        <w:tc>
          <w:tcPr>
            <w:tcW w:w="2364" w:type="dxa"/>
            <w:shd w:val="clear" w:color="auto" w:fill="auto"/>
          </w:tcPr>
          <w:p w14:paraId="73BCB680" w14:textId="77777777" w:rsidR="0007520D" w:rsidRPr="00350BA0" w:rsidRDefault="0007520D" w:rsidP="00D808A0">
            <w:pPr>
              <w:rPr>
                <w:rFonts w:eastAsia="Calibri"/>
                <w:szCs w:val="22"/>
              </w:rPr>
            </w:pPr>
            <w:r w:rsidRPr="00350BA0">
              <w:rPr>
                <w:rFonts w:eastAsia="Calibri"/>
                <w:szCs w:val="22"/>
              </w:rPr>
              <w:t xml:space="preserve">Gyventojų </w:t>
            </w:r>
            <w:r w:rsidR="00D808A0" w:rsidRPr="00350BA0">
              <w:rPr>
                <w:rFonts w:eastAsia="Calibri"/>
                <w:szCs w:val="22"/>
              </w:rPr>
              <w:t xml:space="preserve">išpirktų verslo liudijimų </w:t>
            </w:r>
            <w:r w:rsidRPr="00350BA0">
              <w:rPr>
                <w:rFonts w:eastAsia="Calibri"/>
                <w:szCs w:val="22"/>
              </w:rPr>
              <w:t>sk</w:t>
            </w:r>
            <w:r w:rsidR="00D808A0" w:rsidRPr="00350BA0">
              <w:rPr>
                <w:rFonts w:eastAsia="Calibri"/>
                <w:szCs w:val="22"/>
              </w:rPr>
              <w:t>.</w:t>
            </w:r>
            <w:r w:rsidRPr="00350BA0">
              <w:rPr>
                <w:rFonts w:eastAsia="Calibri"/>
                <w:szCs w:val="22"/>
              </w:rPr>
              <w:t xml:space="preserve"> su lengvatomis</w:t>
            </w:r>
          </w:p>
        </w:tc>
        <w:tc>
          <w:tcPr>
            <w:tcW w:w="1985" w:type="dxa"/>
            <w:shd w:val="clear" w:color="auto" w:fill="auto"/>
          </w:tcPr>
          <w:p w14:paraId="29B22F42" w14:textId="77777777" w:rsidR="0007520D" w:rsidRPr="00B63069" w:rsidRDefault="0007520D" w:rsidP="00556196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Mokėtina suma Eur</w:t>
            </w:r>
          </w:p>
        </w:tc>
      </w:tr>
      <w:tr w:rsidR="009A4621" w14:paraId="2DA3A781" w14:textId="77777777" w:rsidTr="00556196">
        <w:tc>
          <w:tcPr>
            <w:tcW w:w="846" w:type="dxa"/>
            <w:shd w:val="clear" w:color="auto" w:fill="auto"/>
          </w:tcPr>
          <w:p w14:paraId="3DFB74ED" w14:textId="2D20C7EF" w:rsidR="009A4621" w:rsidRPr="00B63069" w:rsidRDefault="005061A0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  <w:r w:rsidR="009A4621" w:rsidRPr="00B63069">
              <w:rPr>
                <w:rFonts w:eastAsia="Calibri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2C18D53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2017</w:t>
            </w:r>
          </w:p>
        </w:tc>
        <w:tc>
          <w:tcPr>
            <w:tcW w:w="1605" w:type="dxa"/>
            <w:shd w:val="clear" w:color="auto" w:fill="auto"/>
          </w:tcPr>
          <w:p w14:paraId="06579235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3925</w:t>
            </w:r>
          </w:p>
        </w:tc>
        <w:tc>
          <w:tcPr>
            <w:tcW w:w="2364" w:type="dxa"/>
            <w:shd w:val="clear" w:color="auto" w:fill="auto"/>
          </w:tcPr>
          <w:p w14:paraId="6890A1D7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2962</w:t>
            </w:r>
          </w:p>
        </w:tc>
        <w:tc>
          <w:tcPr>
            <w:tcW w:w="1985" w:type="dxa"/>
            <w:shd w:val="clear" w:color="auto" w:fill="auto"/>
          </w:tcPr>
          <w:p w14:paraId="0F9DA3DA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 w:rsidRPr="00B63069">
              <w:rPr>
                <w:rFonts w:eastAsia="Calibri"/>
                <w:szCs w:val="22"/>
              </w:rPr>
              <w:t>319 221</w:t>
            </w:r>
          </w:p>
        </w:tc>
      </w:tr>
      <w:tr w:rsidR="009A4621" w14:paraId="3BA1C4E6" w14:textId="77777777" w:rsidTr="00556196">
        <w:tc>
          <w:tcPr>
            <w:tcW w:w="846" w:type="dxa"/>
            <w:shd w:val="clear" w:color="auto" w:fill="auto"/>
          </w:tcPr>
          <w:p w14:paraId="7A5DDA60" w14:textId="4CD1ADCC" w:rsidR="009A4621" w:rsidRPr="00B63069" w:rsidRDefault="005061A0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</w:t>
            </w:r>
            <w:r w:rsidR="009A4621" w:rsidRPr="00B63069">
              <w:rPr>
                <w:rFonts w:eastAsia="Calibri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D8F7EE5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2018</w:t>
            </w:r>
          </w:p>
        </w:tc>
        <w:tc>
          <w:tcPr>
            <w:tcW w:w="1605" w:type="dxa"/>
            <w:shd w:val="clear" w:color="auto" w:fill="auto"/>
          </w:tcPr>
          <w:p w14:paraId="0504184C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3657</w:t>
            </w:r>
          </w:p>
        </w:tc>
        <w:tc>
          <w:tcPr>
            <w:tcW w:w="2364" w:type="dxa"/>
            <w:shd w:val="clear" w:color="auto" w:fill="auto"/>
          </w:tcPr>
          <w:p w14:paraId="0924CDE4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2638</w:t>
            </w:r>
          </w:p>
        </w:tc>
        <w:tc>
          <w:tcPr>
            <w:tcW w:w="1985" w:type="dxa"/>
            <w:shd w:val="clear" w:color="auto" w:fill="auto"/>
          </w:tcPr>
          <w:p w14:paraId="63FB52BB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288 014</w:t>
            </w:r>
          </w:p>
        </w:tc>
      </w:tr>
      <w:tr w:rsidR="009A4621" w14:paraId="3C500847" w14:textId="77777777" w:rsidTr="00556196">
        <w:tc>
          <w:tcPr>
            <w:tcW w:w="846" w:type="dxa"/>
            <w:shd w:val="clear" w:color="auto" w:fill="auto"/>
          </w:tcPr>
          <w:p w14:paraId="480B73C9" w14:textId="1A7E039C" w:rsidR="009A4621" w:rsidRPr="00B63069" w:rsidRDefault="005061A0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</w:t>
            </w:r>
            <w:r w:rsidR="009A4621" w:rsidRPr="00B63069">
              <w:rPr>
                <w:rFonts w:eastAsia="Calibri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A65C3C0" w14:textId="77777777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2019</w:t>
            </w:r>
          </w:p>
        </w:tc>
        <w:tc>
          <w:tcPr>
            <w:tcW w:w="1605" w:type="dxa"/>
            <w:shd w:val="clear" w:color="auto" w:fill="auto"/>
          </w:tcPr>
          <w:p w14:paraId="2D13A5DF" w14:textId="77777777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3496</w:t>
            </w:r>
          </w:p>
        </w:tc>
        <w:tc>
          <w:tcPr>
            <w:tcW w:w="2364" w:type="dxa"/>
            <w:shd w:val="clear" w:color="auto" w:fill="auto"/>
          </w:tcPr>
          <w:p w14:paraId="65CF1F12" w14:textId="77777777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2394</w:t>
            </w:r>
          </w:p>
        </w:tc>
        <w:tc>
          <w:tcPr>
            <w:tcW w:w="1985" w:type="dxa"/>
            <w:shd w:val="clear" w:color="auto" w:fill="auto"/>
          </w:tcPr>
          <w:p w14:paraId="55E7E52E" w14:textId="77777777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267 030</w:t>
            </w:r>
          </w:p>
        </w:tc>
      </w:tr>
      <w:tr w:rsidR="009A4621" w14:paraId="7B44AFFC" w14:textId="77777777" w:rsidTr="00556196">
        <w:tc>
          <w:tcPr>
            <w:tcW w:w="846" w:type="dxa"/>
            <w:shd w:val="clear" w:color="auto" w:fill="auto"/>
          </w:tcPr>
          <w:p w14:paraId="655A5B37" w14:textId="661ECD86" w:rsidR="009A4621" w:rsidRPr="00B63069" w:rsidRDefault="005061A0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</w:t>
            </w:r>
            <w:r w:rsidR="009A4621">
              <w:rPr>
                <w:rFonts w:eastAsia="Calibri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66A3B80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2020</w:t>
            </w:r>
          </w:p>
        </w:tc>
        <w:tc>
          <w:tcPr>
            <w:tcW w:w="1605" w:type="dxa"/>
            <w:shd w:val="clear" w:color="auto" w:fill="auto"/>
          </w:tcPr>
          <w:p w14:paraId="44797444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3179</w:t>
            </w:r>
          </w:p>
        </w:tc>
        <w:tc>
          <w:tcPr>
            <w:tcW w:w="2364" w:type="dxa"/>
            <w:shd w:val="clear" w:color="auto" w:fill="auto"/>
          </w:tcPr>
          <w:p w14:paraId="026E3B95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1992</w:t>
            </w:r>
          </w:p>
        </w:tc>
        <w:tc>
          <w:tcPr>
            <w:tcW w:w="1985" w:type="dxa"/>
            <w:shd w:val="clear" w:color="auto" w:fill="auto"/>
          </w:tcPr>
          <w:p w14:paraId="59F085AA" w14:textId="77777777" w:rsidR="009A4621" w:rsidRPr="00B63069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217 676</w:t>
            </w:r>
          </w:p>
        </w:tc>
      </w:tr>
      <w:tr w:rsidR="009A4621" w14:paraId="58559676" w14:textId="77777777" w:rsidTr="00556196">
        <w:tc>
          <w:tcPr>
            <w:tcW w:w="846" w:type="dxa"/>
            <w:shd w:val="clear" w:color="auto" w:fill="auto"/>
          </w:tcPr>
          <w:p w14:paraId="1520569A" w14:textId="3B518431" w:rsidR="009A4621" w:rsidRDefault="005061A0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</w:t>
            </w:r>
            <w:r w:rsidR="009A4621">
              <w:rPr>
                <w:rFonts w:eastAsia="Calibri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14A715C2" w14:textId="0E070F0C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2021 </w:t>
            </w:r>
          </w:p>
        </w:tc>
        <w:tc>
          <w:tcPr>
            <w:tcW w:w="1605" w:type="dxa"/>
            <w:shd w:val="clear" w:color="auto" w:fill="auto"/>
          </w:tcPr>
          <w:p w14:paraId="68FA75B6" w14:textId="2ECE7FB8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</w:t>
            </w:r>
            <w:r w:rsidR="00C67C25">
              <w:rPr>
                <w:rFonts w:eastAsia="Calibri"/>
                <w:szCs w:val="22"/>
              </w:rPr>
              <w:t>727</w:t>
            </w:r>
          </w:p>
        </w:tc>
        <w:tc>
          <w:tcPr>
            <w:tcW w:w="2364" w:type="dxa"/>
            <w:shd w:val="clear" w:color="auto" w:fill="auto"/>
          </w:tcPr>
          <w:p w14:paraId="6B82B6D5" w14:textId="38F5D082" w:rsidR="009A4621" w:rsidRDefault="009A4621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  <w:r w:rsidR="00C67C25">
              <w:rPr>
                <w:rFonts w:eastAsia="Calibri"/>
                <w:szCs w:val="22"/>
              </w:rPr>
              <w:t>634</w:t>
            </w:r>
          </w:p>
        </w:tc>
        <w:tc>
          <w:tcPr>
            <w:tcW w:w="1985" w:type="dxa"/>
            <w:shd w:val="clear" w:color="auto" w:fill="auto"/>
          </w:tcPr>
          <w:p w14:paraId="10AD02EA" w14:textId="10DC7E92" w:rsidR="009A4621" w:rsidRDefault="00C67C25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207</w:t>
            </w:r>
            <w:r w:rsidR="009A4621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>866</w:t>
            </w:r>
          </w:p>
        </w:tc>
      </w:tr>
      <w:tr w:rsidR="00C67C25" w14:paraId="707E0248" w14:textId="77777777" w:rsidTr="00556196">
        <w:tc>
          <w:tcPr>
            <w:tcW w:w="846" w:type="dxa"/>
            <w:shd w:val="clear" w:color="auto" w:fill="auto"/>
          </w:tcPr>
          <w:p w14:paraId="7FB46918" w14:textId="2CD72607" w:rsidR="00C67C25" w:rsidRDefault="005061A0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</w:t>
            </w:r>
            <w:r w:rsidR="00C67C25">
              <w:rPr>
                <w:rFonts w:eastAsia="Calibri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730C184" w14:textId="24A9AD5C" w:rsidR="00C67C25" w:rsidRDefault="00C67C25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2022 9 mėn.</w:t>
            </w:r>
          </w:p>
        </w:tc>
        <w:tc>
          <w:tcPr>
            <w:tcW w:w="1605" w:type="dxa"/>
            <w:shd w:val="clear" w:color="auto" w:fill="auto"/>
          </w:tcPr>
          <w:p w14:paraId="347CD246" w14:textId="22913981" w:rsidR="00C67C25" w:rsidRDefault="00C67C25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2377</w:t>
            </w:r>
          </w:p>
        </w:tc>
        <w:tc>
          <w:tcPr>
            <w:tcW w:w="2364" w:type="dxa"/>
            <w:shd w:val="clear" w:color="auto" w:fill="auto"/>
          </w:tcPr>
          <w:p w14:paraId="339BA1CB" w14:textId="70F8BB5E" w:rsidR="00C67C25" w:rsidRDefault="00C67C25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1618</w:t>
            </w:r>
          </w:p>
        </w:tc>
        <w:tc>
          <w:tcPr>
            <w:tcW w:w="1985" w:type="dxa"/>
            <w:shd w:val="clear" w:color="auto" w:fill="auto"/>
          </w:tcPr>
          <w:p w14:paraId="749AC4D5" w14:textId="320539AD" w:rsidR="00C67C25" w:rsidRDefault="00C67C25" w:rsidP="009A462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179 354</w:t>
            </w:r>
          </w:p>
        </w:tc>
      </w:tr>
    </w:tbl>
    <w:p w14:paraId="667A0355" w14:textId="77777777" w:rsidR="0007520D" w:rsidRDefault="0007520D" w:rsidP="0007520D">
      <w:pPr>
        <w:ind w:firstLine="1296"/>
        <w:jc w:val="both"/>
      </w:pPr>
    </w:p>
    <w:p w14:paraId="71DEC53E" w14:textId="14252D74" w:rsidR="0040684F" w:rsidRDefault="0007520D" w:rsidP="0040684F">
      <w:pPr>
        <w:ind w:firstLine="720"/>
        <w:jc w:val="both"/>
      </w:pPr>
      <w:r>
        <w:t>S</w:t>
      </w:r>
      <w:r w:rsidR="007E1CC2">
        <w:t xml:space="preserve">iekdami </w:t>
      </w:r>
      <w:r w:rsidR="0040684F">
        <w:t xml:space="preserve">sudaryti palankias sąlygas vykdyti smulkias verslo veiklas, </w:t>
      </w:r>
      <w:r>
        <w:t xml:space="preserve">siūlome nekeisti </w:t>
      </w:r>
      <w:r w:rsidRPr="004A151A">
        <w:t>fiksuot</w:t>
      </w:r>
      <w:r>
        <w:t>ų</w:t>
      </w:r>
      <w:r w:rsidRPr="004A151A">
        <w:t xml:space="preserve"> pajamų mokesčio, mokamo už pajamas, gautas iš veiklos, kuria verčiamasi turint verslo liudijimą</w:t>
      </w:r>
      <w:r w:rsidR="007E1CC2">
        <w:t>,</w:t>
      </w:r>
      <w:r>
        <w:t xml:space="preserve"> dydžių ir 202</w:t>
      </w:r>
      <w:r w:rsidR="00C67C25">
        <w:t>3</w:t>
      </w:r>
      <w:r>
        <w:t xml:space="preserve"> metams palikti galioti tokius pačius dydžius kaip ir </w:t>
      </w:r>
      <w:r w:rsidR="00581CA7">
        <w:t xml:space="preserve">2019, </w:t>
      </w:r>
      <w:r>
        <w:t>20</w:t>
      </w:r>
      <w:r w:rsidR="006D1FAC">
        <w:t>20</w:t>
      </w:r>
      <w:r w:rsidR="009A4621">
        <w:t>, 2021</w:t>
      </w:r>
      <w:r w:rsidR="00C67C25">
        <w:t>, 2022</w:t>
      </w:r>
      <w:r>
        <w:t xml:space="preserve"> metais.</w:t>
      </w:r>
      <w:r w:rsidR="00F74187">
        <w:t xml:space="preserve"> </w:t>
      </w:r>
    </w:p>
    <w:p w14:paraId="0A41D4E9" w14:textId="77E565A5" w:rsidR="00F74187" w:rsidRDefault="00F74187" w:rsidP="00E063D5">
      <w:pPr>
        <w:ind w:firstLine="720"/>
        <w:jc w:val="both"/>
      </w:pPr>
      <w:r>
        <w:t>Panevėžio miesto savivaldybės teritorijoje</w:t>
      </w:r>
      <w:r w:rsidR="007E1CC2">
        <w:t xml:space="preserve"> pačioms nepopuliariausioms veiklos rūšims</w:t>
      </w:r>
      <w:r w:rsidR="001017DE">
        <w:t>,</w:t>
      </w:r>
      <w:r w:rsidR="001017DE" w:rsidRPr="001017DE">
        <w:t xml:space="preserve"> </w:t>
      </w:r>
      <w:r w:rsidR="001017DE">
        <w:t xml:space="preserve">kur veiklą vykdo vos po kelis gyventojus </w:t>
      </w:r>
      <w:r w:rsidR="007E1CC2">
        <w:t>(</w:t>
      </w:r>
      <w:r w:rsidR="001017DE">
        <w:t>47</w:t>
      </w:r>
      <w:r w:rsidR="00FB16DE">
        <w:t xml:space="preserve"> veiklos rūšims </w:t>
      </w:r>
      <w:r w:rsidR="00B720C2">
        <w:t>iš 8</w:t>
      </w:r>
      <w:r w:rsidR="008133D2">
        <w:t>6</w:t>
      </w:r>
      <w:r w:rsidR="007E1CC2">
        <w:t xml:space="preserve">), tokioms kaip batų valymas; tekstilės pluoštų paruošimas ir verpimas; žvejybos reikmenų gamyba, trūklio lervų gaudymas; dirbinių iš gintaro ir jo pakaitalų gamyba; lagaminų, rankinių taisymas; žvakių gamyba; kompiuteriniai žaidimai; krosnių, kaminų valymas; kalvių (arklių kaustytojų) veikla ir kt. </w:t>
      </w:r>
      <w:r w:rsidR="0007520D">
        <w:t>palikti galioti</w:t>
      </w:r>
      <w:r w:rsidR="001017DE">
        <w:t xml:space="preserve"> 12 Eur metinį mokestį (1 Eur mėnesiui)</w:t>
      </w:r>
      <w:r w:rsidR="007E1CC2">
        <w:t>. Kitoms mažai populiarioms veikloms (meno kūrinių restauravimas;</w:t>
      </w:r>
      <w:r w:rsidR="007E1CC2" w:rsidRPr="00651334">
        <w:t xml:space="preserve"> </w:t>
      </w:r>
      <w:r w:rsidR="007E1CC2">
        <w:t>kai</w:t>
      </w:r>
      <w:r w:rsidR="0072710C">
        <w:t>lių išdirbimas; avalynės gamyba</w:t>
      </w:r>
      <w:r w:rsidR="007E1CC2">
        <w:t>; mezginių gamyba; vonių re</w:t>
      </w:r>
      <w:r w:rsidR="0072710C">
        <w:t xml:space="preserve">stauravimas; ateinančių auklių </w:t>
      </w:r>
      <w:r w:rsidR="007E1CC2">
        <w:t>ir kt.) iš viso 1</w:t>
      </w:r>
      <w:r w:rsidR="00FB16DE">
        <w:t>5</w:t>
      </w:r>
      <w:r w:rsidR="007E1CC2">
        <w:t xml:space="preserve"> veiklos rūšių, </w:t>
      </w:r>
      <w:r w:rsidR="0007520D">
        <w:t>palikti galioti</w:t>
      </w:r>
      <w:r w:rsidR="00FB16DE">
        <w:t xml:space="preserve"> 150</w:t>
      </w:r>
      <w:r w:rsidR="007E1CC2">
        <w:t xml:space="preserve"> Eur metinį mokestį. Vidutiniškai populiarioms veiklos rūšims</w:t>
      </w:r>
      <w:r w:rsidR="00FB16DE">
        <w:t xml:space="preserve"> (1</w:t>
      </w:r>
      <w:r w:rsidR="008133D2">
        <w:t>6</w:t>
      </w:r>
      <w:r w:rsidR="00FB16DE">
        <w:t xml:space="preserve"> veiklos rūšių)</w:t>
      </w:r>
      <w:r w:rsidR="007E1CC2">
        <w:t xml:space="preserve"> </w:t>
      </w:r>
      <w:r w:rsidR="0007520D">
        <w:t>palikti galioti</w:t>
      </w:r>
      <w:r w:rsidR="007E1CC2">
        <w:t xml:space="preserve"> 250 Eur metinius mokesčio dydžius. </w:t>
      </w:r>
      <w:r w:rsidR="008133D2">
        <w:t>8</w:t>
      </w:r>
      <w:r w:rsidR="007E1CC2">
        <w:t xml:space="preserve"> pači</w:t>
      </w:r>
      <w:r w:rsidR="008133D2">
        <w:t>oms</w:t>
      </w:r>
      <w:r w:rsidR="007E1CC2">
        <w:t xml:space="preserve"> populiariausi</w:t>
      </w:r>
      <w:r w:rsidR="008133D2">
        <w:t>oms</w:t>
      </w:r>
      <w:r w:rsidR="007E1CC2">
        <w:t>, pajamingiausi</w:t>
      </w:r>
      <w:r w:rsidR="008133D2">
        <w:t>oms</w:t>
      </w:r>
      <w:r w:rsidR="007E1CC2">
        <w:t xml:space="preserve"> veiklos rūši</w:t>
      </w:r>
      <w:r w:rsidR="008133D2">
        <w:t>ms</w:t>
      </w:r>
      <w:r w:rsidR="007E1CC2">
        <w:t xml:space="preserve"> </w:t>
      </w:r>
      <w:r w:rsidR="007E1CC2">
        <w:lastRenderedPageBreak/>
        <w:t>(prekybai;</w:t>
      </w:r>
      <w:r w:rsidR="007E1CC2" w:rsidRPr="0029484D">
        <w:t xml:space="preserve"> </w:t>
      </w:r>
      <w:r w:rsidR="007E1CC2">
        <w:t>susijusioms su statybomis;</w:t>
      </w:r>
      <w:r w:rsidR="008133D2">
        <w:t xml:space="preserve"> baldų gamybai;</w:t>
      </w:r>
      <w:r w:rsidR="007E1CC2">
        <w:t xml:space="preserve"> patalpų nuoma; veislinių naminių gyvūnėlių auginimas ir kt.) </w:t>
      </w:r>
      <w:r w:rsidR="0007520D">
        <w:t>palikti galioti</w:t>
      </w:r>
      <w:r w:rsidR="007E1CC2">
        <w:t xml:space="preserve"> 500 Eur metinį mokestį. </w:t>
      </w:r>
    </w:p>
    <w:p w14:paraId="1A91AC03" w14:textId="2590ABDB" w:rsidR="00B330C1" w:rsidRDefault="00B330C1" w:rsidP="00B330C1">
      <w:pPr>
        <w:ind w:firstLine="720"/>
        <w:jc w:val="both"/>
      </w:pPr>
      <w:r>
        <w:tab/>
      </w:r>
      <w:r w:rsidR="0040684F">
        <w:t>Pažymėtina</w:t>
      </w:r>
      <w:r>
        <w:t>, kad g</w:t>
      </w:r>
      <w:r w:rsidRPr="00B330C1">
        <w:t>amybos ir paslaugų verslo liudijimai išduodami ir pratęsiami pageidaujamam kalendorinių metų laikotarpiui</w:t>
      </w:r>
      <w:r w:rsidR="0040684F">
        <w:t xml:space="preserve"> bet</w:t>
      </w:r>
      <w:r w:rsidRPr="00B330C1">
        <w:t xml:space="preserve"> ne trumpiau kaip 5 </w:t>
      </w:r>
      <w:r>
        <w:t xml:space="preserve">dienoms. </w:t>
      </w:r>
      <w:r w:rsidRPr="00B330C1">
        <w:t>Prekybos verslo liudijimai išduodami ir pratęsiami bet kuriam pageidaujamam kalendorinių metų laikotarpiui.</w:t>
      </w:r>
      <w:r>
        <w:t xml:space="preserve"> </w:t>
      </w:r>
      <w:r w:rsidR="0040684F">
        <w:t>Atitinkamai, mokestis už verslo liudijimą skaičiuojamas proporcingai pasirinktam laikotarpiui</w:t>
      </w:r>
      <w:r w:rsidR="006529D3">
        <w:t xml:space="preserve"> / dienų skaičiui.</w:t>
      </w:r>
    </w:p>
    <w:p w14:paraId="6180BFDC" w14:textId="35BFCC0D" w:rsidR="00B330C1" w:rsidRPr="00B330C1" w:rsidRDefault="006529D3" w:rsidP="005061A0">
      <w:pPr>
        <w:ind w:firstLine="1276"/>
        <w:jc w:val="both"/>
      </w:pPr>
      <w:r>
        <w:t>Taip pat p</w:t>
      </w:r>
      <w:r w:rsidR="00FD2A71">
        <w:t>ažymėtina, kad g</w:t>
      </w:r>
      <w:r w:rsidR="00B330C1">
        <w:t xml:space="preserve">yventojai išsiperkantys verslo liudijimus taip pat </w:t>
      </w:r>
      <w:r>
        <w:t>privalo</w:t>
      </w:r>
      <w:r w:rsidR="00B330C1">
        <w:t xml:space="preserve"> </w:t>
      </w:r>
      <w:r>
        <w:t>susi</w:t>
      </w:r>
      <w:r w:rsidR="00B330C1">
        <w:t>mokėti VMI Pensijų socialinį ir sveikatos draudimus (SODRA</w:t>
      </w:r>
      <w:r>
        <w:t>,</w:t>
      </w:r>
      <w:r w:rsidR="00B330C1">
        <w:t xml:space="preserve"> apie </w:t>
      </w:r>
      <w:r w:rsidR="00D44266">
        <w:t>1</w:t>
      </w:r>
      <w:r w:rsidR="00272259">
        <w:t>15</w:t>
      </w:r>
      <w:r w:rsidR="00B330C1">
        <w:t xml:space="preserve"> Eur per mėnesį</w:t>
      </w:r>
      <w:r>
        <w:t>)</w:t>
      </w:r>
      <w:r w:rsidR="00B330C1">
        <w:t>, kurie proporcingai apskaičiuojami priklausomai nuo verslo liudijim</w:t>
      </w:r>
      <w:r>
        <w:t>o laikotarpio</w:t>
      </w:r>
      <w:r w:rsidR="00B330C1">
        <w:t>.</w:t>
      </w:r>
    </w:p>
    <w:p w14:paraId="50C2AE52" w14:textId="04207217" w:rsidR="00F763D0" w:rsidRPr="00A93DAC" w:rsidRDefault="00A02A13" w:rsidP="005061A0">
      <w:pPr>
        <w:jc w:val="both"/>
        <w:rPr>
          <w:sz w:val="20"/>
          <w:szCs w:val="20"/>
        </w:rPr>
      </w:pPr>
      <w:r>
        <w:tab/>
      </w:r>
      <w:r w:rsidR="00272259">
        <w:t>Apie 60</w:t>
      </w:r>
      <w:r w:rsidR="00272259" w:rsidRPr="00275DE2">
        <w:t xml:space="preserve"> procent</w:t>
      </w:r>
      <w:r w:rsidR="00272259">
        <w:t>ų</w:t>
      </w:r>
      <w:r w:rsidR="006529D3">
        <w:t xml:space="preserve"> </w:t>
      </w:r>
      <w:r w:rsidR="00217FFD" w:rsidRPr="00275DE2">
        <w:t>verslo liudijim</w:t>
      </w:r>
      <w:r w:rsidR="006529D3">
        <w:t>ų</w:t>
      </w:r>
      <w:r w:rsidR="00217FFD" w:rsidRPr="00275DE2">
        <w:t>,</w:t>
      </w:r>
      <w:r w:rsidR="00272259">
        <w:t xml:space="preserve"> išperkama</w:t>
      </w:r>
      <w:r w:rsidR="00217FFD" w:rsidRPr="00275DE2">
        <w:t xml:space="preserve"> pasinaudoja</w:t>
      </w:r>
      <w:r w:rsidR="00272259">
        <w:t>nt</w:t>
      </w:r>
      <w:r w:rsidR="00217FFD" w:rsidRPr="00275DE2">
        <w:t xml:space="preserve"> Panevėžio miesto savivaldybės tarybos</w:t>
      </w:r>
      <w:r w:rsidR="00D45B3F" w:rsidRPr="00275DE2">
        <w:t xml:space="preserve"> suteiktomis lengvatomis</w:t>
      </w:r>
      <w:r w:rsidR="00324F53" w:rsidRPr="00275DE2">
        <w:t xml:space="preserve"> </w:t>
      </w:r>
      <w:r w:rsidR="00324F53">
        <w:t>(neįgaliems asmenims; asmenims, su</w:t>
      </w:r>
      <w:r w:rsidR="00426F65">
        <w:t>lau</w:t>
      </w:r>
      <w:r w:rsidR="00365559">
        <w:t>kusiems senatvės pensijos amžiaus</w:t>
      </w:r>
      <w:r w:rsidR="00324F53">
        <w:t xml:space="preserve">; bedarbiams, registruotiems </w:t>
      </w:r>
      <w:r w:rsidR="00365559">
        <w:t>d</w:t>
      </w:r>
      <w:r w:rsidR="00324F53">
        <w:t>arbo biržoje; asmenims, kurie vieni augina bent vieną vaiką iki 18 m.; asmenims, auginantiems tris ir daugiau vaikų iki 18 m.</w:t>
      </w:r>
      <w:r w:rsidR="00500009">
        <w:t>,</w:t>
      </w:r>
      <w:r w:rsidR="00500009" w:rsidRPr="00500009">
        <w:t xml:space="preserve"> </w:t>
      </w:r>
      <w:r w:rsidR="00324F53">
        <w:t>ir kt.)</w:t>
      </w:r>
      <w:r w:rsidR="00BB1ADC">
        <w:t>.</w:t>
      </w:r>
      <w:r w:rsidR="004342F1">
        <w:t xml:space="preserve"> </w:t>
      </w:r>
      <w:r w:rsidR="00BB1ADC">
        <w:t>20</w:t>
      </w:r>
      <w:r w:rsidR="00660896">
        <w:t>2</w:t>
      </w:r>
      <w:r w:rsidR="00F763D0">
        <w:t>3</w:t>
      </w:r>
      <w:r w:rsidR="00BB1ADC">
        <w:t xml:space="preserve"> metams siūlome </w:t>
      </w:r>
      <w:r w:rsidR="00500009">
        <w:t xml:space="preserve">palikti tokius pačius </w:t>
      </w:r>
      <w:r w:rsidR="00BB1ADC">
        <w:t xml:space="preserve">lengvatų </w:t>
      </w:r>
      <w:r w:rsidR="0072710C">
        <w:t xml:space="preserve">dydžius kaip ir </w:t>
      </w:r>
      <w:r w:rsidR="00F763D0">
        <w:t>ankstesniais metais</w:t>
      </w:r>
      <w:r w:rsidR="00500009">
        <w:t>: bedarbiams</w:t>
      </w:r>
      <w:r w:rsidR="00BB1ADC">
        <w:t>, registruoti</w:t>
      </w:r>
      <w:r w:rsidR="00500009">
        <w:t>ems</w:t>
      </w:r>
      <w:r w:rsidR="00BB1ADC">
        <w:t xml:space="preserve"> darbo biržoje</w:t>
      </w:r>
      <w:r w:rsidR="009F48B1">
        <w:t xml:space="preserve"> ir</w:t>
      </w:r>
      <w:r w:rsidR="00BB1ADC" w:rsidRPr="00BB1ADC">
        <w:rPr>
          <w:sz w:val="22"/>
          <w:szCs w:val="22"/>
        </w:rPr>
        <w:t xml:space="preserve"> </w:t>
      </w:r>
      <w:r w:rsidR="00BB1ADC" w:rsidRPr="00BB1ADC">
        <w:t>dirbant</w:t>
      </w:r>
      <w:r w:rsidR="00500009">
        <w:t>iems</w:t>
      </w:r>
      <w:r w:rsidR="00BB1ADC" w:rsidRPr="00BB1ADC">
        <w:t xml:space="preserve"> (tarnaujant</w:t>
      </w:r>
      <w:r w:rsidR="00500009">
        <w:t>iem</w:t>
      </w:r>
      <w:r w:rsidR="00BB1ADC" w:rsidRPr="00BB1ADC">
        <w:t>s) asmen</w:t>
      </w:r>
      <w:r w:rsidR="00500009">
        <w:t>ims</w:t>
      </w:r>
      <w:r w:rsidR="00BB1ADC">
        <w:t xml:space="preserve"> </w:t>
      </w:r>
      <w:r w:rsidR="0072710C">
        <w:t>–</w:t>
      </w:r>
      <w:r w:rsidR="001D625C">
        <w:t xml:space="preserve"> </w:t>
      </w:r>
      <w:r w:rsidR="009C266D">
        <w:t>2</w:t>
      </w:r>
      <w:r w:rsidR="00BB1ADC">
        <w:t xml:space="preserve">0 proc. lengvatos dydį, </w:t>
      </w:r>
      <w:r w:rsidR="0072710C">
        <w:t>mokiniams (studentams) besimokantiems nuolatine (dienine) studijų forma – 75 proc.,</w:t>
      </w:r>
      <w:r>
        <w:t xml:space="preserve"> n</w:t>
      </w:r>
      <w:r w:rsidRPr="003B198A">
        <w:t>eįgal</w:t>
      </w:r>
      <w:r>
        <w:t>iem</w:t>
      </w:r>
      <w:r w:rsidRPr="003B198A">
        <w:t>s asmen</w:t>
      </w:r>
      <w:r>
        <w:t>ims, kuriems nustatytas</w:t>
      </w:r>
      <w:r w:rsidRPr="003B198A">
        <w:t xml:space="preserve"> 0–25 procentų darbi</w:t>
      </w:r>
      <w:r>
        <w:t xml:space="preserve">ngumo lygis, sunkus neįgalumo lygis, </w:t>
      </w:r>
      <w:r w:rsidRPr="003B198A">
        <w:t xml:space="preserve"> didelių specialiųjų poreikių lygis</w:t>
      </w:r>
      <w:r>
        <w:t>,</w:t>
      </w:r>
      <w:r w:rsidR="00F763D0">
        <w:t xml:space="preserve"> </w:t>
      </w:r>
      <w:r w:rsidR="005061A0">
        <w:t>k</w:t>
      </w:r>
      <w:r w:rsidR="00F763D0" w:rsidRPr="00F763D0">
        <w:t>aro pabėgėlia</w:t>
      </w:r>
      <w:r w:rsidR="005061A0">
        <w:t>ms</w:t>
      </w:r>
      <w:r w:rsidR="00F763D0" w:rsidRPr="00F763D0">
        <w:t xml:space="preserve"> iš Ukrainos, turint</w:t>
      </w:r>
      <w:r w:rsidR="005061A0">
        <w:t>iems</w:t>
      </w:r>
      <w:r w:rsidR="00F763D0" w:rsidRPr="00F763D0">
        <w:t xml:space="preserve"> leidimą laikinai gyventi Lietuvoje ar nacionalinę vizą, ar ILTU (interesų Lietuvoje turinčio užsieniečio) kodą</w:t>
      </w:r>
      <w:r w:rsidR="005061A0">
        <w:t>– 100 proc.</w:t>
      </w:r>
      <w:r w:rsidR="00F763D0">
        <w:t xml:space="preserve">, </w:t>
      </w:r>
      <w:r w:rsidR="00F763D0" w:rsidRPr="00F763D0">
        <w:rPr>
          <w:sz w:val="20"/>
          <w:szCs w:val="20"/>
        </w:rPr>
        <w:t xml:space="preserve"> </w:t>
      </w:r>
      <w:r w:rsidR="00F763D0">
        <w:t>o kitoms lengvatų rūšims 50 proc. lengvatos dydį</w:t>
      </w:r>
      <w:r w:rsidR="00F763D0" w:rsidRPr="00BB1ADC">
        <w:t>.</w:t>
      </w:r>
      <w:r w:rsidR="00F763D0" w:rsidRPr="00F763D0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234D53C9" w14:textId="14BA1E12" w:rsidR="00217FFD" w:rsidRDefault="0072710C" w:rsidP="00A02A13">
      <w:pPr>
        <w:jc w:val="both"/>
      </w:pPr>
      <w:r>
        <w:t xml:space="preserve"> </w:t>
      </w:r>
    </w:p>
    <w:p w14:paraId="0FC32FB8" w14:textId="77777777" w:rsidR="00045270" w:rsidRDefault="001C35F1" w:rsidP="00045270">
      <w:pPr>
        <w:jc w:val="both"/>
      </w:pPr>
      <w:r>
        <w:rPr>
          <w:b/>
        </w:rPr>
        <w:t xml:space="preserve">4. Skaičiavimai, išlaidų sąmatos, finansavimo šaltiniai: </w:t>
      </w:r>
      <w:r w:rsidR="00045270" w:rsidRPr="00426F65">
        <w:t>Visos p</w:t>
      </w:r>
      <w:r w:rsidR="00045270">
        <w:t xml:space="preserve">ajamos už išperkamus verslo liudijimus patenka į Savivaldybės biudžetą. Lengvatos teikiamos Savivaldybės biudžeto sąskaita. </w:t>
      </w:r>
    </w:p>
    <w:p w14:paraId="4E0A4F5A" w14:textId="77777777" w:rsidR="00045270" w:rsidRPr="00215AF6" w:rsidRDefault="00045270" w:rsidP="00045270">
      <w:pPr>
        <w:jc w:val="both"/>
        <w:rPr>
          <w:lang w:val="sv-SE"/>
        </w:rPr>
      </w:pPr>
    </w:p>
    <w:p w14:paraId="7C9321A8" w14:textId="77777777" w:rsidR="00402673" w:rsidRPr="00045270" w:rsidRDefault="001C35F1" w:rsidP="005B1C06">
      <w:pPr>
        <w:jc w:val="both"/>
        <w:rPr>
          <w:lang w:val="sv-SE"/>
        </w:rPr>
      </w:pPr>
      <w:r w:rsidRPr="00237BA8">
        <w:rPr>
          <w:b/>
        </w:rPr>
        <w:t>5. Galimos neigiamos pasekmės priėmus sprendimą, kokių priemonių reikėtų imtis, kad tokių pasekmių būtų išvengta:</w:t>
      </w:r>
      <w:r>
        <w:rPr>
          <w:b/>
        </w:rPr>
        <w:t xml:space="preserve"> </w:t>
      </w:r>
      <w:r w:rsidR="00045270" w:rsidRPr="00045270">
        <w:t>neigiamų pasekmių nesitikima.</w:t>
      </w:r>
    </w:p>
    <w:p w14:paraId="337F34CD" w14:textId="77777777" w:rsidR="004A151A" w:rsidRDefault="004A151A" w:rsidP="001C35F1">
      <w:pPr>
        <w:jc w:val="both"/>
      </w:pPr>
    </w:p>
    <w:p w14:paraId="32195F3C" w14:textId="77777777" w:rsidR="00246515" w:rsidRDefault="001C35F1" w:rsidP="00CB1C08">
      <w:pPr>
        <w:jc w:val="both"/>
      </w:pPr>
      <w:r w:rsidRPr="00237BA8">
        <w:rPr>
          <w:b/>
        </w:rPr>
        <w:t>6.</w:t>
      </w:r>
      <w:r>
        <w:rPr>
          <w:b/>
        </w:rPr>
        <w:t xml:space="preserve"> Kieno iniciatyva parengtas sprendimo projektas: </w:t>
      </w:r>
      <w:r>
        <w:t>Panevėžio miesto savivaldybės administracijos.</w:t>
      </w:r>
    </w:p>
    <w:p w14:paraId="12675492" w14:textId="77777777" w:rsidR="004A151A" w:rsidRDefault="004A151A" w:rsidP="00CB1C08">
      <w:pPr>
        <w:jc w:val="both"/>
      </w:pPr>
    </w:p>
    <w:p w14:paraId="21241B5D" w14:textId="77777777" w:rsidR="001C35F1" w:rsidRDefault="001C35F1" w:rsidP="00CB1C08">
      <w:pPr>
        <w:jc w:val="both"/>
      </w:pPr>
    </w:p>
    <w:p w14:paraId="013A8CB7" w14:textId="77777777" w:rsidR="00246515" w:rsidRDefault="00246515" w:rsidP="00AB68FE">
      <w:pPr>
        <w:ind w:firstLine="720"/>
        <w:jc w:val="both"/>
      </w:pPr>
      <w:r>
        <w:t>PRIDEDAMA:</w:t>
      </w:r>
    </w:p>
    <w:p w14:paraId="3E34F85C" w14:textId="77777777" w:rsidR="00911076" w:rsidRDefault="00911076" w:rsidP="00AB68FE">
      <w:pPr>
        <w:ind w:firstLine="720"/>
        <w:jc w:val="both"/>
      </w:pPr>
    </w:p>
    <w:p w14:paraId="1128BDE3" w14:textId="65A39AF8" w:rsidR="0089391E" w:rsidRDefault="00802DE0" w:rsidP="0089391E">
      <w:pPr>
        <w:numPr>
          <w:ilvl w:val="0"/>
          <w:numId w:val="2"/>
        </w:numPr>
        <w:jc w:val="both"/>
      </w:pPr>
      <w:r>
        <w:t>Išpe</w:t>
      </w:r>
      <w:r w:rsidR="00B330C1">
        <w:t>rk</w:t>
      </w:r>
      <w:r>
        <w:t>am</w:t>
      </w:r>
      <w:r w:rsidR="00B330C1">
        <w:t>ų</w:t>
      </w:r>
      <w:r w:rsidR="00556196" w:rsidRPr="00B330C1">
        <w:t xml:space="preserve"> verslo liudijim</w:t>
      </w:r>
      <w:r w:rsidR="00B330C1">
        <w:t>ų</w:t>
      </w:r>
      <w:r w:rsidR="002B1530" w:rsidRPr="00B330C1">
        <w:t xml:space="preserve"> </w:t>
      </w:r>
      <w:r>
        <w:t>skaičius</w:t>
      </w:r>
      <w:r w:rsidR="00036BE1" w:rsidRPr="00B330C1">
        <w:t xml:space="preserve">  </w:t>
      </w:r>
      <w:r w:rsidR="003C4E49">
        <w:t xml:space="preserve">už </w:t>
      </w:r>
      <w:r w:rsidR="00036BE1" w:rsidRPr="00B330C1">
        <w:t>201</w:t>
      </w:r>
      <w:r w:rsidR="003C4E49">
        <w:t>9</w:t>
      </w:r>
      <w:r w:rsidR="00036BE1" w:rsidRPr="00B330C1">
        <w:t>-20</w:t>
      </w:r>
      <w:r w:rsidR="003C4E49">
        <w:t>2</w:t>
      </w:r>
      <w:r w:rsidR="001F29CA">
        <w:t>1</w:t>
      </w:r>
      <w:r w:rsidR="00036BE1" w:rsidRPr="00B330C1">
        <w:t xml:space="preserve"> m.</w:t>
      </w:r>
      <w:r w:rsidR="0072710C" w:rsidRPr="00B330C1">
        <w:t xml:space="preserve">, </w:t>
      </w:r>
      <w:r w:rsidR="00036BE1" w:rsidRPr="00B330C1">
        <w:t>7</w:t>
      </w:r>
      <w:r w:rsidR="0072710C" w:rsidRPr="00B330C1">
        <w:t xml:space="preserve"> lapai.</w:t>
      </w:r>
    </w:p>
    <w:p w14:paraId="630971F3" w14:textId="452A67FD" w:rsidR="0089391E" w:rsidRPr="00B330C1" w:rsidRDefault="0089391E" w:rsidP="00683582">
      <w:pPr>
        <w:numPr>
          <w:ilvl w:val="0"/>
          <w:numId w:val="2"/>
        </w:numPr>
        <w:jc w:val="both"/>
      </w:pPr>
      <w:r w:rsidRPr="00B330C1">
        <w:t>Gyventojų</w:t>
      </w:r>
      <w:r w:rsidR="004B74CC" w:rsidRPr="00B330C1">
        <w:t xml:space="preserve"> skaičiaus</w:t>
      </w:r>
      <w:r w:rsidRPr="00B330C1">
        <w:t>, išsiper</w:t>
      </w:r>
      <w:r w:rsidR="00687D94" w:rsidRPr="00B330C1">
        <w:t xml:space="preserve">kančių lengvatinius </w:t>
      </w:r>
      <w:r w:rsidR="00AD572C" w:rsidRPr="00B330C1">
        <w:t xml:space="preserve">verslo liudijimus pagal lengvatų rūšis, </w:t>
      </w:r>
      <w:r w:rsidR="00733962" w:rsidRPr="00B330C1">
        <w:t>20</w:t>
      </w:r>
      <w:r w:rsidR="005061A0">
        <w:t>17</w:t>
      </w:r>
      <w:r w:rsidR="003C4E49">
        <w:t xml:space="preserve"> – </w:t>
      </w:r>
      <w:r w:rsidR="002B1530" w:rsidRPr="00B330C1">
        <w:t>20</w:t>
      </w:r>
      <w:r w:rsidR="003C4E49">
        <w:t>2</w:t>
      </w:r>
      <w:r w:rsidR="005061A0">
        <w:t>1</w:t>
      </w:r>
      <w:r w:rsidR="00652266" w:rsidRPr="00B330C1">
        <w:t xml:space="preserve"> m. duomenys</w:t>
      </w:r>
      <w:r w:rsidR="00F65111" w:rsidRPr="00B330C1">
        <w:t>, 1 lapas.</w:t>
      </w:r>
    </w:p>
    <w:p w14:paraId="7C6551DD" w14:textId="77777777" w:rsidR="00AB68FE" w:rsidRDefault="00AB68FE" w:rsidP="003C4E49">
      <w:pPr>
        <w:jc w:val="both"/>
      </w:pPr>
    </w:p>
    <w:p w14:paraId="56027C47" w14:textId="77777777" w:rsidR="00B574B8" w:rsidRDefault="00B574B8" w:rsidP="00AB68FE">
      <w:pPr>
        <w:jc w:val="both"/>
      </w:pPr>
    </w:p>
    <w:p w14:paraId="38668656" w14:textId="77777777" w:rsidR="00AB68FE" w:rsidRDefault="002D2E08" w:rsidP="00AB68FE">
      <w:pPr>
        <w:jc w:val="both"/>
      </w:pPr>
      <w:r>
        <w:t>Miesto plėtros</w:t>
      </w:r>
      <w:r w:rsidR="00AB68FE">
        <w:t xml:space="preserve"> skyriaus</w:t>
      </w:r>
    </w:p>
    <w:p w14:paraId="503C6337" w14:textId="77777777" w:rsidR="00FB6BEB" w:rsidRPr="00932073" w:rsidRDefault="00882D86" w:rsidP="002C093E">
      <w:r>
        <w:t>vyr.specialistė</w:t>
      </w:r>
      <w:r w:rsidR="0087005A">
        <w:tab/>
      </w:r>
      <w:r w:rsidR="002C093E">
        <w:tab/>
      </w:r>
      <w:r w:rsidR="002C093E">
        <w:tab/>
      </w:r>
      <w:r w:rsidR="002C093E">
        <w:tab/>
      </w:r>
      <w:r>
        <w:t>Daina Pilkauskienė</w:t>
      </w:r>
    </w:p>
    <w:sectPr w:rsidR="00FB6BEB" w:rsidRPr="00932073" w:rsidSect="002D2125">
      <w:pgSz w:w="11906" w:h="16838"/>
      <w:pgMar w:top="720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D1D41"/>
    <w:multiLevelType w:val="hybridMultilevel"/>
    <w:tmpl w:val="DD102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CC5E46"/>
    <w:multiLevelType w:val="hybridMultilevel"/>
    <w:tmpl w:val="DD102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AD2B44"/>
    <w:multiLevelType w:val="hybridMultilevel"/>
    <w:tmpl w:val="2C52D064"/>
    <w:lvl w:ilvl="0" w:tplc="AC8CE6E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D7"/>
    <w:rsid w:val="00011FF8"/>
    <w:rsid w:val="00015BCF"/>
    <w:rsid w:val="00016732"/>
    <w:rsid w:val="00036BE1"/>
    <w:rsid w:val="0004483F"/>
    <w:rsid w:val="00045270"/>
    <w:rsid w:val="0004624C"/>
    <w:rsid w:val="0005499E"/>
    <w:rsid w:val="00057994"/>
    <w:rsid w:val="0007243B"/>
    <w:rsid w:val="000741C9"/>
    <w:rsid w:val="00074ED7"/>
    <w:rsid w:val="0007520D"/>
    <w:rsid w:val="0007534F"/>
    <w:rsid w:val="00076068"/>
    <w:rsid w:val="000834C0"/>
    <w:rsid w:val="000A3E5E"/>
    <w:rsid w:val="000D7823"/>
    <w:rsid w:val="000E1EBB"/>
    <w:rsid w:val="000E3EE8"/>
    <w:rsid w:val="001017DE"/>
    <w:rsid w:val="00103DFE"/>
    <w:rsid w:val="001155FD"/>
    <w:rsid w:val="001200D5"/>
    <w:rsid w:val="00124656"/>
    <w:rsid w:val="0013250D"/>
    <w:rsid w:val="0015599E"/>
    <w:rsid w:val="0017357C"/>
    <w:rsid w:val="00182773"/>
    <w:rsid w:val="001A7443"/>
    <w:rsid w:val="001C35F1"/>
    <w:rsid w:val="001D2323"/>
    <w:rsid w:val="001D625C"/>
    <w:rsid w:val="001D70E3"/>
    <w:rsid w:val="001F29CA"/>
    <w:rsid w:val="00216DE0"/>
    <w:rsid w:val="00217FFD"/>
    <w:rsid w:val="00220B98"/>
    <w:rsid w:val="0022125A"/>
    <w:rsid w:val="00224277"/>
    <w:rsid w:val="00241E3B"/>
    <w:rsid w:val="00246515"/>
    <w:rsid w:val="00252FAA"/>
    <w:rsid w:val="002604B8"/>
    <w:rsid w:val="00263AD8"/>
    <w:rsid w:val="0026591D"/>
    <w:rsid w:val="00265962"/>
    <w:rsid w:val="00270E0C"/>
    <w:rsid w:val="00272259"/>
    <w:rsid w:val="00275DE2"/>
    <w:rsid w:val="002765BC"/>
    <w:rsid w:val="0029484D"/>
    <w:rsid w:val="002B1530"/>
    <w:rsid w:val="002C093E"/>
    <w:rsid w:val="002C4B8D"/>
    <w:rsid w:val="002D2125"/>
    <w:rsid w:val="002D2E08"/>
    <w:rsid w:val="002D443D"/>
    <w:rsid w:val="002E2DAE"/>
    <w:rsid w:val="00300D89"/>
    <w:rsid w:val="00321BCD"/>
    <w:rsid w:val="00324F53"/>
    <w:rsid w:val="00327DBE"/>
    <w:rsid w:val="0034126C"/>
    <w:rsid w:val="00350BA0"/>
    <w:rsid w:val="0035799F"/>
    <w:rsid w:val="0036195D"/>
    <w:rsid w:val="00363F35"/>
    <w:rsid w:val="00365559"/>
    <w:rsid w:val="003655B1"/>
    <w:rsid w:val="003721F4"/>
    <w:rsid w:val="00372670"/>
    <w:rsid w:val="00375225"/>
    <w:rsid w:val="0039515E"/>
    <w:rsid w:val="003971F8"/>
    <w:rsid w:val="003B3465"/>
    <w:rsid w:val="003B59DE"/>
    <w:rsid w:val="003C4E49"/>
    <w:rsid w:val="003E37DD"/>
    <w:rsid w:val="003E3E0D"/>
    <w:rsid w:val="003F40CB"/>
    <w:rsid w:val="003F4692"/>
    <w:rsid w:val="003F5EA1"/>
    <w:rsid w:val="00402673"/>
    <w:rsid w:val="00404305"/>
    <w:rsid w:val="0040684F"/>
    <w:rsid w:val="00426F65"/>
    <w:rsid w:val="00430C12"/>
    <w:rsid w:val="004342F1"/>
    <w:rsid w:val="00451BE6"/>
    <w:rsid w:val="00456253"/>
    <w:rsid w:val="00457211"/>
    <w:rsid w:val="004747AE"/>
    <w:rsid w:val="00486B46"/>
    <w:rsid w:val="004A151A"/>
    <w:rsid w:val="004A2E67"/>
    <w:rsid w:val="004A4DBD"/>
    <w:rsid w:val="004B6C70"/>
    <w:rsid w:val="004B74CC"/>
    <w:rsid w:val="004E2F9F"/>
    <w:rsid w:val="00500009"/>
    <w:rsid w:val="00503541"/>
    <w:rsid w:val="00504D28"/>
    <w:rsid w:val="005061A0"/>
    <w:rsid w:val="00515B1A"/>
    <w:rsid w:val="00555110"/>
    <w:rsid w:val="00556196"/>
    <w:rsid w:val="005731A2"/>
    <w:rsid w:val="00581CA7"/>
    <w:rsid w:val="00596A6F"/>
    <w:rsid w:val="005A13C4"/>
    <w:rsid w:val="005A39B3"/>
    <w:rsid w:val="005A6E6A"/>
    <w:rsid w:val="005B1C06"/>
    <w:rsid w:val="005C77A1"/>
    <w:rsid w:val="005D5196"/>
    <w:rsid w:val="00626D72"/>
    <w:rsid w:val="00651334"/>
    <w:rsid w:val="00651F5B"/>
    <w:rsid w:val="00652266"/>
    <w:rsid w:val="006529D3"/>
    <w:rsid w:val="00660896"/>
    <w:rsid w:val="00665FAC"/>
    <w:rsid w:val="006771DC"/>
    <w:rsid w:val="00680009"/>
    <w:rsid w:val="00683582"/>
    <w:rsid w:val="00687D94"/>
    <w:rsid w:val="006B072D"/>
    <w:rsid w:val="006B703E"/>
    <w:rsid w:val="006C71A7"/>
    <w:rsid w:val="006C7DCF"/>
    <w:rsid w:val="006D1FAC"/>
    <w:rsid w:val="006D5530"/>
    <w:rsid w:val="006F294F"/>
    <w:rsid w:val="006F721D"/>
    <w:rsid w:val="00705FB5"/>
    <w:rsid w:val="007134F5"/>
    <w:rsid w:val="0072710C"/>
    <w:rsid w:val="00727978"/>
    <w:rsid w:val="00733962"/>
    <w:rsid w:val="00746186"/>
    <w:rsid w:val="007567E8"/>
    <w:rsid w:val="0078036E"/>
    <w:rsid w:val="00794675"/>
    <w:rsid w:val="007A132E"/>
    <w:rsid w:val="007C0706"/>
    <w:rsid w:val="007C0EB0"/>
    <w:rsid w:val="007D408F"/>
    <w:rsid w:val="007E1CC2"/>
    <w:rsid w:val="007E56DC"/>
    <w:rsid w:val="007E6F07"/>
    <w:rsid w:val="00802DE0"/>
    <w:rsid w:val="008133D2"/>
    <w:rsid w:val="008274E5"/>
    <w:rsid w:val="008477A9"/>
    <w:rsid w:val="00856A9B"/>
    <w:rsid w:val="0087005A"/>
    <w:rsid w:val="00882031"/>
    <w:rsid w:val="00882D86"/>
    <w:rsid w:val="00884EB8"/>
    <w:rsid w:val="0089391E"/>
    <w:rsid w:val="008A46D4"/>
    <w:rsid w:val="008C62DD"/>
    <w:rsid w:val="008C7FEC"/>
    <w:rsid w:val="008F4236"/>
    <w:rsid w:val="0090520C"/>
    <w:rsid w:val="00911076"/>
    <w:rsid w:val="009179F8"/>
    <w:rsid w:val="00932073"/>
    <w:rsid w:val="00932A6A"/>
    <w:rsid w:val="00935802"/>
    <w:rsid w:val="0094481E"/>
    <w:rsid w:val="009537F1"/>
    <w:rsid w:val="00963E71"/>
    <w:rsid w:val="009921C9"/>
    <w:rsid w:val="00995782"/>
    <w:rsid w:val="009A4621"/>
    <w:rsid w:val="009B35CA"/>
    <w:rsid w:val="009C0B81"/>
    <w:rsid w:val="009C266D"/>
    <w:rsid w:val="009D4706"/>
    <w:rsid w:val="009E2393"/>
    <w:rsid w:val="009F48B1"/>
    <w:rsid w:val="009F4A52"/>
    <w:rsid w:val="00A02A13"/>
    <w:rsid w:val="00A04D00"/>
    <w:rsid w:val="00A076F9"/>
    <w:rsid w:val="00A26469"/>
    <w:rsid w:val="00A55C1C"/>
    <w:rsid w:val="00A83880"/>
    <w:rsid w:val="00A83A20"/>
    <w:rsid w:val="00A92974"/>
    <w:rsid w:val="00A975C1"/>
    <w:rsid w:val="00AA7B5E"/>
    <w:rsid w:val="00AB215E"/>
    <w:rsid w:val="00AB68FE"/>
    <w:rsid w:val="00AC3AE2"/>
    <w:rsid w:val="00AD572C"/>
    <w:rsid w:val="00AE1BF1"/>
    <w:rsid w:val="00AF22EE"/>
    <w:rsid w:val="00B118D7"/>
    <w:rsid w:val="00B17268"/>
    <w:rsid w:val="00B17C4C"/>
    <w:rsid w:val="00B205BC"/>
    <w:rsid w:val="00B209A9"/>
    <w:rsid w:val="00B330C1"/>
    <w:rsid w:val="00B4208E"/>
    <w:rsid w:val="00B42334"/>
    <w:rsid w:val="00B54ADB"/>
    <w:rsid w:val="00B574B8"/>
    <w:rsid w:val="00B63069"/>
    <w:rsid w:val="00B674E0"/>
    <w:rsid w:val="00B720C2"/>
    <w:rsid w:val="00BB1ADC"/>
    <w:rsid w:val="00BC72FB"/>
    <w:rsid w:val="00BC76D4"/>
    <w:rsid w:val="00BD0FE4"/>
    <w:rsid w:val="00BD28A0"/>
    <w:rsid w:val="00BD3348"/>
    <w:rsid w:val="00BD7D7E"/>
    <w:rsid w:val="00BE1114"/>
    <w:rsid w:val="00BF3012"/>
    <w:rsid w:val="00C03219"/>
    <w:rsid w:val="00C07C22"/>
    <w:rsid w:val="00C10806"/>
    <w:rsid w:val="00C12AF8"/>
    <w:rsid w:val="00C249A7"/>
    <w:rsid w:val="00C305DA"/>
    <w:rsid w:val="00C376F1"/>
    <w:rsid w:val="00C5299B"/>
    <w:rsid w:val="00C57F32"/>
    <w:rsid w:val="00C67C25"/>
    <w:rsid w:val="00C758D8"/>
    <w:rsid w:val="00C84402"/>
    <w:rsid w:val="00CA3DE7"/>
    <w:rsid w:val="00CA6B5C"/>
    <w:rsid w:val="00CB1C08"/>
    <w:rsid w:val="00CB5C30"/>
    <w:rsid w:val="00CC2F58"/>
    <w:rsid w:val="00CC45D1"/>
    <w:rsid w:val="00CD036D"/>
    <w:rsid w:val="00D14E2A"/>
    <w:rsid w:val="00D343D3"/>
    <w:rsid w:val="00D373D9"/>
    <w:rsid w:val="00D44266"/>
    <w:rsid w:val="00D45B3F"/>
    <w:rsid w:val="00D470B5"/>
    <w:rsid w:val="00D67102"/>
    <w:rsid w:val="00D77981"/>
    <w:rsid w:val="00D808A0"/>
    <w:rsid w:val="00D8272C"/>
    <w:rsid w:val="00D9045E"/>
    <w:rsid w:val="00D91006"/>
    <w:rsid w:val="00DA4AF0"/>
    <w:rsid w:val="00DA7368"/>
    <w:rsid w:val="00DB5CA2"/>
    <w:rsid w:val="00DC0E74"/>
    <w:rsid w:val="00DD64C5"/>
    <w:rsid w:val="00DF67CC"/>
    <w:rsid w:val="00E063D5"/>
    <w:rsid w:val="00E210C8"/>
    <w:rsid w:val="00E32A30"/>
    <w:rsid w:val="00E42409"/>
    <w:rsid w:val="00E450E6"/>
    <w:rsid w:val="00E51E86"/>
    <w:rsid w:val="00E75A9C"/>
    <w:rsid w:val="00E84D1B"/>
    <w:rsid w:val="00EA455F"/>
    <w:rsid w:val="00EB4A89"/>
    <w:rsid w:val="00EC3FA8"/>
    <w:rsid w:val="00EC558D"/>
    <w:rsid w:val="00ED4FE9"/>
    <w:rsid w:val="00F2081D"/>
    <w:rsid w:val="00F4452A"/>
    <w:rsid w:val="00F514EF"/>
    <w:rsid w:val="00F538AD"/>
    <w:rsid w:val="00F573CD"/>
    <w:rsid w:val="00F65111"/>
    <w:rsid w:val="00F7387C"/>
    <w:rsid w:val="00F74187"/>
    <w:rsid w:val="00F75C7E"/>
    <w:rsid w:val="00F763D0"/>
    <w:rsid w:val="00F8315F"/>
    <w:rsid w:val="00FB16DE"/>
    <w:rsid w:val="00FB6BEB"/>
    <w:rsid w:val="00FC62AB"/>
    <w:rsid w:val="00FD2A71"/>
    <w:rsid w:val="00FE081D"/>
    <w:rsid w:val="00FE48B1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CB2D9"/>
  <w15:chartTrackingRefBased/>
  <w15:docId w15:val="{B5228625-37C1-4F41-9000-D73FCAA0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B6BEB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2D212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F74187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152F1-E110-482D-94BA-9E225F6D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5017</Characters>
  <Application>Microsoft Office Word</Application>
  <DocSecurity>4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m.sav.administracija</Company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Daina</dc:creator>
  <cp:keywords/>
  <dc:description/>
  <cp:lastModifiedBy>Diana Brazdžiunienė</cp:lastModifiedBy>
  <cp:revision>2</cp:revision>
  <cp:lastPrinted>2021-09-03T07:55:00Z</cp:lastPrinted>
  <dcterms:created xsi:type="dcterms:W3CDTF">2022-10-06T10:43:00Z</dcterms:created>
  <dcterms:modified xsi:type="dcterms:W3CDTF">2022-10-06T10:43:00Z</dcterms:modified>
</cp:coreProperties>
</file>