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0AF15" w14:textId="77777777" w:rsidR="00DF44C1" w:rsidRDefault="009A1CFF" w:rsidP="000F6CCB">
      <w:pPr>
        <w:pStyle w:val="Pavadinimas"/>
        <w:rPr>
          <w:sz w:val="24"/>
        </w:rPr>
      </w:pPr>
      <w:bookmarkStart w:id="0" w:name="_GoBack"/>
      <w:bookmarkEnd w:id="0"/>
      <w:r w:rsidRPr="00A34DDC">
        <w:rPr>
          <w:noProof/>
          <w:lang w:eastAsia="lt-LT"/>
        </w:rPr>
        <w:drawing>
          <wp:inline distT="0" distB="0" distL="0" distR="0" wp14:anchorId="1760B1FD" wp14:editId="1760B1FE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0AF16" w14:textId="77777777" w:rsidR="000F6CCB" w:rsidRPr="00621815" w:rsidRDefault="000F6CCB" w:rsidP="000F6CCB">
      <w:pPr>
        <w:pStyle w:val="Pavadinimas"/>
        <w:rPr>
          <w:sz w:val="24"/>
        </w:rPr>
      </w:pPr>
    </w:p>
    <w:p w14:paraId="1760AF17" w14:textId="77777777" w:rsidR="00DF44C1" w:rsidRPr="00621815" w:rsidRDefault="00DF44C1" w:rsidP="000F6CCB">
      <w:pPr>
        <w:pStyle w:val="Pavadinimas"/>
        <w:rPr>
          <w:sz w:val="28"/>
          <w:szCs w:val="28"/>
        </w:rPr>
      </w:pPr>
      <w:r w:rsidRPr="00621815">
        <w:rPr>
          <w:sz w:val="28"/>
          <w:szCs w:val="28"/>
        </w:rPr>
        <w:t>PANEVĖŽIO MIESTO SAVIVALDYBĖS TARYBA</w:t>
      </w:r>
    </w:p>
    <w:p w14:paraId="1760AF18" w14:textId="77777777" w:rsidR="00DF44C1" w:rsidRPr="00621815" w:rsidRDefault="00DF44C1" w:rsidP="000F6CCB">
      <w:pPr>
        <w:jc w:val="center"/>
      </w:pPr>
    </w:p>
    <w:p w14:paraId="1760AF19" w14:textId="77777777" w:rsidR="00E32A03" w:rsidRPr="00621815" w:rsidRDefault="00E32A03" w:rsidP="000F6CCB">
      <w:pPr>
        <w:pStyle w:val="Antrat2"/>
        <w:rPr>
          <w:caps/>
        </w:rPr>
      </w:pPr>
      <w:bookmarkStart w:id="1" w:name="Forma"/>
      <w:r w:rsidRPr="00621815">
        <w:t>SPRENDIMAS</w:t>
      </w:r>
      <w:bookmarkEnd w:id="1"/>
    </w:p>
    <w:p w14:paraId="1760AF1A" w14:textId="77777777" w:rsidR="00E32A03" w:rsidRPr="00621815" w:rsidRDefault="00E32A03" w:rsidP="000F6CCB">
      <w:pPr>
        <w:jc w:val="center"/>
        <w:rPr>
          <w:b/>
          <w:sz w:val="24"/>
          <w:szCs w:val="24"/>
        </w:rPr>
      </w:pPr>
      <w:bookmarkStart w:id="2" w:name="Pavadinimas"/>
      <w:r w:rsidRPr="00621815">
        <w:rPr>
          <w:b/>
          <w:sz w:val="24"/>
        </w:rPr>
        <w:t xml:space="preserve">DĖL </w:t>
      </w:r>
      <w:r w:rsidR="00473AC9">
        <w:rPr>
          <w:b/>
          <w:sz w:val="24"/>
        </w:rPr>
        <w:t>KO</w:t>
      </w:r>
      <w:r w:rsidR="000D01D9">
        <w:rPr>
          <w:b/>
          <w:sz w:val="24"/>
        </w:rPr>
        <w:t>MU</w:t>
      </w:r>
      <w:r w:rsidR="00473AC9">
        <w:rPr>
          <w:b/>
          <w:sz w:val="24"/>
        </w:rPr>
        <w:t>N</w:t>
      </w:r>
      <w:r w:rsidR="000D01D9">
        <w:rPr>
          <w:b/>
          <w:sz w:val="24"/>
        </w:rPr>
        <w:t>ALINIŲ ATLIEKŲ TVARKYMO KAINOS, SUSIDARYMO NORMOS IR DVINARĖS ĮMOKOS UŽ KOMUNALINIŲ ATLIEKŲ SURINKIMĄ</w:t>
      </w:r>
      <w:r w:rsidR="00130A94">
        <w:rPr>
          <w:b/>
          <w:sz w:val="24"/>
        </w:rPr>
        <w:t xml:space="preserve"> IŠ ATLIEKŲ TURĖTOJŲ </w:t>
      </w:r>
      <w:r w:rsidR="000D01D9">
        <w:rPr>
          <w:b/>
          <w:sz w:val="24"/>
        </w:rPr>
        <w:t>IR</w:t>
      </w:r>
      <w:r w:rsidR="00130A94">
        <w:rPr>
          <w:b/>
          <w:sz w:val="24"/>
        </w:rPr>
        <w:t xml:space="preserve"> ATLIEKŲ</w:t>
      </w:r>
      <w:r w:rsidR="000D01D9">
        <w:rPr>
          <w:b/>
          <w:sz w:val="24"/>
        </w:rPr>
        <w:t xml:space="preserve"> TVARKYMĄ DYDŽIŲ PATVIRTINIMO, SAVIVALDYBĖS TARYBOS </w:t>
      </w:r>
      <w:r w:rsidR="000F5149">
        <w:rPr>
          <w:b/>
          <w:sz w:val="24"/>
        </w:rPr>
        <w:t>201</w:t>
      </w:r>
      <w:r w:rsidR="00B134F8">
        <w:rPr>
          <w:b/>
          <w:sz w:val="24"/>
        </w:rPr>
        <w:t>6</w:t>
      </w:r>
      <w:r w:rsidR="000F5149">
        <w:rPr>
          <w:b/>
          <w:sz w:val="24"/>
        </w:rPr>
        <w:t xml:space="preserve"> M. </w:t>
      </w:r>
      <w:r w:rsidR="00B134F8">
        <w:rPr>
          <w:b/>
          <w:sz w:val="24"/>
        </w:rPr>
        <w:t>GRUODŽ</w:t>
      </w:r>
      <w:r w:rsidR="000F5149">
        <w:rPr>
          <w:b/>
          <w:sz w:val="24"/>
        </w:rPr>
        <w:t xml:space="preserve">IO </w:t>
      </w:r>
      <w:r w:rsidR="00B134F8">
        <w:rPr>
          <w:b/>
          <w:sz w:val="24"/>
        </w:rPr>
        <w:t>29</w:t>
      </w:r>
      <w:r w:rsidR="000F5149">
        <w:rPr>
          <w:b/>
          <w:sz w:val="24"/>
        </w:rPr>
        <w:t xml:space="preserve"> D. SPRENDIMO N</w:t>
      </w:r>
      <w:r w:rsidR="000202BA">
        <w:rPr>
          <w:b/>
          <w:sz w:val="24"/>
        </w:rPr>
        <w:t>R</w:t>
      </w:r>
      <w:r w:rsidR="000F5149">
        <w:rPr>
          <w:b/>
          <w:sz w:val="24"/>
        </w:rPr>
        <w:t>. 1-</w:t>
      </w:r>
      <w:r w:rsidR="00B134F8">
        <w:rPr>
          <w:b/>
          <w:sz w:val="24"/>
        </w:rPr>
        <w:t>426</w:t>
      </w:r>
      <w:r w:rsidR="000F5149">
        <w:rPr>
          <w:b/>
          <w:sz w:val="24"/>
        </w:rPr>
        <w:t xml:space="preserve"> PRIPAŽINIMO NETEKUSIU GALIOS</w:t>
      </w:r>
    </w:p>
    <w:bookmarkEnd w:id="2"/>
    <w:p w14:paraId="1760AF1B" w14:textId="77777777" w:rsidR="00E32A03" w:rsidRPr="00621815" w:rsidRDefault="00E32A03" w:rsidP="000F6CCB">
      <w:pPr>
        <w:jc w:val="center"/>
        <w:rPr>
          <w:sz w:val="24"/>
        </w:rPr>
      </w:pPr>
    </w:p>
    <w:p w14:paraId="1760AF1C" w14:textId="77777777" w:rsidR="00E32A03" w:rsidRPr="00621815" w:rsidRDefault="00F91F19" w:rsidP="000F6CCB">
      <w:pPr>
        <w:jc w:val="center"/>
        <w:rPr>
          <w:sz w:val="24"/>
        </w:rPr>
      </w:pPr>
      <w:r>
        <w:rPr>
          <w:sz w:val="24"/>
        </w:rPr>
        <w:t>20</w:t>
      </w:r>
      <w:r w:rsidR="00327123">
        <w:rPr>
          <w:sz w:val="24"/>
        </w:rPr>
        <w:t>1</w:t>
      </w:r>
      <w:r w:rsidR="00B134F8">
        <w:rPr>
          <w:sz w:val="24"/>
        </w:rPr>
        <w:t>7</w:t>
      </w:r>
      <w:r w:rsidR="00E32A03" w:rsidRPr="00621815">
        <w:rPr>
          <w:sz w:val="24"/>
        </w:rPr>
        <w:t xml:space="preserve"> m.</w:t>
      </w:r>
      <w:r w:rsidR="005A36E3">
        <w:rPr>
          <w:sz w:val="24"/>
        </w:rPr>
        <w:t xml:space="preserve"> </w:t>
      </w:r>
      <w:r w:rsidR="00B134F8">
        <w:rPr>
          <w:sz w:val="24"/>
        </w:rPr>
        <w:t>lapkrič</w:t>
      </w:r>
      <w:r w:rsidR="005A36E3">
        <w:rPr>
          <w:sz w:val="24"/>
        </w:rPr>
        <w:t>io</w:t>
      </w:r>
      <w:r w:rsidR="00327123">
        <w:rPr>
          <w:sz w:val="24"/>
        </w:rPr>
        <w:t xml:space="preserve"> </w:t>
      </w:r>
      <w:r w:rsidR="000F6CCB">
        <w:rPr>
          <w:sz w:val="24"/>
        </w:rPr>
        <w:t>23</w:t>
      </w:r>
      <w:r>
        <w:rPr>
          <w:sz w:val="24"/>
        </w:rPr>
        <w:t xml:space="preserve"> </w:t>
      </w:r>
      <w:r w:rsidR="00E32A03" w:rsidRPr="00621815">
        <w:rPr>
          <w:sz w:val="24"/>
        </w:rPr>
        <w:t>d. Nr.</w:t>
      </w:r>
      <w:bookmarkStart w:id="3" w:name="Nr"/>
      <w:r w:rsidR="00E32A03" w:rsidRPr="00621815">
        <w:rPr>
          <w:sz w:val="24"/>
        </w:rPr>
        <w:t xml:space="preserve"> </w:t>
      </w:r>
      <w:r w:rsidR="000F6CCB">
        <w:rPr>
          <w:sz w:val="24"/>
        </w:rPr>
        <w:t>1-3</w:t>
      </w:r>
      <w:r w:rsidR="00D763D1">
        <w:rPr>
          <w:sz w:val="24"/>
        </w:rPr>
        <w:t>54</w:t>
      </w:r>
    </w:p>
    <w:bookmarkEnd w:id="3"/>
    <w:p w14:paraId="1760AF1D" w14:textId="77777777" w:rsidR="00E32A03" w:rsidRPr="00621815" w:rsidRDefault="00E32A03" w:rsidP="000F6CCB">
      <w:pPr>
        <w:jc w:val="center"/>
        <w:rPr>
          <w:b/>
          <w:caps/>
          <w:sz w:val="24"/>
        </w:rPr>
      </w:pPr>
      <w:r w:rsidRPr="00621815">
        <w:rPr>
          <w:sz w:val="24"/>
        </w:rPr>
        <w:t>Panevėžys</w:t>
      </w:r>
    </w:p>
    <w:p w14:paraId="1760AF1E" w14:textId="77777777" w:rsidR="00E32A03" w:rsidRDefault="00E32A03" w:rsidP="000F6CCB">
      <w:pPr>
        <w:jc w:val="center"/>
        <w:rPr>
          <w:sz w:val="24"/>
          <w:szCs w:val="24"/>
        </w:rPr>
      </w:pPr>
    </w:p>
    <w:p w14:paraId="1760AF1F" w14:textId="77777777" w:rsidR="000F6CCB" w:rsidRPr="00621815" w:rsidRDefault="000F6CCB" w:rsidP="000F6CCB">
      <w:pPr>
        <w:jc w:val="center"/>
        <w:rPr>
          <w:sz w:val="24"/>
          <w:szCs w:val="24"/>
        </w:rPr>
      </w:pPr>
    </w:p>
    <w:p w14:paraId="1760AF20" w14:textId="77777777" w:rsidR="00E32A03" w:rsidRPr="009E5CD8" w:rsidRDefault="00E32A03" w:rsidP="000F6CCB">
      <w:pPr>
        <w:spacing w:line="360" w:lineRule="auto"/>
        <w:ind w:firstLine="851"/>
        <w:jc w:val="both"/>
        <w:rPr>
          <w:sz w:val="24"/>
          <w:szCs w:val="24"/>
        </w:rPr>
      </w:pPr>
      <w:r w:rsidRPr="00621815">
        <w:rPr>
          <w:sz w:val="24"/>
          <w:szCs w:val="24"/>
        </w:rPr>
        <w:t>Vadovaudamasi Lietuvos Respublikos vietos savivaldos įstatymo</w:t>
      </w:r>
      <w:r w:rsidR="00497A98">
        <w:rPr>
          <w:sz w:val="24"/>
          <w:szCs w:val="24"/>
        </w:rPr>
        <w:t xml:space="preserve"> 6 straipsnio 31 punktu,</w:t>
      </w:r>
      <w:r w:rsidRPr="00621815">
        <w:rPr>
          <w:sz w:val="24"/>
          <w:szCs w:val="24"/>
        </w:rPr>
        <w:t xml:space="preserve"> </w:t>
      </w:r>
      <w:r w:rsidR="001D598A">
        <w:rPr>
          <w:sz w:val="24"/>
          <w:szCs w:val="24"/>
        </w:rPr>
        <w:t xml:space="preserve">16 straipsnio 2 dalies </w:t>
      </w:r>
      <w:r w:rsidR="000F5149">
        <w:rPr>
          <w:sz w:val="24"/>
          <w:szCs w:val="24"/>
        </w:rPr>
        <w:t>37</w:t>
      </w:r>
      <w:r w:rsidR="001D598A">
        <w:rPr>
          <w:sz w:val="24"/>
          <w:szCs w:val="24"/>
        </w:rPr>
        <w:t xml:space="preserve"> punktu</w:t>
      </w:r>
      <w:r w:rsidR="000F5149">
        <w:rPr>
          <w:sz w:val="24"/>
          <w:szCs w:val="24"/>
        </w:rPr>
        <w:t xml:space="preserve"> ir 18 straipsnio 1 dalimi, </w:t>
      </w:r>
      <w:r w:rsidR="00497A98">
        <w:rPr>
          <w:sz w:val="24"/>
          <w:szCs w:val="24"/>
        </w:rPr>
        <w:t>Lietuvos Respublikos atliekų tvarkymo įstatymo 25 straipsniu, 30</w:t>
      </w:r>
      <w:r w:rsidR="00AE1A1C">
        <w:rPr>
          <w:sz w:val="24"/>
          <w:szCs w:val="24"/>
        </w:rPr>
        <w:t>² straipsnio 3,</w:t>
      </w:r>
      <w:r w:rsidR="00345C12">
        <w:rPr>
          <w:sz w:val="24"/>
          <w:szCs w:val="24"/>
        </w:rPr>
        <w:t xml:space="preserve"> </w:t>
      </w:r>
      <w:r w:rsidR="00AE1A1C">
        <w:rPr>
          <w:sz w:val="24"/>
          <w:szCs w:val="24"/>
        </w:rPr>
        <w:t>4 dalimis</w:t>
      </w:r>
      <w:r w:rsidR="00BF79BF">
        <w:rPr>
          <w:sz w:val="24"/>
          <w:szCs w:val="24"/>
        </w:rPr>
        <w:t>,</w:t>
      </w:r>
      <w:r w:rsidR="00FF198B">
        <w:rPr>
          <w:sz w:val="24"/>
          <w:szCs w:val="24"/>
        </w:rPr>
        <w:t xml:space="preserve"> </w:t>
      </w:r>
      <w:r w:rsidR="00345C12">
        <w:rPr>
          <w:sz w:val="24"/>
          <w:szCs w:val="24"/>
        </w:rPr>
        <w:t xml:space="preserve">Lietuvos Respublikos Vyriausybės 2013 m. liepos 24 d. nutarimo Nr. 711 „Dėl </w:t>
      </w:r>
      <w:r w:rsidR="009A01F0">
        <w:rPr>
          <w:sz w:val="24"/>
          <w:szCs w:val="24"/>
        </w:rPr>
        <w:t>vietinės r</w:t>
      </w:r>
      <w:r w:rsidR="00345C12">
        <w:rPr>
          <w:sz w:val="24"/>
          <w:szCs w:val="24"/>
        </w:rPr>
        <w:t xml:space="preserve">inkliavos ar kitos įmokos už komunalinių atliekų surinkimą iš atliekų turėtojų ir atliekų tvarkymą dydžio nustatymo </w:t>
      </w:r>
      <w:r w:rsidR="009A01F0">
        <w:rPr>
          <w:sz w:val="24"/>
          <w:szCs w:val="24"/>
        </w:rPr>
        <w:t>taisyklių</w:t>
      </w:r>
      <w:r w:rsidR="00345C12">
        <w:rPr>
          <w:sz w:val="24"/>
          <w:szCs w:val="24"/>
        </w:rPr>
        <w:t xml:space="preserve"> patvirtinimo“ </w:t>
      </w:r>
      <w:r w:rsidR="009A01F0">
        <w:rPr>
          <w:sz w:val="24"/>
          <w:szCs w:val="24"/>
        </w:rPr>
        <w:t>18, 20 punktais ir 31.4</w:t>
      </w:r>
      <w:r w:rsidR="00345C12">
        <w:rPr>
          <w:sz w:val="24"/>
          <w:szCs w:val="24"/>
        </w:rPr>
        <w:t xml:space="preserve"> papunkčiu</w:t>
      </w:r>
      <w:r w:rsidRPr="009E5CD8">
        <w:rPr>
          <w:sz w:val="24"/>
          <w:szCs w:val="24"/>
        </w:rPr>
        <w:t xml:space="preserve">, Panevėžio miesto savivaldybės taryba </w:t>
      </w:r>
      <w:r w:rsidR="000F6CCB">
        <w:rPr>
          <w:sz w:val="24"/>
          <w:szCs w:val="24"/>
        </w:rPr>
        <w:t xml:space="preserve"> </w:t>
      </w:r>
      <w:r w:rsidRPr="009E5CD8">
        <w:rPr>
          <w:sz w:val="24"/>
          <w:szCs w:val="24"/>
        </w:rPr>
        <w:t>n u s p r e n d ž i a:</w:t>
      </w:r>
    </w:p>
    <w:p w14:paraId="1760AF21" w14:textId="77777777" w:rsidR="009E48E1" w:rsidRDefault="007205C3" w:rsidP="000F6CCB">
      <w:pPr>
        <w:spacing w:line="360" w:lineRule="auto"/>
        <w:ind w:firstLine="851"/>
        <w:jc w:val="both"/>
        <w:rPr>
          <w:sz w:val="24"/>
          <w:szCs w:val="24"/>
        </w:rPr>
      </w:pPr>
      <w:r w:rsidRPr="009E5CD8">
        <w:rPr>
          <w:sz w:val="24"/>
          <w:szCs w:val="24"/>
        </w:rPr>
        <w:t xml:space="preserve">1. </w:t>
      </w:r>
      <w:r w:rsidR="00F332C2">
        <w:rPr>
          <w:sz w:val="24"/>
          <w:szCs w:val="24"/>
        </w:rPr>
        <w:t>Patvirtinti komunalinių atliekų tvarkymo kainą, susidarymo normas ir</w:t>
      </w:r>
      <w:r w:rsidR="00680912">
        <w:rPr>
          <w:sz w:val="24"/>
          <w:szCs w:val="24"/>
        </w:rPr>
        <w:t xml:space="preserve"> </w:t>
      </w:r>
      <w:r w:rsidR="00F332C2">
        <w:rPr>
          <w:sz w:val="24"/>
          <w:szCs w:val="24"/>
        </w:rPr>
        <w:t>dvinarės įmokos už komunalinių atliekų surinkimą</w:t>
      </w:r>
      <w:r w:rsidR="00130A94">
        <w:rPr>
          <w:sz w:val="24"/>
          <w:szCs w:val="24"/>
        </w:rPr>
        <w:t xml:space="preserve"> iš atliekų turėtojų</w:t>
      </w:r>
      <w:r w:rsidR="00F332C2">
        <w:rPr>
          <w:sz w:val="24"/>
          <w:szCs w:val="24"/>
        </w:rPr>
        <w:t xml:space="preserve"> ir </w:t>
      </w:r>
      <w:r w:rsidR="00130A94">
        <w:rPr>
          <w:sz w:val="24"/>
          <w:szCs w:val="24"/>
        </w:rPr>
        <w:t xml:space="preserve">atliekų </w:t>
      </w:r>
      <w:r w:rsidR="00F332C2">
        <w:rPr>
          <w:sz w:val="24"/>
          <w:szCs w:val="24"/>
        </w:rPr>
        <w:t>tvarkymą dydžius</w:t>
      </w:r>
      <w:r w:rsidR="00231D98">
        <w:rPr>
          <w:sz w:val="24"/>
          <w:szCs w:val="24"/>
        </w:rPr>
        <w:t xml:space="preserve"> (pridedama).</w:t>
      </w:r>
    </w:p>
    <w:p w14:paraId="1760AF22" w14:textId="77777777" w:rsidR="00231D98" w:rsidRDefault="00231D98" w:rsidP="000F6CC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Pripažinti netekusiu galios Panevėžio miesto savivaldybės tarybos 201</w:t>
      </w:r>
      <w:r w:rsidR="00B134F8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B134F8">
        <w:rPr>
          <w:sz w:val="24"/>
          <w:szCs w:val="24"/>
        </w:rPr>
        <w:t>gruodž</w:t>
      </w:r>
      <w:r>
        <w:rPr>
          <w:sz w:val="24"/>
          <w:szCs w:val="24"/>
        </w:rPr>
        <w:t xml:space="preserve">io </w:t>
      </w:r>
      <w:r w:rsidR="00B134F8">
        <w:rPr>
          <w:sz w:val="24"/>
          <w:szCs w:val="24"/>
        </w:rPr>
        <w:t>29</w:t>
      </w:r>
      <w:r>
        <w:rPr>
          <w:sz w:val="24"/>
          <w:szCs w:val="24"/>
        </w:rPr>
        <w:t xml:space="preserve"> d. sprendimą Nr. 1-</w:t>
      </w:r>
      <w:r w:rsidR="00B134F8">
        <w:rPr>
          <w:sz w:val="24"/>
          <w:szCs w:val="24"/>
        </w:rPr>
        <w:t>426</w:t>
      </w:r>
      <w:r>
        <w:rPr>
          <w:sz w:val="24"/>
          <w:szCs w:val="24"/>
        </w:rPr>
        <w:t xml:space="preserve"> „Dėl komunalinių atliekų </w:t>
      </w:r>
      <w:r w:rsidR="00B134F8">
        <w:rPr>
          <w:sz w:val="24"/>
          <w:szCs w:val="24"/>
        </w:rPr>
        <w:t>tvarkymo kainos, susidarymo normos ir dvinarės įmokos už komunalinių atliekų surinkimą iš atliekų turėtojų ir atliekų tvarkymą dydžių patvirtinimo</w:t>
      </w:r>
      <w:r>
        <w:rPr>
          <w:sz w:val="24"/>
          <w:szCs w:val="24"/>
        </w:rPr>
        <w:t xml:space="preserve">, </w:t>
      </w:r>
      <w:r w:rsidR="00162134">
        <w:rPr>
          <w:sz w:val="24"/>
          <w:szCs w:val="24"/>
        </w:rPr>
        <w:t>S</w:t>
      </w:r>
      <w:r>
        <w:rPr>
          <w:sz w:val="24"/>
          <w:szCs w:val="24"/>
        </w:rPr>
        <w:t>avivaldybės tarybos 20</w:t>
      </w:r>
      <w:r w:rsidR="00B134F8">
        <w:rPr>
          <w:sz w:val="24"/>
          <w:szCs w:val="24"/>
        </w:rPr>
        <w:t>14</w:t>
      </w:r>
      <w:r>
        <w:rPr>
          <w:sz w:val="24"/>
          <w:szCs w:val="24"/>
        </w:rPr>
        <w:t xml:space="preserve"> m. </w:t>
      </w:r>
      <w:r w:rsidR="00B134F8">
        <w:rPr>
          <w:sz w:val="24"/>
          <w:szCs w:val="24"/>
        </w:rPr>
        <w:t>sausio 30</w:t>
      </w:r>
      <w:r>
        <w:rPr>
          <w:sz w:val="24"/>
          <w:szCs w:val="24"/>
        </w:rPr>
        <w:t xml:space="preserve"> d. sprendimo Nr. 1-</w:t>
      </w:r>
      <w:r w:rsidR="00B134F8">
        <w:rPr>
          <w:sz w:val="24"/>
          <w:szCs w:val="24"/>
        </w:rPr>
        <w:t xml:space="preserve">1 </w:t>
      </w:r>
      <w:r w:rsidR="00B134F8" w:rsidRPr="009E4B16">
        <w:rPr>
          <w:sz w:val="24"/>
          <w:szCs w:val="24"/>
        </w:rPr>
        <w:t>(su vėlesniu pakeitimu)</w:t>
      </w:r>
      <w:r>
        <w:rPr>
          <w:sz w:val="24"/>
          <w:szCs w:val="24"/>
        </w:rPr>
        <w:t xml:space="preserve"> pripažinimo netekusiu galios“</w:t>
      </w:r>
      <w:r w:rsidR="00B134F8">
        <w:rPr>
          <w:sz w:val="24"/>
          <w:szCs w:val="24"/>
        </w:rPr>
        <w:t>.</w:t>
      </w:r>
      <w:r w:rsidR="009E4B16">
        <w:rPr>
          <w:sz w:val="24"/>
          <w:szCs w:val="24"/>
        </w:rPr>
        <w:t xml:space="preserve"> </w:t>
      </w:r>
    </w:p>
    <w:p w14:paraId="1760AF23" w14:textId="77777777" w:rsidR="00231D98" w:rsidRPr="009E5CD8" w:rsidRDefault="00231D98" w:rsidP="000F6CC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Nustatyti, kad šis sprendimas įsigalioja 201</w:t>
      </w:r>
      <w:r w:rsidR="00B134F8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2076E2">
        <w:rPr>
          <w:sz w:val="24"/>
          <w:szCs w:val="24"/>
        </w:rPr>
        <w:t>saus</w:t>
      </w:r>
      <w:r>
        <w:rPr>
          <w:sz w:val="24"/>
          <w:szCs w:val="24"/>
        </w:rPr>
        <w:t>io 1 d.</w:t>
      </w:r>
    </w:p>
    <w:p w14:paraId="1760AF24" w14:textId="77777777" w:rsidR="005012BE" w:rsidRDefault="005012BE" w:rsidP="000F6CCB">
      <w:pPr>
        <w:tabs>
          <w:tab w:val="left" w:pos="6804"/>
        </w:tabs>
        <w:jc w:val="both"/>
        <w:rPr>
          <w:sz w:val="24"/>
          <w:szCs w:val="24"/>
        </w:rPr>
      </w:pPr>
    </w:p>
    <w:p w14:paraId="1760AF25" w14:textId="77777777" w:rsidR="000F6CCB" w:rsidRDefault="000F6CCB" w:rsidP="000F6CCB">
      <w:pPr>
        <w:tabs>
          <w:tab w:val="left" w:pos="6804"/>
        </w:tabs>
        <w:jc w:val="both"/>
        <w:rPr>
          <w:sz w:val="24"/>
          <w:szCs w:val="24"/>
        </w:rPr>
      </w:pPr>
    </w:p>
    <w:p w14:paraId="1760AF26" w14:textId="77777777" w:rsidR="000F6CCB" w:rsidRDefault="000F6CCB" w:rsidP="000F6CCB">
      <w:pPr>
        <w:tabs>
          <w:tab w:val="left" w:pos="6804"/>
        </w:tabs>
        <w:jc w:val="both"/>
      </w:pPr>
    </w:p>
    <w:p w14:paraId="1760AF27" w14:textId="77777777" w:rsidR="005012BE" w:rsidRPr="005A36E3" w:rsidRDefault="005012BE" w:rsidP="000F6CCB">
      <w:pPr>
        <w:tabs>
          <w:tab w:val="left" w:pos="6804"/>
        </w:tabs>
        <w:jc w:val="both"/>
        <w:rPr>
          <w:sz w:val="24"/>
          <w:szCs w:val="24"/>
        </w:rPr>
      </w:pPr>
      <w:r w:rsidRPr="005A36E3">
        <w:rPr>
          <w:sz w:val="24"/>
          <w:szCs w:val="24"/>
        </w:rPr>
        <w:t>Savivaldybės meras</w:t>
      </w:r>
      <w:r w:rsidR="000F6CCB">
        <w:rPr>
          <w:sz w:val="24"/>
          <w:szCs w:val="24"/>
        </w:rPr>
        <w:tab/>
      </w:r>
      <w:r w:rsidR="005A36E3">
        <w:rPr>
          <w:sz w:val="24"/>
          <w:szCs w:val="24"/>
        </w:rPr>
        <w:t>Rytis Mykolas Račkauskas</w:t>
      </w:r>
    </w:p>
    <w:p w14:paraId="1760AF28" w14:textId="77777777" w:rsidR="000F6CCB" w:rsidRDefault="000F6CC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60AF29" w14:textId="77777777" w:rsidR="00CA4A3D" w:rsidRDefault="00CA4A3D" w:rsidP="005E4EA7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14:paraId="1760AF2A" w14:textId="77777777" w:rsidR="00CA4A3D" w:rsidRDefault="00CA4A3D" w:rsidP="005E4EA7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1760AF2B" w14:textId="77777777" w:rsidR="00CA4A3D" w:rsidRDefault="00CA4A3D" w:rsidP="005E4EA7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E06C4A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E06C4A">
        <w:rPr>
          <w:sz w:val="24"/>
          <w:szCs w:val="24"/>
        </w:rPr>
        <w:t>lapkrič</w:t>
      </w:r>
      <w:r>
        <w:rPr>
          <w:sz w:val="24"/>
          <w:szCs w:val="24"/>
        </w:rPr>
        <w:t xml:space="preserve">io </w:t>
      </w:r>
      <w:r w:rsidR="00A26C33">
        <w:rPr>
          <w:sz w:val="24"/>
          <w:szCs w:val="24"/>
        </w:rPr>
        <w:t>23</w:t>
      </w:r>
      <w:r w:rsidR="00130A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 sprendimu Nr. </w:t>
      </w:r>
      <w:r w:rsidR="00A26C33">
        <w:rPr>
          <w:sz w:val="24"/>
          <w:szCs w:val="24"/>
        </w:rPr>
        <w:t>1-</w:t>
      </w:r>
      <w:r w:rsidR="00D763D1">
        <w:rPr>
          <w:sz w:val="24"/>
          <w:szCs w:val="24"/>
        </w:rPr>
        <w:t>354</w:t>
      </w:r>
    </w:p>
    <w:p w14:paraId="1760AF2C" w14:textId="77777777" w:rsidR="00CA4A3D" w:rsidRDefault="00CA4A3D" w:rsidP="00A26C33">
      <w:pPr>
        <w:jc w:val="center"/>
      </w:pPr>
    </w:p>
    <w:p w14:paraId="1760AF2D" w14:textId="77777777" w:rsidR="00CA4A3D" w:rsidRPr="00BF2FC0" w:rsidRDefault="00CA4A3D" w:rsidP="00A26C33">
      <w:pPr>
        <w:jc w:val="center"/>
        <w:rPr>
          <w:sz w:val="24"/>
          <w:szCs w:val="24"/>
        </w:rPr>
      </w:pPr>
      <w:r w:rsidRPr="00BF2FC0">
        <w:rPr>
          <w:b/>
          <w:caps/>
          <w:sz w:val="24"/>
          <w:lang w:eastAsia="lt-LT"/>
        </w:rPr>
        <w:t>KOMUNALINIŲ ATLIEKŲ TVARKYMO KAINA</w:t>
      </w:r>
      <w:r>
        <w:rPr>
          <w:b/>
          <w:caps/>
          <w:sz w:val="24"/>
          <w:lang w:eastAsia="lt-LT"/>
        </w:rPr>
        <w:t>, SUSIDARYMO NORM</w:t>
      </w:r>
      <w:r w:rsidR="008B1AEC">
        <w:rPr>
          <w:b/>
          <w:caps/>
          <w:sz w:val="24"/>
          <w:lang w:eastAsia="lt-LT"/>
        </w:rPr>
        <w:t>OS</w:t>
      </w:r>
      <w:r w:rsidRPr="00BF2FC0">
        <w:rPr>
          <w:b/>
          <w:caps/>
          <w:sz w:val="24"/>
          <w:lang w:eastAsia="lt-LT"/>
        </w:rPr>
        <w:t xml:space="preserve"> IR DVINARĖS ĮMOKOS UŽ KOMUNALINIŲ ATLIEKŲ SURINKIMĄ</w:t>
      </w:r>
      <w:r w:rsidR="00130A94">
        <w:rPr>
          <w:b/>
          <w:caps/>
          <w:sz w:val="24"/>
          <w:lang w:eastAsia="lt-LT"/>
        </w:rPr>
        <w:t xml:space="preserve"> IŠ ATLIEKŲ TURĖTOJŲ</w:t>
      </w:r>
      <w:r w:rsidRPr="00BF2FC0">
        <w:rPr>
          <w:b/>
          <w:caps/>
          <w:sz w:val="24"/>
          <w:lang w:eastAsia="lt-LT"/>
        </w:rPr>
        <w:t xml:space="preserve"> IR</w:t>
      </w:r>
      <w:r w:rsidR="00130A94">
        <w:rPr>
          <w:b/>
          <w:caps/>
          <w:sz w:val="24"/>
          <w:lang w:eastAsia="lt-LT"/>
        </w:rPr>
        <w:t xml:space="preserve"> ATLIEKŲ </w:t>
      </w:r>
      <w:r w:rsidRPr="00BF2FC0">
        <w:rPr>
          <w:b/>
          <w:caps/>
          <w:sz w:val="24"/>
          <w:lang w:eastAsia="lt-LT"/>
        </w:rPr>
        <w:t>TVARKYMĄ DYDŽIAI</w:t>
      </w:r>
    </w:p>
    <w:p w14:paraId="1760AF2E" w14:textId="77777777" w:rsidR="00CA4A3D" w:rsidRPr="00BF2FC0" w:rsidRDefault="00CA4A3D" w:rsidP="00A26C33">
      <w:pPr>
        <w:jc w:val="center"/>
        <w:rPr>
          <w:sz w:val="24"/>
          <w:szCs w:val="24"/>
        </w:rPr>
      </w:pPr>
    </w:p>
    <w:p w14:paraId="1760AF2F" w14:textId="77777777" w:rsidR="00CA4A3D" w:rsidRPr="00A26C33" w:rsidRDefault="00A26C33" w:rsidP="00A26C33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="00FF7958" w:rsidRPr="00A26C33">
        <w:rPr>
          <w:b/>
          <w:bCs/>
          <w:sz w:val="24"/>
          <w:szCs w:val="24"/>
          <w:lang w:eastAsia="lt-LT"/>
        </w:rPr>
        <w:t xml:space="preserve">KOMUNALINIŲ ATLIEKŲ TVARKYMO KAINA </w:t>
      </w:r>
      <w:r w:rsidR="007319A9" w:rsidRPr="00A26C33">
        <w:rPr>
          <w:b/>
          <w:bCs/>
          <w:sz w:val="24"/>
          <w:szCs w:val="24"/>
          <w:lang w:eastAsia="lt-LT"/>
        </w:rPr>
        <w:t>(</w:t>
      </w:r>
      <w:r w:rsidR="00FF7958" w:rsidRPr="00A26C33">
        <w:rPr>
          <w:b/>
          <w:bCs/>
          <w:sz w:val="24"/>
          <w:szCs w:val="24"/>
          <w:lang w:eastAsia="lt-LT"/>
        </w:rPr>
        <w:t xml:space="preserve">EUR BE </w:t>
      </w:r>
      <w:r w:rsidR="007319A9" w:rsidRPr="00A26C33">
        <w:rPr>
          <w:b/>
          <w:bCs/>
          <w:sz w:val="24"/>
          <w:szCs w:val="24"/>
          <w:lang w:eastAsia="lt-LT"/>
        </w:rPr>
        <w:t>PVM)</w:t>
      </w:r>
    </w:p>
    <w:p w14:paraId="1760AF30" w14:textId="77777777" w:rsidR="00394EF2" w:rsidRPr="00A26C33" w:rsidRDefault="00394EF2" w:rsidP="00A26C33">
      <w:pPr>
        <w:jc w:val="center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275"/>
        <w:gridCol w:w="843"/>
        <w:gridCol w:w="1001"/>
        <w:gridCol w:w="1134"/>
      </w:tblGrid>
      <w:tr w:rsidR="0062792D" w14:paraId="1760AF34" w14:textId="77777777" w:rsidTr="00DD0EEB">
        <w:trPr>
          <w:trHeight w:val="146"/>
        </w:trPr>
        <w:tc>
          <w:tcPr>
            <w:tcW w:w="5245" w:type="dxa"/>
            <w:vAlign w:val="center"/>
          </w:tcPr>
          <w:p w14:paraId="1760AF31" w14:textId="77777777" w:rsidR="0062792D" w:rsidRDefault="0062792D" w:rsidP="00DD0EEB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Atliekų turėtojų grupė</w:t>
            </w:r>
          </w:p>
        </w:tc>
        <w:tc>
          <w:tcPr>
            <w:tcW w:w="2118" w:type="dxa"/>
            <w:gridSpan w:val="2"/>
            <w:tcBorders>
              <w:bottom w:val="single" w:sz="4" w:space="0" w:color="auto"/>
            </w:tcBorders>
          </w:tcPr>
          <w:p w14:paraId="1760AF32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 tūrinis svoris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  <w:vAlign w:val="center"/>
          </w:tcPr>
          <w:p w14:paraId="1760AF33" w14:textId="77777777" w:rsidR="0062792D" w:rsidRDefault="0062792D" w:rsidP="00DD0EEB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 tvarkymo kaina</w:t>
            </w:r>
          </w:p>
        </w:tc>
      </w:tr>
      <w:tr w:rsidR="0062792D" w14:paraId="1760AF3A" w14:textId="77777777" w:rsidTr="00DD0EEB">
        <w:trPr>
          <w:trHeight w:val="146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35" w14:textId="77777777" w:rsidR="0062792D" w:rsidRDefault="0062792D" w:rsidP="00DD0EEB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Individualių namų gyventojai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36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219,67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37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38" w14:textId="77777777" w:rsidR="0062792D" w:rsidRDefault="0062792D" w:rsidP="00DD0EEB">
            <w:pPr>
              <w:ind w:right="-40"/>
              <w:jc w:val="right"/>
              <w:rPr>
                <w:bCs/>
                <w:sz w:val="20"/>
                <w:lang w:eastAsia="lt-LT"/>
              </w:rPr>
            </w:pPr>
            <w:r>
              <w:rPr>
                <w:sz w:val="20"/>
              </w:rPr>
              <w:t>27,63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39" w14:textId="77777777" w:rsidR="0062792D" w:rsidRDefault="0062792D" w:rsidP="00DD0EE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40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3B" w14:textId="77777777" w:rsidR="0062792D" w:rsidRDefault="0062792D" w:rsidP="00DD0EEB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Daugiabučių namų butų gyventojai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3C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107,52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3D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3E" w14:textId="77777777" w:rsidR="0062792D" w:rsidRDefault="0062792D" w:rsidP="00DD0EEB">
            <w:pPr>
              <w:ind w:right="-40"/>
              <w:jc w:val="right"/>
              <w:rPr>
                <w:bCs/>
                <w:sz w:val="20"/>
                <w:lang w:eastAsia="lt-LT"/>
              </w:rPr>
            </w:pPr>
            <w:r>
              <w:rPr>
                <w:sz w:val="20"/>
              </w:rPr>
              <w:t>13,52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3F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46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41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Viešbučių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42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112,51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43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44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45" w14:textId="77777777" w:rsidR="0062792D" w:rsidRDefault="0062792D" w:rsidP="00DD0EE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4C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47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Administracinės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48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73,61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49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4A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4B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  <w:r>
              <w:rPr>
                <w:sz w:val="20"/>
                <w:lang w:eastAsia="lt-LT"/>
              </w:rPr>
              <w:t xml:space="preserve"> </w:t>
            </w:r>
          </w:p>
        </w:tc>
      </w:tr>
      <w:tr w:rsidR="0062792D" w14:paraId="1760AF52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4D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Prekybos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4E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78,68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4F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50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51" w14:textId="77777777" w:rsidR="0062792D" w:rsidRDefault="0062792D" w:rsidP="00DD0EE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58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53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Paslaugų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54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62,76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55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56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57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  <w:r>
              <w:rPr>
                <w:sz w:val="20"/>
                <w:lang w:eastAsia="lt-LT"/>
              </w:rPr>
              <w:t xml:space="preserve"> </w:t>
            </w:r>
          </w:p>
        </w:tc>
      </w:tr>
      <w:tr w:rsidR="0062792D" w14:paraId="1760AF5E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59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Maitinimo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5A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103,66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5B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5C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5D" w14:textId="77777777" w:rsidR="0062792D" w:rsidRDefault="0062792D" w:rsidP="00DD0EE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64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5F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Transporto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60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105,06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61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62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63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6A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65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Garažų paskirties objektai (fizinių asmenų, garažų bendrijos)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66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155,18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67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68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69" w14:textId="77777777" w:rsidR="0062792D" w:rsidRDefault="0062792D" w:rsidP="00DD0EE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70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6B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Gamybos, pramonės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6C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78,05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6D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6E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6F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76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71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Sandėliavimo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72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73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74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6,41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75" w14:textId="77777777" w:rsidR="0062792D" w:rsidRDefault="0062792D" w:rsidP="00DD0EE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7C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77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Kultūros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78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70,58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79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7A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7B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82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7D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Mokslo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7E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102,20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7F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80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81" w14:textId="77777777" w:rsidR="0062792D" w:rsidRDefault="0062792D" w:rsidP="00DD0EE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88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83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Gydymo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84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89,82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85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86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87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8E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89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Poilsio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8A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82,20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8B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8C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8D" w14:textId="77777777" w:rsidR="0062792D" w:rsidRDefault="0062792D" w:rsidP="00DD0EE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94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8F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Sporto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90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77,94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91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92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93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9A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95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Religinės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96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101,51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97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98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99" w14:textId="77777777" w:rsidR="0062792D" w:rsidRDefault="0062792D" w:rsidP="00DD0EE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A0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9B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Specialiosios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9C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71,73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9D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9E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9F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A6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A1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Sodų paskirties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A2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168,92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A3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A4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A5" w14:textId="77777777" w:rsidR="0062792D" w:rsidRDefault="0062792D" w:rsidP="00DD0EE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62792D" w14:paraId="1760AFAC" w14:textId="77777777" w:rsidTr="00DD0EE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760AFA7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Kiti objektai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A8" w14:textId="77777777" w:rsidR="0062792D" w:rsidRDefault="0062792D" w:rsidP="00DD0E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54,38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A9" w14:textId="77777777" w:rsidR="0062792D" w:rsidRDefault="0062792D" w:rsidP="00DD0EE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AA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6,84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AB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1760AFAD" w14:textId="77777777" w:rsidR="0062792D" w:rsidRPr="00A26C33" w:rsidRDefault="0062792D" w:rsidP="00A26C33">
      <w:pPr>
        <w:jc w:val="center"/>
        <w:rPr>
          <w:sz w:val="24"/>
          <w:szCs w:val="24"/>
        </w:rPr>
      </w:pPr>
    </w:p>
    <w:p w14:paraId="1760AFAE" w14:textId="77777777" w:rsidR="0062792D" w:rsidRPr="00A26C33" w:rsidRDefault="00A26C33" w:rsidP="00A26C33">
      <w:pPr>
        <w:jc w:val="center"/>
        <w:rPr>
          <w:b/>
          <w:bCs/>
          <w:sz w:val="24"/>
          <w:szCs w:val="24"/>
          <w:lang w:eastAsia="lt-LT"/>
        </w:rPr>
      </w:pPr>
      <w:r w:rsidRPr="00A26C33">
        <w:rPr>
          <w:b/>
          <w:bCs/>
          <w:sz w:val="24"/>
          <w:szCs w:val="24"/>
          <w:lang w:eastAsia="lt-LT"/>
        </w:rPr>
        <w:t xml:space="preserve">2. </w:t>
      </w:r>
      <w:r w:rsidR="0062792D" w:rsidRPr="00A26C33">
        <w:rPr>
          <w:b/>
          <w:bCs/>
          <w:sz w:val="24"/>
          <w:szCs w:val="24"/>
          <w:lang w:eastAsia="lt-LT"/>
        </w:rPr>
        <w:t>KOMUNALINIŲ ATLIEKŲ SUSIDARYMO NORMOS</w:t>
      </w:r>
    </w:p>
    <w:p w14:paraId="1760AFAF" w14:textId="77777777" w:rsidR="0062792D" w:rsidRPr="00A26C33" w:rsidRDefault="0062792D" w:rsidP="00A26C33">
      <w:pPr>
        <w:jc w:val="center"/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2410"/>
      </w:tblGrid>
      <w:tr w:rsidR="0062792D" w14:paraId="1760AFB2" w14:textId="77777777" w:rsidTr="00DD0EEB">
        <w:trPr>
          <w:trHeight w:val="146"/>
        </w:trPr>
        <w:tc>
          <w:tcPr>
            <w:tcW w:w="5529" w:type="dxa"/>
            <w:vAlign w:val="center"/>
          </w:tcPr>
          <w:p w14:paraId="1760AFB0" w14:textId="77777777" w:rsidR="0062792D" w:rsidRDefault="0062792D" w:rsidP="00DD0EEB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Atliekų turėtojų grupė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1760AFB1" w14:textId="77777777" w:rsidR="0062792D" w:rsidRDefault="0062792D" w:rsidP="00DD0EEB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 susidarymo norma</w:t>
            </w:r>
          </w:p>
        </w:tc>
      </w:tr>
      <w:tr w:rsidR="0062792D" w14:paraId="1760AFB6" w14:textId="77777777" w:rsidTr="00DD0EEB">
        <w:trPr>
          <w:trHeight w:val="146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B3" w14:textId="77777777" w:rsidR="0062792D" w:rsidRDefault="0062792D" w:rsidP="00DD0EEB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Individualių namų gyventojai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B4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B5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 gyvent. / metus</w:t>
            </w:r>
          </w:p>
        </w:tc>
      </w:tr>
      <w:tr w:rsidR="0062792D" w14:paraId="1760AFBA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B7" w14:textId="77777777" w:rsidR="0062792D" w:rsidRDefault="0062792D" w:rsidP="00DD0EEB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Daugiabučių namų butų gyventojai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B8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2,230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B9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 gyvent. / metus</w:t>
            </w:r>
          </w:p>
        </w:tc>
      </w:tr>
      <w:tr w:rsidR="0062792D" w14:paraId="1760AFBE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BB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Viešbučių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BC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BD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C2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BF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Administracinės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C0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C1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C6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C3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Prekybos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C4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C5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CA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C7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Paslaugų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C8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C9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CE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CB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Maitinimo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CC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CD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/metus</w:t>
            </w:r>
          </w:p>
        </w:tc>
      </w:tr>
      <w:tr w:rsidR="0062792D" w14:paraId="1760AFD2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CF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Transporto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D0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D1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/metus</w:t>
            </w:r>
          </w:p>
        </w:tc>
      </w:tr>
      <w:tr w:rsidR="0062792D" w14:paraId="1760AFD6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D3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Garažų paskirties objektai (fizinių asmenų, garažų bendrijos)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D4" w14:textId="77777777" w:rsidR="0062792D" w:rsidRDefault="0062792D" w:rsidP="00DD0EEB">
            <w:pPr>
              <w:jc w:val="right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0,210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D5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 turto vnt. / metus</w:t>
            </w:r>
          </w:p>
        </w:tc>
      </w:tr>
      <w:tr w:rsidR="0062792D" w14:paraId="1760AFDA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D7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Gamybos, pramonės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D8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D9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DE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DB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Sandėliavimo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DC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DD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E2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DF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Kultūros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E0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E1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E6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E3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Mokslo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E4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E5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EA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E7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Gydymo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E8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E9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EE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EB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Poilsio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EC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ED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F2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EF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Sporto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F0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F1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F6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F3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Religinės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F4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F5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FA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F7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Specialiosios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F8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F9" w14:textId="77777777" w:rsidR="0062792D" w:rsidRDefault="0062792D" w:rsidP="00DD0EE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  <w:tr w:rsidR="0062792D" w14:paraId="1760AFFE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FB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Sodų paskirties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AFFC" w14:textId="77777777" w:rsidR="0062792D" w:rsidRDefault="0062792D" w:rsidP="00DD0EEB">
            <w:pPr>
              <w:jc w:val="right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0,320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AFFD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 turto vnt. / metus</w:t>
            </w:r>
          </w:p>
        </w:tc>
      </w:tr>
      <w:tr w:rsidR="0062792D" w14:paraId="1760B002" w14:textId="77777777" w:rsidTr="00DD0EEB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760AFFF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Kiti objektai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B000" w14:textId="77777777" w:rsidR="0062792D" w:rsidRDefault="0062792D" w:rsidP="00DD0EEB">
            <w:pPr>
              <w:jc w:val="right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0,117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01" w14:textId="77777777" w:rsidR="0062792D" w:rsidRDefault="0062792D" w:rsidP="00DD0EEB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>
              <w:rPr>
                <w:sz w:val="20"/>
                <w:vertAlign w:val="superscript"/>
                <w:lang w:eastAsia="lt-LT"/>
              </w:rPr>
              <w:t xml:space="preserve">3 </w:t>
            </w:r>
            <w:r>
              <w:rPr>
                <w:sz w:val="20"/>
                <w:lang w:eastAsia="lt-LT"/>
              </w:rPr>
              <w:t>/ m</w:t>
            </w:r>
            <w:r>
              <w:rPr>
                <w:sz w:val="20"/>
                <w:vertAlign w:val="superscript"/>
                <w:lang w:eastAsia="lt-LT"/>
              </w:rPr>
              <w:t>2</w:t>
            </w:r>
            <w:r>
              <w:rPr>
                <w:sz w:val="20"/>
                <w:lang w:eastAsia="lt-LT"/>
              </w:rPr>
              <w:t xml:space="preserve"> / metus</w:t>
            </w:r>
          </w:p>
        </w:tc>
      </w:tr>
    </w:tbl>
    <w:p w14:paraId="1760B003" w14:textId="77777777" w:rsidR="0062792D" w:rsidRPr="00A26C33" w:rsidRDefault="0062792D" w:rsidP="00A26C33">
      <w:pPr>
        <w:jc w:val="center"/>
        <w:rPr>
          <w:sz w:val="24"/>
          <w:szCs w:val="24"/>
        </w:rPr>
      </w:pPr>
    </w:p>
    <w:p w14:paraId="1760B004" w14:textId="77777777" w:rsidR="0062792D" w:rsidRPr="00A26C33" w:rsidRDefault="00A26C33" w:rsidP="00A26C33">
      <w:pPr>
        <w:jc w:val="center"/>
        <w:rPr>
          <w:b/>
          <w:bCs/>
          <w:sz w:val="24"/>
          <w:szCs w:val="24"/>
          <w:lang w:eastAsia="lt-LT"/>
        </w:rPr>
      </w:pPr>
      <w:r w:rsidRPr="00A26C33">
        <w:rPr>
          <w:b/>
          <w:bCs/>
          <w:sz w:val="24"/>
          <w:szCs w:val="24"/>
          <w:lang w:eastAsia="lt-LT"/>
        </w:rPr>
        <w:t xml:space="preserve">3. </w:t>
      </w:r>
      <w:r w:rsidR="0062792D" w:rsidRPr="00A26C33">
        <w:rPr>
          <w:b/>
          <w:bCs/>
          <w:sz w:val="24"/>
          <w:szCs w:val="24"/>
          <w:lang w:eastAsia="lt-LT"/>
        </w:rPr>
        <w:t>DVINARĖS ĮMOKOS UŽ KOMUNALINIŲ ATLIEKŲ SURINKIMĄ</w:t>
      </w:r>
      <w:r w:rsidR="0062792D" w:rsidRPr="00A26C33">
        <w:rPr>
          <w:b/>
          <w:caps/>
          <w:sz w:val="24"/>
          <w:szCs w:val="24"/>
          <w:lang w:eastAsia="lt-LT"/>
        </w:rPr>
        <w:t xml:space="preserve"> IŠ ATLIEKŲ TURĖTOJŲ</w:t>
      </w:r>
      <w:r w:rsidR="0062792D" w:rsidRPr="00A26C33">
        <w:rPr>
          <w:b/>
          <w:bCs/>
          <w:sz w:val="24"/>
          <w:szCs w:val="24"/>
          <w:lang w:eastAsia="lt-LT"/>
        </w:rPr>
        <w:t xml:space="preserve"> IR </w:t>
      </w:r>
      <w:r w:rsidR="0062792D" w:rsidRPr="00A26C33">
        <w:rPr>
          <w:b/>
          <w:caps/>
          <w:sz w:val="24"/>
          <w:szCs w:val="24"/>
          <w:lang w:eastAsia="lt-LT"/>
        </w:rPr>
        <w:t>ATLIEKŲ</w:t>
      </w:r>
      <w:r w:rsidR="0062792D" w:rsidRPr="00A26C33">
        <w:rPr>
          <w:b/>
          <w:bCs/>
          <w:sz w:val="24"/>
          <w:szCs w:val="24"/>
          <w:lang w:eastAsia="lt-LT"/>
        </w:rPr>
        <w:t xml:space="preserve"> TVARKYMĄ DYDŽIAI (EUR BE PVM)</w:t>
      </w:r>
    </w:p>
    <w:p w14:paraId="1760B005" w14:textId="77777777" w:rsidR="0062792D" w:rsidRPr="00A26C33" w:rsidRDefault="0062792D" w:rsidP="00A26C33">
      <w:pPr>
        <w:jc w:val="center"/>
        <w:rPr>
          <w:sz w:val="24"/>
          <w:szCs w:val="24"/>
        </w:rPr>
      </w:pPr>
    </w:p>
    <w:p w14:paraId="1760B006" w14:textId="77777777" w:rsidR="0062792D" w:rsidRDefault="0062792D" w:rsidP="0062792D">
      <w:pPr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>Nekilnojamojo turto objektai, kurie naudojasi kolektyviniais konteineriais</w:t>
      </w:r>
    </w:p>
    <w:tbl>
      <w:tblPr>
        <w:tblW w:w="9432" w:type="dxa"/>
        <w:tblInd w:w="108" w:type="dxa"/>
        <w:tblLook w:val="04A0" w:firstRow="1" w:lastRow="0" w:firstColumn="1" w:lastColumn="0" w:noHBand="0" w:noVBand="1"/>
      </w:tblPr>
      <w:tblGrid>
        <w:gridCol w:w="3969"/>
        <w:gridCol w:w="566"/>
        <w:gridCol w:w="2125"/>
        <w:gridCol w:w="756"/>
        <w:gridCol w:w="2016"/>
      </w:tblGrid>
      <w:tr w:rsidR="0062792D" w14:paraId="1760B00A" w14:textId="77777777" w:rsidTr="00DD0EEB">
        <w:trPr>
          <w:cantSplit/>
          <w:trHeight w:val="27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0B007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Nekilnojamojo turto objektų kategorijos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760B008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DVĮ pastovioji dedamoji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760B009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DVĮ kintamoji dedamoji  </w:t>
            </w:r>
          </w:p>
        </w:tc>
      </w:tr>
      <w:tr w:rsidR="0062792D" w14:paraId="1760B00E" w14:textId="77777777" w:rsidTr="00DD0EEB">
        <w:trPr>
          <w:cantSplit/>
          <w:trHeight w:val="270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0B00B" w14:textId="77777777" w:rsidR="0062792D" w:rsidRDefault="0062792D" w:rsidP="00DD0EEB">
            <w:pPr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60B00C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60B00D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</w:tr>
      <w:tr w:rsidR="0062792D" w14:paraId="1760B015" w14:textId="77777777" w:rsidTr="00DD0EEB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0F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Gyvenamosios paskirties objektai </w:t>
            </w:r>
          </w:p>
          <w:p w14:paraId="1760B010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(individualūs namai)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0B011" w14:textId="77777777" w:rsidR="0062792D" w:rsidRDefault="0062792D" w:rsidP="00DD0EEB">
            <w:pPr>
              <w:tabs>
                <w:tab w:val="left" w:pos="63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2,47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12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0B013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1,38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14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gyvent. / mėn.</w:t>
            </w:r>
          </w:p>
        </w:tc>
      </w:tr>
      <w:tr w:rsidR="0062792D" w14:paraId="1760B01C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16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Gyvenamosios paskirties objektai</w:t>
            </w:r>
          </w:p>
          <w:p w14:paraId="1760B017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(butai)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0B018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19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0B01A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1B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gyvent. / mėn.</w:t>
            </w:r>
          </w:p>
        </w:tc>
      </w:tr>
      <w:tr w:rsidR="0062792D" w14:paraId="1760B022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B01D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Viešbučių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1E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1F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20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2,89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21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28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B023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Administracinės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24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25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26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27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2E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B029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Prekybos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2A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2B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2C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2D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34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B02F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Paslaugų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30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31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32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33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3A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B035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Maitinimo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36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37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38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9,52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39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40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B03B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Transporto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3C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3D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3E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3F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47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041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Garažų paskirties objektai </w:t>
            </w:r>
          </w:p>
          <w:p w14:paraId="1760B042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(fizinių asmenų garažų bendrijos)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0B043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44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45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46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</w:tr>
      <w:tr w:rsidR="0062792D" w14:paraId="1760B04D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B048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 xml:space="preserve">Gamybos, pramonės paskirties objektai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49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4A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B04B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4C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53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B04E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Sandėliavimo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4F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50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B051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52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59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B054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Kultūros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55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56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B057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58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5F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B05A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Mokslo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5B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5C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B05D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5E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65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B060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Gydymo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61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62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B063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64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6B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B066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Poilsio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67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68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B069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6A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71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B06C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Sporto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6D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6E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B06F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70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77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B072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Religinės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73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74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B075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76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7D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B078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Specialiosios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0B079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7A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B07B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07C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62792D" w14:paraId="1760B083" w14:textId="77777777" w:rsidTr="00DD0EE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07E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Sodų paskirties objektai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0B07F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80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81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82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</w:tr>
      <w:tr w:rsidR="0062792D" w14:paraId="1760B089" w14:textId="77777777" w:rsidTr="00DD0EEB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084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Kiti objektai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0B085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86" w14:textId="77777777" w:rsidR="0062792D" w:rsidRDefault="0062792D" w:rsidP="00DD0EEB">
            <w:pPr>
              <w:ind w:left="-110"/>
              <w:rPr>
                <w:sz w:val="20"/>
                <w:lang w:val="ru-RU"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87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3,66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88" w14:textId="77777777" w:rsidR="0062792D" w:rsidRDefault="0062792D" w:rsidP="00DD0EEB">
            <w:pPr>
              <w:ind w:left="-110"/>
              <w:rPr>
                <w:sz w:val="20"/>
                <w:lang w:val="ru-RU"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</w:tbl>
    <w:p w14:paraId="1760B08A" w14:textId="77777777" w:rsidR="0062792D" w:rsidRDefault="0062792D" w:rsidP="0062792D">
      <w:pPr>
        <w:rPr>
          <w:sz w:val="18"/>
          <w:szCs w:val="18"/>
        </w:rPr>
      </w:pPr>
    </w:p>
    <w:p w14:paraId="1760B08B" w14:textId="77777777" w:rsidR="0062792D" w:rsidRDefault="0062792D" w:rsidP="0062792D">
      <w:pPr>
        <w:rPr>
          <w:sz w:val="18"/>
          <w:szCs w:val="18"/>
        </w:rPr>
      </w:pPr>
    </w:p>
    <w:p w14:paraId="1760B08C" w14:textId="77777777" w:rsidR="0062792D" w:rsidRDefault="0062792D" w:rsidP="0062792D">
      <w:pPr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>Nekilnojamojo turto objektai, kurie naudojasi individualiais konteineriais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811"/>
        <w:gridCol w:w="2024"/>
        <w:gridCol w:w="709"/>
        <w:gridCol w:w="2409"/>
      </w:tblGrid>
      <w:tr w:rsidR="0062792D" w14:paraId="1760B090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0B08D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Nekilnojamojo turto objektų kategorijos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60B08E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DVĮ pastovioji dedamoji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760B08F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DVĮ kintamoji dedamoji  </w:t>
            </w:r>
          </w:p>
        </w:tc>
      </w:tr>
      <w:tr w:rsidR="0062792D" w14:paraId="1760B094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91" w14:textId="77777777" w:rsidR="0062792D" w:rsidRDefault="0062792D" w:rsidP="00DD0EEB">
            <w:pPr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0B092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60B093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</w:tr>
      <w:tr w:rsidR="0062792D" w14:paraId="1760B09A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95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Gyvenamosios paskirties objektai (individualūs namai)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760B096" w14:textId="77777777" w:rsidR="0062792D" w:rsidRDefault="0062792D" w:rsidP="00DD0EE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2,47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97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0B098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99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120 l kont. ištuštin.</w:t>
            </w:r>
          </w:p>
        </w:tc>
      </w:tr>
      <w:tr w:rsidR="0062792D" w14:paraId="1760B0A0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9B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760B09C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9D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60B09E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9F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0A6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0A1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Viešbučių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0A2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2,84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0A3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A4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A5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0AC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A7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0A8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0A9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AA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AB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0B2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AD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AE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AF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B0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B1" w14:textId="77777777" w:rsidR="0062792D" w:rsidRDefault="0062792D" w:rsidP="00DD0EEB">
            <w:pPr>
              <w:ind w:left="-25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EEur už 1100 l kont. ištuštin.</w:t>
            </w:r>
          </w:p>
        </w:tc>
      </w:tr>
      <w:tr w:rsidR="0062792D" w14:paraId="1760B0B8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0B3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Administracinės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0B4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2,44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0B5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B6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B7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0BE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B9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0BA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0BB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BC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BD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0C4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BF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C0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C1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C2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C3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0CA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0C5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Prekybos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0C6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2,84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0C7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C8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C9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0D0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CB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0CC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0CD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CE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CF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0D6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D1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D2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D3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D4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D5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0DC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0D7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Paslaugų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0D8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2,84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0D9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DA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DB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0E2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DD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0DE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0DF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E0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E1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0E8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E3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E4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E5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E6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E7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0EE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0E9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Maitinimo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0EA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2,84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0EB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EC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ED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0F4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EF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0F0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0F1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F2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F3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0FA" w14:textId="77777777" w:rsidTr="00DD0EEB">
        <w:trPr>
          <w:cantSplit/>
          <w:trHeight w:val="31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F5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F6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F7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0F8" w14:textId="77777777" w:rsidR="0062792D" w:rsidRDefault="0062792D" w:rsidP="00DD0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F9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00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0FB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Transporto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0FC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0,76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0FD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760B0FE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1,74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0FF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06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01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02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03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04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05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10C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07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08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09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0A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7,97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0B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13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10D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Garažų paskirties objektai </w:t>
            </w:r>
          </w:p>
          <w:p w14:paraId="1760B10E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(fizinių asmenų, garažų bendrijos)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0F" w14:textId="77777777" w:rsidR="0062792D" w:rsidRDefault="0062792D" w:rsidP="00DD0EE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10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11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12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120 l kont. ištuštin.</w:t>
            </w:r>
          </w:p>
        </w:tc>
      </w:tr>
      <w:tr w:rsidR="0062792D" w14:paraId="1760B119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14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15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16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17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18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1F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1A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1B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1C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1D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1E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25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120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Gamybos, pramonės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21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0,76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22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23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24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2B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26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27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28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29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2A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131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2C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2D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2E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2F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30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37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132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Sandėliavimo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33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0,76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34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35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36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3D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38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39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3A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3B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3C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143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3E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3F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40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41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42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49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144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Kultūros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45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1,51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46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47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48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4F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4A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4B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4C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4D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4E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155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50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51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52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53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54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5B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156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Mokslo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57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1,51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58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59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5A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61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5C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5D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5E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5F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60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167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62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63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64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65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7,75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66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6D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168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Gydymo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69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6A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6B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6C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73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6E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6F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70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71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72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179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74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75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76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77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6,81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78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7F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17A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Poilsio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7B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2,84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7C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7D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7E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85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80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81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82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83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84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18B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86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87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88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89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6,24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8A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91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18C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Sporto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8D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1,51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8E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8F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90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97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92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93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94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95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96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19D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98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99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9A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9B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9C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A3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19E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Religinės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9F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A0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A1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A2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A9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A4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A5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A6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A7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A8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1AF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AA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AB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AC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AD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7,70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AE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B5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1B0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Specialiosios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B1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B2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B3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B4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BB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B6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B7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B8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B9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BA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1C1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BC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BD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BE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BF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C0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C7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1C2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Sodų paskirties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C3" w14:textId="77777777" w:rsidR="0062792D" w:rsidRDefault="0062792D" w:rsidP="00DD0EE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C4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60B1C5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C6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120 l kont. ištuštin.</w:t>
            </w:r>
          </w:p>
        </w:tc>
      </w:tr>
      <w:tr w:rsidR="0062792D" w14:paraId="1760B1CD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C8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C9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CA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60B1CB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CC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D3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CE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CF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D0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60B1D1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D2" w14:textId="77777777" w:rsidR="0062792D" w:rsidRDefault="0062792D" w:rsidP="00DD0EEB">
            <w:pPr>
              <w:ind w:left="-110" w:right="-46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62792D" w14:paraId="1760B1D9" w14:textId="77777777" w:rsidTr="00DD0EEB">
        <w:trPr>
          <w:cantSplit/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B1D4" w14:textId="77777777" w:rsidR="0062792D" w:rsidRDefault="0062792D" w:rsidP="00DD0EEB">
            <w:pPr>
              <w:rPr>
                <w:sz w:val="20"/>
              </w:rPr>
            </w:pPr>
            <w:r>
              <w:rPr>
                <w:sz w:val="20"/>
              </w:rPr>
              <w:t>Kiti objektai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D5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D6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D7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D8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62792D" w14:paraId="1760B1DF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DA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0B1DB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0B1DC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DD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DE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62792D" w14:paraId="1760B1E5" w14:textId="77777777" w:rsidTr="00DD0EEB">
        <w:trPr>
          <w:cantSplit/>
          <w:trHeight w:val="25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E0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E1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E2" w14:textId="77777777" w:rsidR="0062792D" w:rsidRDefault="0062792D" w:rsidP="00DD0EE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B1E3" w14:textId="77777777" w:rsidR="0062792D" w:rsidRDefault="0062792D" w:rsidP="00DD0EE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E4" w14:textId="77777777" w:rsidR="0062792D" w:rsidRDefault="0062792D" w:rsidP="00DD0EE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</w:tbl>
    <w:p w14:paraId="1760B1E6" w14:textId="77777777" w:rsidR="0062792D" w:rsidRDefault="0062792D" w:rsidP="0062792D">
      <w:pPr>
        <w:rPr>
          <w:sz w:val="18"/>
          <w:szCs w:val="18"/>
        </w:rPr>
      </w:pPr>
    </w:p>
    <w:p w14:paraId="1760B1E7" w14:textId="77777777" w:rsidR="0062792D" w:rsidRDefault="0062792D" w:rsidP="0062792D">
      <w:pPr>
        <w:rPr>
          <w:sz w:val="18"/>
          <w:szCs w:val="18"/>
        </w:rPr>
      </w:pPr>
    </w:p>
    <w:p w14:paraId="1760B1E8" w14:textId="77777777" w:rsidR="0062792D" w:rsidRDefault="0062792D" w:rsidP="0062792D">
      <w:pPr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>Netinkami naudoti objektai</w:t>
      </w:r>
    </w:p>
    <w:tbl>
      <w:tblPr>
        <w:tblW w:w="9519" w:type="dxa"/>
        <w:tblInd w:w="108" w:type="dxa"/>
        <w:tblLook w:val="04A0" w:firstRow="1" w:lastRow="0" w:firstColumn="1" w:lastColumn="0" w:noHBand="0" w:noVBand="1"/>
      </w:tblPr>
      <w:tblGrid>
        <w:gridCol w:w="3969"/>
        <w:gridCol w:w="670"/>
        <w:gridCol w:w="2122"/>
        <w:gridCol w:w="2758"/>
      </w:tblGrid>
      <w:tr w:rsidR="0062792D" w14:paraId="1760B1EC" w14:textId="77777777" w:rsidTr="00DD0EEB">
        <w:trPr>
          <w:cantSplit/>
          <w:trHeight w:val="25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0B1E9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Nekilnojamojo turto objektų kategorijos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60B1EA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DVĮ pastovioji dedamoji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760B1EB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DVĮ kintamoji dedamoji  </w:t>
            </w:r>
          </w:p>
        </w:tc>
      </w:tr>
      <w:tr w:rsidR="0062792D" w14:paraId="1760B1F0" w14:textId="77777777" w:rsidTr="00DD0EEB">
        <w:trPr>
          <w:cantSplit/>
          <w:trHeight w:val="255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ED" w14:textId="77777777" w:rsidR="0062792D" w:rsidRDefault="0062792D" w:rsidP="00DD0EEB">
            <w:pPr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0B1EE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0B1EF" w14:textId="77777777" w:rsidR="0062792D" w:rsidRDefault="0062792D" w:rsidP="00DD0EE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</w:tr>
      <w:tr w:rsidR="0062792D" w14:paraId="1760B1F5" w14:textId="77777777" w:rsidTr="00DD0EEB">
        <w:trPr>
          <w:trHeight w:val="3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F1" w14:textId="77777777" w:rsidR="0062792D" w:rsidRDefault="0062792D" w:rsidP="00DD0EE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Netinkami naudoti objektai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760B1F2" w14:textId="77777777" w:rsidR="0062792D" w:rsidRDefault="0062792D" w:rsidP="00DD0EEB">
            <w:pPr>
              <w:jc w:val="right"/>
              <w:rPr>
                <w:sz w:val="20"/>
                <w:lang w:val="en-US" w:eastAsia="lt-LT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1F3" w14:textId="77777777" w:rsidR="0062792D" w:rsidRDefault="0062792D" w:rsidP="00DD0EE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B1F4" w14:textId="77777777" w:rsidR="0062792D" w:rsidRDefault="0062792D" w:rsidP="00DD0EEB">
            <w:pPr>
              <w:ind w:left="-11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14:paraId="1760B1F6" w14:textId="77777777" w:rsidR="0062792D" w:rsidRDefault="0062792D" w:rsidP="0062792D">
      <w:pPr>
        <w:rPr>
          <w:sz w:val="18"/>
          <w:szCs w:val="18"/>
        </w:rPr>
      </w:pPr>
    </w:p>
    <w:p w14:paraId="1760B1F7" w14:textId="77777777" w:rsidR="0062792D" w:rsidRDefault="0062792D" w:rsidP="0062792D">
      <w:pPr>
        <w:rPr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Laikino statinio naudotojai, renginių ar projektų įgyvendintojai </w:t>
      </w:r>
      <w:r>
        <w:rPr>
          <w:bCs/>
          <w:sz w:val="24"/>
          <w:szCs w:val="24"/>
          <w:lang w:eastAsia="lt-LT"/>
        </w:rPr>
        <w:t>(kai sukuriamos atliekos nėra siejamos su NT objektu):</w:t>
      </w:r>
    </w:p>
    <w:p w14:paraId="1760B1F8" w14:textId="77777777" w:rsidR="0062792D" w:rsidRDefault="0062792D" w:rsidP="0062792D">
      <w:pPr>
        <w:pStyle w:val="Sraopastraipa"/>
        <w:numPr>
          <w:ilvl w:val="0"/>
          <w:numId w:val="2"/>
        </w:numPr>
        <w:spacing w:before="0"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1,22 Eur už 120 l </w:t>
      </w:r>
      <w:r>
        <w:rPr>
          <w:sz w:val="24"/>
          <w:szCs w:val="24"/>
        </w:rPr>
        <w:t>konteinerio ištuštinimą.</w:t>
      </w:r>
    </w:p>
    <w:p w14:paraId="1760B1F9" w14:textId="77777777" w:rsidR="0062792D" w:rsidRDefault="0062792D" w:rsidP="0062792D">
      <w:pPr>
        <w:pStyle w:val="Sraopastraipa"/>
        <w:numPr>
          <w:ilvl w:val="0"/>
          <w:numId w:val="2"/>
        </w:numPr>
        <w:spacing w:before="0"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2,44 Eur už 240 l </w:t>
      </w:r>
      <w:r>
        <w:rPr>
          <w:sz w:val="24"/>
          <w:szCs w:val="24"/>
        </w:rPr>
        <w:t>konteinerio ištuštinimą.</w:t>
      </w:r>
    </w:p>
    <w:p w14:paraId="1760B1FA" w14:textId="77777777" w:rsidR="0062792D" w:rsidRDefault="0062792D" w:rsidP="0062792D">
      <w:pPr>
        <w:pStyle w:val="Sraopastraipa"/>
        <w:numPr>
          <w:ilvl w:val="0"/>
          <w:numId w:val="2"/>
        </w:numPr>
        <w:spacing w:before="0"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7,85 Eur už 770 l </w:t>
      </w:r>
      <w:r>
        <w:rPr>
          <w:sz w:val="24"/>
          <w:szCs w:val="24"/>
        </w:rPr>
        <w:t>konteinerio ištuštinimą.</w:t>
      </w:r>
    </w:p>
    <w:p w14:paraId="1760B1FB" w14:textId="77777777" w:rsidR="00CA4A3D" w:rsidRPr="00AF63FD" w:rsidRDefault="0062792D" w:rsidP="00DD0EEB">
      <w:pPr>
        <w:pStyle w:val="Sraopastraipa"/>
        <w:numPr>
          <w:ilvl w:val="0"/>
          <w:numId w:val="2"/>
        </w:numPr>
        <w:spacing w:before="0" w:after="0" w:line="240" w:lineRule="auto"/>
        <w:ind w:left="426" w:hanging="426"/>
      </w:pPr>
      <w:r w:rsidRPr="0062792D">
        <w:rPr>
          <w:sz w:val="24"/>
          <w:szCs w:val="24"/>
          <w:lang w:val="en-US"/>
        </w:rPr>
        <w:t xml:space="preserve">11,21 Eur už 1100 l </w:t>
      </w:r>
      <w:r w:rsidRPr="0062792D">
        <w:rPr>
          <w:sz w:val="24"/>
          <w:szCs w:val="24"/>
        </w:rPr>
        <w:t>konteinerio ištuštinimą.</w:t>
      </w:r>
    </w:p>
    <w:p w14:paraId="1760B1FC" w14:textId="77777777" w:rsidR="00AF63FD" w:rsidRPr="00621815" w:rsidRDefault="00AF63FD" w:rsidP="00AF63FD">
      <w:pPr>
        <w:jc w:val="center"/>
      </w:pPr>
      <w:r>
        <w:t>____________________________________</w:t>
      </w:r>
    </w:p>
    <w:sectPr w:rsidR="00AF63FD" w:rsidRPr="00621815" w:rsidSect="000F6CCB">
      <w:headerReference w:type="even" r:id="rId9"/>
      <w:headerReference w:type="default" r:id="rId10"/>
      <w:pgSz w:w="11907" w:h="16840" w:code="9"/>
      <w:pgMar w:top="1134" w:right="567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0B201" w14:textId="77777777" w:rsidR="0084721B" w:rsidRDefault="0084721B">
      <w:r>
        <w:separator/>
      </w:r>
    </w:p>
  </w:endnote>
  <w:endnote w:type="continuationSeparator" w:id="0">
    <w:p w14:paraId="1760B202" w14:textId="77777777" w:rsidR="0084721B" w:rsidRDefault="0084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0B1FF" w14:textId="77777777" w:rsidR="0084721B" w:rsidRDefault="0084721B">
      <w:r>
        <w:separator/>
      </w:r>
    </w:p>
  </w:footnote>
  <w:footnote w:type="continuationSeparator" w:id="0">
    <w:p w14:paraId="1760B200" w14:textId="77777777" w:rsidR="0084721B" w:rsidRDefault="00847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B203" w14:textId="77777777" w:rsidR="00220739" w:rsidRDefault="002207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60B204" w14:textId="77777777" w:rsidR="00220739" w:rsidRDefault="002207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B205" w14:textId="77777777" w:rsidR="00220739" w:rsidRPr="000F6CCB" w:rsidRDefault="00220739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0F6CCB">
      <w:rPr>
        <w:rStyle w:val="Puslapionumeris"/>
        <w:sz w:val="24"/>
        <w:szCs w:val="24"/>
      </w:rPr>
      <w:fldChar w:fldCharType="begin"/>
    </w:r>
    <w:r w:rsidRPr="000F6CCB">
      <w:rPr>
        <w:rStyle w:val="Puslapionumeris"/>
        <w:sz w:val="24"/>
        <w:szCs w:val="24"/>
      </w:rPr>
      <w:instrText xml:space="preserve">PAGE  </w:instrText>
    </w:r>
    <w:r w:rsidRPr="000F6CCB">
      <w:rPr>
        <w:rStyle w:val="Puslapionumeris"/>
        <w:sz w:val="24"/>
        <w:szCs w:val="24"/>
      </w:rPr>
      <w:fldChar w:fldCharType="separate"/>
    </w:r>
    <w:r w:rsidR="00102FE2">
      <w:rPr>
        <w:rStyle w:val="Puslapionumeris"/>
        <w:noProof/>
        <w:sz w:val="24"/>
        <w:szCs w:val="24"/>
      </w:rPr>
      <w:t>3</w:t>
    </w:r>
    <w:r w:rsidRPr="000F6CCB">
      <w:rPr>
        <w:rStyle w:val="Puslapionumeris"/>
        <w:sz w:val="24"/>
        <w:szCs w:val="24"/>
      </w:rPr>
      <w:fldChar w:fldCharType="end"/>
    </w:r>
  </w:p>
  <w:p w14:paraId="1760B206" w14:textId="77777777" w:rsidR="00220739" w:rsidRDefault="0022073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B8F"/>
    <w:multiLevelType w:val="hybridMultilevel"/>
    <w:tmpl w:val="941A5456"/>
    <w:lvl w:ilvl="0" w:tplc="CDDE64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87443EB"/>
    <w:multiLevelType w:val="hybridMultilevel"/>
    <w:tmpl w:val="A3CC7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27901"/>
    <w:multiLevelType w:val="hybridMultilevel"/>
    <w:tmpl w:val="E4E4BE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202BA"/>
    <w:rsid w:val="00041A9D"/>
    <w:rsid w:val="00067BE2"/>
    <w:rsid w:val="000905BA"/>
    <w:rsid w:val="000917EE"/>
    <w:rsid w:val="00093E1A"/>
    <w:rsid w:val="000C7C2E"/>
    <w:rsid w:val="000D01D9"/>
    <w:rsid w:val="000D7F69"/>
    <w:rsid w:val="000E060E"/>
    <w:rsid w:val="000F5149"/>
    <w:rsid w:val="000F6CCB"/>
    <w:rsid w:val="00102FE2"/>
    <w:rsid w:val="00107040"/>
    <w:rsid w:val="00130A94"/>
    <w:rsid w:val="001419EF"/>
    <w:rsid w:val="00157EF2"/>
    <w:rsid w:val="001604E0"/>
    <w:rsid w:val="00162134"/>
    <w:rsid w:val="00172D34"/>
    <w:rsid w:val="00173FD8"/>
    <w:rsid w:val="001A37C5"/>
    <w:rsid w:val="001C34B1"/>
    <w:rsid w:val="001D0976"/>
    <w:rsid w:val="001D2F75"/>
    <w:rsid w:val="001D4B82"/>
    <w:rsid w:val="001D598A"/>
    <w:rsid w:val="001E4AD2"/>
    <w:rsid w:val="001E7281"/>
    <w:rsid w:val="002076E2"/>
    <w:rsid w:val="00220739"/>
    <w:rsid w:val="00230C14"/>
    <w:rsid w:val="00231D98"/>
    <w:rsid w:val="0023441D"/>
    <w:rsid w:val="00242842"/>
    <w:rsid w:val="00273C5D"/>
    <w:rsid w:val="002973A3"/>
    <w:rsid w:val="002A113F"/>
    <w:rsid w:val="002B3593"/>
    <w:rsid w:val="002C5379"/>
    <w:rsid w:val="002E7FEF"/>
    <w:rsid w:val="003127AF"/>
    <w:rsid w:val="00321597"/>
    <w:rsid w:val="00327123"/>
    <w:rsid w:val="003440D2"/>
    <w:rsid w:val="00345C12"/>
    <w:rsid w:val="00350717"/>
    <w:rsid w:val="0035408B"/>
    <w:rsid w:val="00375A3C"/>
    <w:rsid w:val="0038043E"/>
    <w:rsid w:val="00394EF2"/>
    <w:rsid w:val="003B4525"/>
    <w:rsid w:val="003E6522"/>
    <w:rsid w:val="00424705"/>
    <w:rsid w:val="00427951"/>
    <w:rsid w:val="004503DF"/>
    <w:rsid w:val="00463661"/>
    <w:rsid w:val="00473AC9"/>
    <w:rsid w:val="00476270"/>
    <w:rsid w:val="00497A98"/>
    <w:rsid w:val="004B491A"/>
    <w:rsid w:val="004D3867"/>
    <w:rsid w:val="004D4527"/>
    <w:rsid w:val="004E4177"/>
    <w:rsid w:val="005012BE"/>
    <w:rsid w:val="00565957"/>
    <w:rsid w:val="00565B05"/>
    <w:rsid w:val="00576BB5"/>
    <w:rsid w:val="005805DB"/>
    <w:rsid w:val="005A36E3"/>
    <w:rsid w:val="005C0B76"/>
    <w:rsid w:val="005E4EA7"/>
    <w:rsid w:val="005E688C"/>
    <w:rsid w:val="005E7258"/>
    <w:rsid w:val="005F3720"/>
    <w:rsid w:val="005F4ADC"/>
    <w:rsid w:val="0062132D"/>
    <w:rsid w:val="00621815"/>
    <w:rsid w:val="0062792D"/>
    <w:rsid w:val="00637AAA"/>
    <w:rsid w:val="0064009F"/>
    <w:rsid w:val="006533BD"/>
    <w:rsid w:val="00680912"/>
    <w:rsid w:val="00682DBE"/>
    <w:rsid w:val="00684807"/>
    <w:rsid w:val="0069230E"/>
    <w:rsid w:val="006972F1"/>
    <w:rsid w:val="007205C3"/>
    <w:rsid w:val="007319A9"/>
    <w:rsid w:val="007333F7"/>
    <w:rsid w:val="00744400"/>
    <w:rsid w:val="007451DB"/>
    <w:rsid w:val="007512F1"/>
    <w:rsid w:val="007774F0"/>
    <w:rsid w:val="007972F7"/>
    <w:rsid w:val="007C4BB1"/>
    <w:rsid w:val="007D3775"/>
    <w:rsid w:val="007E02D0"/>
    <w:rsid w:val="007E05D8"/>
    <w:rsid w:val="007E7CFF"/>
    <w:rsid w:val="00805874"/>
    <w:rsid w:val="008058F7"/>
    <w:rsid w:val="00826645"/>
    <w:rsid w:val="0084721B"/>
    <w:rsid w:val="008512A0"/>
    <w:rsid w:val="00863059"/>
    <w:rsid w:val="00872AC2"/>
    <w:rsid w:val="0088412C"/>
    <w:rsid w:val="008B00F4"/>
    <w:rsid w:val="008B1AEC"/>
    <w:rsid w:val="008C6A83"/>
    <w:rsid w:val="008E1AA1"/>
    <w:rsid w:val="008E6C42"/>
    <w:rsid w:val="008F06E2"/>
    <w:rsid w:val="009726D4"/>
    <w:rsid w:val="009833DD"/>
    <w:rsid w:val="0098733C"/>
    <w:rsid w:val="009940E4"/>
    <w:rsid w:val="009960E3"/>
    <w:rsid w:val="009A01F0"/>
    <w:rsid w:val="009A1CFF"/>
    <w:rsid w:val="009E48E1"/>
    <w:rsid w:val="009E4B16"/>
    <w:rsid w:val="009E5229"/>
    <w:rsid w:val="009E5CD8"/>
    <w:rsid w:val="00A143B8"/>
    <w:rsid w:val="00A26C33"/>
    <w:rsid w:val="00A3360B"/>
    <w:rsid w:val="00A52E3D"/>
    <w:rsid w:val="00A63FB8"/>
    <w:rsid w:val="00A80541"/>
    <w:rsid w:val="00A9289A"/>
    <w:rsid w:val="00A95136"/>
    <w:rsid w:val="00AA3457"/>
    <w:rsid w:val="00AC5C88"/>
    <w:rsid w:val="00AE1A1C"/>
    <w:rsid w:val="00AF255A"/>
    <w:rsid w:val="00AF63FD"/>
    <w:rsid w:val="00B134F8"/>
    <w:rsid w:val="00B44828"/>
    <w:rsid w:val="00B46C7E"/>
    <w:rsid w:val="00B63CC5"/>
    <w:rsid w:val="00B978DF"/>
    <w:rsid w:val="00BA62F1"/>
    <w:rsid w:val="00BE1DC8"/>
    <w:rsid w:val="00BF79BF"/>
    <w:rsid w:val="00C15EBF"/>
    <w:rsid w:val="00C36088"/>
    <w:rsid w:val="00C47FC9"/>
    <w:rsid w:val="00CA3691"/>
    <w:rsid w:val="00CA4A3D"/>
    <w:rsid w:val="00CA4F73"/>
    <w:rsid w:val="00CA7784"/>
    <w:rsid w:val="00CB26C3"/>
    <w:rsid w:val="00CB42F0"/>
    <w:rsid w:val="00D07E0E"/>
    <w:rsid w:val="00D57CDA"/>
    <w:rsid w:val="00D763D1"/>
    <w:rsid w:val="00D77675"/>
    <w:rsid w:val="00D9670E"/>
    <w:rsid w:val="00DA384A"/>
    <w:rsid w:val="00DD0EEB"/>
    <w:rsid w:val="00DE3E06"/>
    <w:rsid w:val="00DF44C1"/>
    <w:rsid w:val="00E06C4A"/>
    <w:rsid w:val="00E06F87"/>
    <w:rsid w:val="00E202E9"/>
    <w:rsid w:val="00E22275"/>
    <w:rsid w:val="00E30221"/>
    <w:rsid w:val="00E32A03"/>
    <w:rsid w:val="00E4011A"/>
    <w:rsid w:val="00E874C5"/>
    <w:rsid w:val="00EB0822"/>
    <w:rsid w:val="00ED2620"/>
    <w:rsid w:val="00EF4B46"/>
    <w:rsid w:val="00EF597D"/>
    <w:rsid w:val="00F036BF"/>
    <w:rsid w:val="00F309EA"/>
    <w:rsid w:val="00F324E0"/>
    <w:rsid w:val="00F332C2"/>
    <w:rsid w:val="00F469D8"/>
    <w:rsid w:val="00F72005"/>
    <w:rsid w:val="00F7375F"/>
    <w:rsid w:val="00F91F19"/>
    <w:rsid w:val="00FF198B"/>
    <w:rsid w:val="00FF3128"/>
    <w:rsid w:val="00FF32E6"/>
    <w:rsid w:val="00FF6DB2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0AF15"/>
  <w15:chartTrackingRefBased/>
  <w15:docId w15:val="{853F2DAD-E597-443E-9622-175865EA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4C1"/>
    <w:rPr>
      <w:sz w:val="22"/>
      <w:lang w:eastAsia="en-US"/>
    </w:rPr>
  </w:style>
  <w:style w:type="paragraph" w:styleId="Antrat2">
    <w:name w:val="heading 2"/>
    <w:basedOn w:val="prastasis"/>
    <w:next w:val="prastasis"/>
    <w:qFormat/>
    <w:rsid w:val="00FF6DB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FF6DB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DF44C1"/>
  </w:style>
  <w:style w:type="paragraph" w:styleId="Pavadinimas">
    <w:name w:val="Title"/>
    <w:basedOn w:val="prastasis"/>
    <w:qFormat/>
    <w:rsid w:val="00DF44C1"/>
    <w:pPr>
      <w:jc w:val="center"/>
    </w:pPr>
    <w:rPr>
      <w:b/>
    </w:rPr>
  </w:style>
  <w:style w:type="paragraph" w:styleId="Debesliotekstas">
    <w:name w:val="Balloon Text"/>
    <w:basedOn w:val="prastasis"/>
    <w:semiHidden/>
    <w:rsid w:val="00FF6DB2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6533BD"/>
    <w:pPr>
      <w:jc w:val="both"/>
    </w:pPr>
  </w:style>
  <w:style w:type="paragraph" w:styleId="prastasiniatinklio">
    <w:name w:val="Normal (Web)"/>
    <w:basedOn w:val="prastasis"/>
    <w:rsid w:val="006533BD"/>
    <w:rPr>
      <w:sz w:val="24"/>
      <w:szCs w:val="24"/>
    </w:rPr>
  </w:style>
  <w:style w:type="paragraph" w:styleId="Pagrindinistekstas2">
    <w:name w:val="Body Text 2"/>
    <w:basedOn w:val="prastasis"/>
    <w:rsid w:val="00E4011A"/>
    <w:pPr>
      <w:jc w:val="center"/>
    </w:pPr>
    <w:rPr>
      <w:b/>
      <w:sz w:val="24"/>
    </w:rPr>
  </w:style>
  <w:style w:type="character" w:styleId="Hipersaitas">
    <w:name w:val="Hyperlink"/>
    <w:rsid w:val="00E32A03"/>
    <w:rPr>
      <w:color w:val="0000FF"/>
      <w:u w:val="single"/>
    </w:rPr>
  </w:style>
  <w:style w:type="paragraph" w:styleId="Porat">
    <w:name w:val="footer"/>
    <w:basedOn w:val="prastasis"/>
    <w:rsid w:val="00F91F19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qFormat/>
    <w:rsid w:val="00CA4A3D"/>
    <w:pPr>
      <w:spacing w:before="120" w:after="120" w:line="276" w:lineRule="auto"/>
      <w:ind w:left="720" w:firstLine="567"/>
      <w:contextualSpacing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E3EA-0919-467E-97A3-11196F2F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1706</Words>
  <Characters>8639</Characters>
  <Application>Microsoft Office Word</Application>
  <DocSecurity>4</DocSecurity>
  <Lines>71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Computer</dc:creator>
  <cp:lastModifiedBy>Diana Brazdžiunienė</cp:lastModifiedBy>
  <cp:revision>2</cp:revision>
  <cp:lastPrinted>2017-11-07T14:46:00Z</cp:lastPrinted>
  <dcterms:created xsi:type="dcterms:W3CDTF">2022-11-10T08:05:00Z</dcterms:created>
  <dcterms:modified xsi:type="dcterms:W3CDTF">2022-11-10T08:05:00Z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CB48C2CE-BA50-47C6-B921-2BDF33770473</vt:lpwstr>
  </property>
</Properties>
</file>