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7DA4D" w14:textId="00006F33" w:rsidR="006E0B25" w:rsidRDefault="006E0B25" w:rsidP="006E0B25">
      <w:pPr>
        <w:jc w:val="center"/>
        <w:rPr>
          <w:b/>
        </w:rPr>
      </w:pPr>
      <w:r>
        <w:rPr>
          <w:b/>
        </w:rPr>
        <w:t>AIŠKINAMASIS RAŠTAS</w:t>
      </w:r>
    </w:p>
    <w:p w14:paraId="538E6841" w14:textId="77777777" w:rsidR="006E0B25" w:rsidRDefault="006E0B25" w:rsidP="006E0B25">
      <w:pPr>
        <w:jc w:val="center"/>
      </w:pPr>
    </w:p>
    <w:p w14:paraId="19426CDE" w14:textId="78F0DD81" w:rsidR="006B1F88" w:rsidRPr="00565036" w:rsidRDefault="006E0B25" w:rsidP="0067371D">
      <w:pPr>
        <w:jc w:val="center"/>
        <w:rPr>
          <w:i/>
          <w:caps/>
        </w:rPr>
      </w:pPr>
      <w:bookmarkStart w:id="0" w:name="_Hlk493059038"/>
      <w:r>
        <w:rPr>
          <w:bCs/>
        </w:rPr>
        <w:t xml:space="preserve"> </w:t>
      </w:r>
      <w:r w:rsidR="006B1F88" w:rsidRPr="0067371D">
        <w:rPr>
          <w:b/>
          <w:bCs/>
          <w:caps/>
          <w:color w:val="000000"/>
        </w:rPr>
        <w:t xml:space="preserve">DĖL </w:t>
      </w:r>
      <w:r w:rsidR="00A31F77" w:rsidRPr="0067371D">
        <w:rPr>
          <w:b/>
          <w:bCs/>
          <w:caps/>
          <w:color w:val="000000"/>
        </w:rPr>
        <w:t xml:space="preserve">PANEVĖŽIO MIESTO </w:t>
      </w:r>
      <w:r w:rsidR="0067371D">
        <w:rPr>
          <w:b/>
          <w:bCs/>
          <w:caps/>
          <w:color w:val="000000"/>
        </w:rPr>
        <w:t xml:space="preserve">IKIMOKYKLINIO, BENDROJO UGDYMO IR NEFORMALIOJO ŠVIETIMO ĮSTAIGŲ PASTATŲ, BENDROJO UGDYMO SPORTO AIKŠTYNŲ, STADIONŲ, SPORTO SALIŲ, IKIMOKYKLINIO UGDYMO LAUKO ŽAIDIMŲ AIKŠTELIŲ BŪKLĖS VERTINIMO KRITERIJŲ NUSTATYMO TVARKOS APRAŠO </w:t>
      </w:r>
      <w:r w:rsidR="00A31F77" w:rsidRPr="0067371D">
        <w:rPr>
          <w:b/>
          <w:bCs/>
          <w:caps/>
          <w:color w:val="000000"/>
        </w:rPr>
        <w:t>PATVIRTINIMO</w:t>
      </w:r>
    </w:p>
    <w:bookmarkEnd w:id="0"/>
    <w:p w14:paraId="42322D61" w14:textId="77777777" w:rsidR="006E0B25" w:rsidRDefault="006E0B25" w:rsidP="006E0B25">
      <w:pPr>
        <w:jc w:val="center"/>
        <w:rPr>
          <w:rFonts w:eastAsia="Calibri"/>
          <w:b/>
          <w:lang w:eastAsia="en-US"/>
        </w:rPr>
      </w:pPr>
    </w:p>
    <w:p w14:paraId="1A03CD2A" w14:textId="2D4D9377" w:rsidR="006E0B25" w:rsidRDefault="0071003A" w:rsidP="006E0B25">
      <w:pPr>
        <w:jc w:val="center"/>
      </w:pPr>
      <w:r>
        <w:t>202</w:t>
      </w:r>
      <w:r w:rsidR="002E0C85">
        <w:t>2</w:t>
      </w:r>
      <w:r w:rsidR="006E0B25">
        <w:t xml:space="preserve"> m. </w:t>
      </w:r>
      <w:r w:rsidR="00406C3B">
        <w:t xml:space="preserve"> </w:t>
      </w:r>
      <w:r w:rsidR="00B478FF">
        <w:t>lapkričio 9</w:t>
      </w:r>
      <w:r w:rsidR="009951FD">
        <w:t xml:space="preserve"> </w:t>
      </w:r>
      <w:r w:rsidR="006E0B25">
        <w:t>d.</w:t>
      </w:r>
    </w:p>
    <w:p w14:paraId="1EE27F74" w14:textId="77777777" w:rsidR="006E0B25" w:rsidRDefault="006E0B25" w:rsidP="006E0B25">
      <w:pPr>
        <w:jc w:val="center"/>
      </w:pPr>
      <w:r>
        <w:t>Panevėžys</w:t>
      </w:r>
    </w:p>
    <w:p w14:paraId="72404BA5" w14:textId="77777777" w:rsidR="006E0B25" w:rsidRPr="001C4C32" w:rsidRDefault="006E0B25" w:rsidP="006A453E">
      <w:pPr>
        <w:ind w:firstLine="720"/>
        <w:jc w:val="both"/>
        <w:rPr>
          <w:sz w:val="22"/>
          <w:szCs w:val="22"/>
        </w:rPr>
      </w:pPr>
    </w:p>
    <w:p w14:paraId="3843ED9C" w14:textId="77777777" w:rsidR="0067371D" w:rsidRDefault="006E0B25" w:rsidP="0067371D">
      <w:pPr>
        <w:numPr>
          <w:ilvl w:val="0"/>
          <w:numId w:val="1"/>
        </w:numPr>
        <w:spacing w:line="276" w:lineRule="auto"/>
        <w:ind w:left="1134" w:hanging="283"/>
        <w:jc w:val="both"/>
      </w:pPr>
      <w:r w:rsidRPr="00BA4F4B">
        <w:rPr>
          <w:b/>
        </w:rPr>
        <w:t xml:space="preserve">Problemos </w:t>
      </w:r>
      <w:r w:rsidRPr="00BA4F4B">
        <w:rPr>
          <w:b/>
          <w:lang w:eastAsia="en-US"/>
        </w:rPr>
        <w:t>esmė</w:t>
      </w:r>
      <w:r w:rsidRPr="00BA4F4B">
        <w:rPr>
          <w:b/>
        </w:rPr>
        <w:t>:</w:t>
      </w:r>
      <w:r w:rsidR="00BD466F" w:rsidRPr="00BA4F4B">
        <w:t>.</w:t>
      </w:r>
    </w:p>
    <w:p w14:paraId="3FC6388C" w14:textId="2EEC33B3" w:rsidR="00B62318" w:rsidRDefault="003817EB" w:rsidP="0067371D">
      <w:pPr>
        <w:spacing w:line="276" w:lineRule="auto"/>
        <w:ind w:firstLine="851"/>
        <w:jc w:val="both"/>
        <w:rPr>
          <w:bCs/>
        </w:rPr>
      </w:pPr>
      <w:r>
        <w:t>Į</w:t>
      </w:r>
      <w:r w:rsidR="00B62318">
        <w:t>gyvendinant Panevėžio miesto strateginio plėtros 2021-2027 metų plano, patvirtinto Panevėžio miesto savivaldybės tarybos 2021 m. gruodžio 21 d. sprendimu Nr. 1-362 „Dėl Panevėžio miesto strateginio plėtros 2021-2027 metų plano ir Panevėžio miesto strateginio plėtros 2021-2027 metų plano įgyvendinimo priežiūros tvarkos aprašo patvirtinimo“, III prioriteto 3.1.2. tikslą „Užtikrinti sveiką, saugią emocinę ir fizinę aplinką švietimo įstaigose“</w:t>
      </w:r>
      <w:r w:rsidR="00B62318">
        <w:rPr>
          <w:bCs/>
        </w:rPr>
        <w:t xml:space="preserve"> </w:t>
      </w:r>
      <w:r w:rsidR="00DD5181">
        <w:rPr>
          <w:bCs/>
        </w:rPr>
        <w:t xml:space="preserve">parengtas sprendimo projektas aprašantis </w:t>
      </w:r>
      <w:r w:rsidR="00DD5181" w:rsidRPr="003E57F7">
        <w:rPr>
          <w:color w:val="000000"/>
        </w:rPr>
        <w:t xml:space="preserve">ikimokyklinio, bendrojo ugdymo ir neformaliojo švietimo įstaigų pastatų, bendrojo ugdymo sporto aikštynų, stadionų, sporto salių, ikimokyklinio ugdymo lauko žaidimų aikštelių būklės vertinimo </w:t>
      </w:r>
      <w:r w:rsidR="00DD5181">
        <w:rPr>
          <w:color w:val="000000"/>
        </w:rPr>
        <w:t xml:space="preserve">metodiką. Šis vertinimo įrankis bus naudingas įgyvendinant </w:t>
      </w:r>
      <w:r w:rsidR="00DD5181" w:rsidRPr="00DD5181">
        <w:rPr>
          <w:color w:val="000000"/>
        </w:rPr>
        <w:t>ikimokyklinio</w:t>
      </w:r>
      <w:r w:rsidR="00DD5181">
        <w:t>, bendrojo ir neformaliojo ugdymo mokyklų infrastruktūros modernizavimo projektus.</w:t>
      </w:r>
    </w:p>
    <w:p w14:paraId="31CCB728" w14:textId="77777777" w:rsidR="00661A08" w:rsidRPr="00BA4F4B" w:rsidRDefault="00661A08" w:rsidP="0067371D">
      <w:pPr>
        <w:numPr>
          <w:ilvl w:val="0"/>
          <w:numId w:val="1"/>
        </w:numPr>
        <w:spacing w:line="276" w:lineRule="auto"/>
        <w:ind w:left="1134" w:hanging="283"/>
        <w:jc w:val="both"/>
        <w:rPr>
          <w:b/>
        </w:rPr>
      </w:pPr>
      <w:bookmarkStart w:id="1" w:name="_GoBack"/>
      <w:bookmarkEnd w:id="1"/>
      <w:r w:rsidRPr="00BA4F4B">
        <w:rPr>
          <w:b/>
        </w:rPr>
        <w:t>Kaip šiuo metu sprendžiami sprendimo projekte aptarti klausimai:</w:t>
      </w:r>
    </w:p>
    <w:p w14:paraId="0302E0D5" w14:textId="5C760ADB" w:rsidR="00CD70F5" w:rsidRDefault="00CD70F5" w:rsidP="00CD70F5">
      <w:pPr>
        <w:spacing w:line="276" w:lineRule="auto"/>
        <w:ind w:firstLine="851"/>
        <w:jc w:val="both"/>
        <w:rPr>
          <w:color w:val="000000"/>
        </w:rPr>
      </w:pPr>
      <w:r w:rsidRPr="005574BC">
        <w:rPr>
          <w:color w:val="000000"/>
        </w:rPr>
        <w:t xml:space="preserve">Šie pastatų, sporto aikštynų, stadionų, salių, lauko žaidimų aikštelių vertinimo kriterijai nustato </w:t>
      </w:r>
      <w:r w:rsidRPr="00CD70F5">
        <w:t>pagrindinius</w:t>
      </w:r>
      <w:r w:rsidRPr="005574BC">
        <w:rPr>
          <w:color w:val="000000"/>
        </w:rPr>
        <w:t xml:space="preserve"> ikimokyklinio ugdymo, bendrojo ugdymo ir neformaliojo švietimo ugdymo mokyklų įrengimo ir jose </w:t>
      </w:r>
      <w:r w:rsidRPr="00CD70F5">
        <w:t>vykdomo</w:t>
      </w:r>
      <w:r w:rsidRPr="005574BC">
        <w:rPr>
          <w:color w:val="000000"/>
        </w:rPr>
        <w:t xml:space="preserve"> kokybiško ugdymo proceso organizavimo būklės įvertinimą. Šie vertinimo kriterijai</w:t>
      </w:r>
      <w:r>
        <w:rPr>
          <w:color w:val="000000"/>
        </w:rPr>
        <w:t xml:space="preserve"> ir vertinimo metodika</w:t>
      </w:r>
      <w:r w:rsidRPr="005574BC">
        <w:rPr>
          <w:color w:val="000000"/>
        </w:rPr>
        <w:t xml:space="preserve"> gali būti taikomi rekonstruojant, remontuojant, atnaujinant </w:t>
      </w:r>
      <w:r>
        <w:rPr>
          <w:color w:val="000000"/>
        </w:rPr>
        <w:t>a</w:t>
      </w:r>
      <w:r w:rsidRPr="005574BC">
        <w:rPr>
          <w:color w:val="000000"/>
        </w:rPr>
        <w:t>r įrengiant</w:t>
      </w:r>
      <w:r>
        <w:rPr>
          <w:color w:val="000000"/>
        </w:rPr>
        <w:t xml:space="preserve"> mokyklas, aikštynus, stadionus ir lauko žaidimų aikšteles. Taip pat atrenkant</w:t>
      </w:r>
      <w:r w:rsidR="0016066D">
        <w:rPr>
          <w:color w:val="000000"/>
        </w:rPr>
        <w:t>, įvertinant galimybes</w:t>
      </w:r>
      <w:r>
        <w:rPr>
          <w:color w:val="000000"/>
        </w:rPr>
        <w:t xml:space="preserve"> </w:t>
      </w:r>
      <w:r w:rsidR="00D1458D">
        <w:rPr>
          <w:color w:val="000000"/>
        </w:rPr>
        <w:t xml:space="preserve">Panevėžio miesto </w:t>
      </w:r>
      <w:r>
        <w:rPr>
          <w:color w:val="000000"/>
        </w:rPr>
        <w:t>ugdymo įstaig</w:t>
      </w:r>
      <w:r w:rsidR="0016066D">
        <w:rPr>
          <w:color w:val="000000"/>
        </w:rPr>
        <w:t>oms</w:t>
      </w:r>
      <w:r>
        <w:rPr>
          <w:color w:val="000000"/>
        </w:rPr>
        <w:t xml:space="preserve"> dalyvauti</w:t>
      </w:r>
      <w:r w:rsidR="00D1458D">
        <w:rPr>
          <w:color w:val="000000"/>
        </w:rPr>
        <w:t xml:space="preserve"> </w:t>
      </w:r>
      <w:r w:rsidR="005E14C8">
        <w:rPr>
          <w:color w:val="000000"/>
        </w:rPr>
        <w:t xml:space="preserve">Regioninės </w:t>
      </w:r>
      <w:r w:rsidR="00D1458D">
        <w:rPr>
          <w:color w:val="000000"/>
        </w:rPr>
        <w:t>pažangos pr</w:t>
      </w:r>
      <w:r w:rsidR="005E14C8">
        <w:rPr>
          <w:color w:val="000000"/>
        </w:rPr>
        <w:t>iemonės projektuose: „Plėtoti įvairialypį švietimą vykdant visos dienos mokyklų veiklą“</w:t>
      </w:r>
      <w:r w:rsidR="0016066D">
        <w:rPr>
          <w:color w:val="000000"/>
        </w:rPr>
        <w:t>, „Padidinti ugdymo prieinamumą atskirtį patiriantiems vaikams“ bei numatyti projektų veiklas.</w:t>
      </w:r>
    </w:p>
    <w:p w14:paraId="1DC9C6FC" w14:textId="299DE49E" w:rsidR="00CD70F5" w:rsidRPr="005574BC" w:rsidRDefault="0016066D" w:rsidP="00B478FF">
      <w:pPr>
        <w:spacing w:line="276" w:lineRule="auto"/>
        <w:ind w:firstLine="851"/>
        <w:jc w:val="both"/>
        <w:rPr>
          <w:color w:val="000000"/>
        </w:rPr>
      </w:pPr>
      <w:r>
        <w:t>Vertinimo kriterijai buvo sudaromi pasitelkiant kitų šalių moksliniais straipsniais</w:t>
      </w:r>
      <w:r w:rsidR="00893680">
        <w:rPr>
          <w:rStyle w:val="Puslapioinaosnuoroda"/>
        </w:rPr>
        <w:footnoteReference w:id="1"/>
      </w:r>
      <w:r>
        <w:t xml:space="preserve"> bei </w:t>
      </w:r>
      <w:r>
        <w:rPr>
          <w:color w:val="000000"/>
        </w:rPr>
        <w:t xml:space="preserve">Lietuvos Respublikos sveikatos apsaugos ministro </w:t>
      </w:r>
      <w:r w:rsidR="00893680">
        <w:rPr>
          <w:color w:val="000000"/>
        </w:rPr>
        <w:t xml:space="preserve">patvirtintomis </w:t>
      </w:r>
      <w:r>
        <w:rPr>
          <w:color w:val="000000"/>
        </w:rPr>
        <w:t>Lietuvos higienos normo</w:t>
      </w:r>
      <w:r w:rsidR="00893680">
        <w:rPr>
          <w:color w:val="000000"/>
        </w:rPr>
        <w:t>mis</w:t>
      </w:r>
      <w:r>
        <w:rPr>
          <w:color w:val="000000"/>
        </w:rPr>
        <w:t xml:space="preserve"> HN 75:2016 „Ikimokyklinio ir priešmokyklinio ugdymo programų vykdymo bendrieji sveikatos saugos reikalavimai“</w:t>
      </w:r>
      <w:r w:rsidR="00893680">
        <w:rPr>
          <w:color w:val="000000"/>
        </w:rPr>
        <w:t>, Lietuvos higienos normo</w:t>
      </w:r>
      <w:r w:rsidR="00B478FF">
        <w:rPr>
          <w:color w:val="000000"/>
        </w:rPr>
        <w:t>mis</w:t>
      </w:r>
      <w:r w:rsidR="00893680">
        <w:rPr>
          <w:color w:val="000000"/>
        </w:rPr>
        <w:t xml:space="preserve"> HN 131:2015 „Vaikų žaidimų aikštelių ir patalpos, bendrieji sveikatos saugos reikalavimai“; L</w:t>
      </w:r>
      <w:r w:rsidR="00893680" w:rsidRPr="00893680">
        <w:rPr>
          <w:color w:val="000000"/>
        </w:rPr>
        <w:t>ietuvos higienos norm</w:t>
      </w:r>
      <w:r w:rsidR="00B478FF">
        <w:rPr>
          <w:color w:val="000000"/>
        </w:rPr>
        <w:t>omis</w:t>
      </w:r>
      <w:r w:rsidR="00893680" w:rsidRPr="00893680">
        <w:rPr>
          <w:color w:val="000000"/>
        </w:rPr>
        <w:t xml:space="preserve"> </w:t>
      </w:r>
      <w:r w:rsidR="00893680">
        <w:rPr>
          <w:color w:val="000000"/>
        </w:rPr>
        <w:t xml:space="preserve">HN </w:t>
      </w:r>
      <w:r w:rsidR="00893680" w:rsidRPr="00893680">
        <w:rPr>
          <w:color w:val="000000"/>
        </w:rPr>
        <w:t>21:2011</w:t>
      </w:r>
      <w:r w:rsidR="00B478FF">
        <w:rPr>
          <w:color w:val="000000"/>
        </w:rPr>
        <w:t xml:space="preserve"> „M</w:t>
      </w:r>
      <w:r w:rsidR="00893680" w:rsidRPr="00893680">
        <w:rPr>
          <w:color w:val="000000"/>
        </w:rPr>
        <w:t>okykla, vykdanti bendrojo ugdymo programas</w:t>
      </w:r>
      <w:r w:rsidR="00B478FF">
        <w:rPr>
          <w:color w:val="000000"/>
        </w:rPr>
        <w:t xml:space="preserve"> </w:t>
      </w:r>
      <w:r w:rsidR="00893680" w:rsidRPr="00893680">
        <w:rPr>
          <w:color w:val="000000"/>
        </w:rPr>
        <w:t>bendrieji sveikatos saugos reikalavimai“</w:t>
      </w:r>
      <w:r w:rsidR="00B478FF">
        <w:rPr>
          <w:color w:val="000000"/>
        </w:rPr>
        <w:t xml:space="preserve">. </w:t>
      </w:r>
    </w:p>
    <w:p w14:paraId="40914D2D" w14:textId="77777777" w:rsidR="0067371D" w:rsidRDefault="006E0B25" w:rsidP="0067371D">
      <w:pPr>
        <w:numPr>
          <w:ilvl w:val="0"/>
          <w:numId w:val="1"/>
        </w:numPr>
        <w:spacing w:line="276" w:lineRule="auto"/>
        <w:ind w:left="1134" w:hanging="283"/>
        <w:jc w:val="both"/>
        <w:rPr>
          <w:bCs/>
        </w:rPr>
      </w:pPr>
      <w:r w:rsidRPr="00BA4F4B">
        <w:rPr>
          <w:b/>
        </w:rPr>
        <w:t>Sprendimo priėmimo būtinumo pagrindimas, kokių pozityvių rezultatų</w:t>
      </w:r>
      <w:r w:rsidR="004919A0" w:rsidRPr="00BA4F4B">
        <w:rPr>
          <w:b/>
        </w:rPr>
        <w:t xml:space="preserve"> laukiama:</w:t>
      </w:r>
      <w:r w:rsidR="00B95B4D" w:rsidRPr="00B95B4D">
        <w:rPr>
          <w:bCs/>
        </w:rPr>
        <w:t xml:space="preserve"> </w:t>
      </w:r>
    </w:p>
    <w:p w14:paraId="2FB67CEE" w14:textId="0DCA8FCE" w:rsidR="00CD70F5" w:rsidRDefault="00B95B4D" w:rsidP="00CD70F5">
      <w:pPr>
        <w:spacing w:line="276" w:lineRule="auto"/>
        <w:ind w:firstLine="851"/>
        <w:jc w:val="both"/>
        <w:rPr>
          <w:color w:val="000000"/>
        </w:rPr>
      </w:pPr>
      <w:r w:rsidRPr="00BA4F4B">
        <w:rPr>
          <w:bCs/>
        </w:rPr>
        <w:t xml:space="preserve">Parengto sprendimo </w:t>
      </w:r>
      <w:r w:rsidRPr="00BA4F4B">
        <w:t xml:space="preserve">projekto tikslas – patvirtinti </w:t>
      </w:r>
      <w:r>
        <w:t xml:space="preserve">Panevėžio </w:t>
      </w:r>
      <w:r w:rsidR="003E57F7" w:rsidRPr="003E57F7">
        <w:t xml:space="preserve">miesto </w:t>
      </w:r>
      <w:r w:rsidR="003E57F7" w:rsidRPr="003E57F7">
        <w:rPr>
          <w:color w:val="000000"/>
        </w:rPr>
        <w:t xml:space="preserve">ikimokyklinio, bendrojo ugdymo ir neformaliojo švietimo įstaigų pastatų, bendrojo ugdymo sporto aikštynų, stadionų, sporto salių, ikimokyklinio ugdymo lauko žaidimų aikštelių būklės vertinimo </w:t>
      </w:r>
      <w:r w:rsidR="00737C84">
        <w:rPr>
          <w:color w:val="000000"/>
        </w:rPr>
        <w:t xml:space="preserve">metodiką. Aprašas galės būti taikomas kaip įrankis savivaldybės biudžeto, ES SF bei kitomis lėšomis </w:t>
      </w:r>
      <w:r w:rsidR="00737C84" w:rsidRPr="005574BC">
        <w:rPr>
          <w:color w:val="000000"/>
        </w:rPr>
        <w:t xml:space="preserve">rekonstruojant, remontuojant, atnaujinant </w:t>
      </w:r>
      <w:r w:rsidR="00737C84">
        <w:rPr>
          <w:color w:val="000000"/>
        </w:rPr>
        <w:t>a</w:t>
      </w:r>
      <w:r w:rsidR="00737C84" w:rsidRPr="005574BC">
        <w:rPr>
          <w:color w:val="000000"/>
        </w:rPr>
        <w:t>r įrengiant</w:t>
      </w:r>
      <w:r w:rsidR="00737C84">
        <w:rPr>
          <w:color w:val="000000"/>
        </w:rPr>
        <w:t xml:space="preserve"> mokyklas, aikštynus, stadionus ir lauko žaidimų aikšteles.  </w:t>
      </w:r>
      <w:r w:rsidR="003E57F7" w:rsidRPr="003E57F7">
        <w:rPr>
          <w:color w:val="000000"/>
        </w:rPr>
        <w:t xml:space="preserve"> </w:t>
      </w:r>
    </w:p>
    <w:p w14:paraId="3B3EC984" w14:textId="611B7CCA" w:rsidR="00B95B4D" w:rsidRPr="00B62318" w:rsidRDefault="006E0B25" w:rsidP="00085BED">
      <w:pPr>
        <w:numPr>
          <w:ilvl w:val="0"/>
          <w:numId w:val="1"/>
        </w:numPr>
        <w:spacing w:line="276" w:lineRule="auto"/>
        <w:ind w:left="1134" w:hanging="283"/>
        <w:jc w:val="both"/>
      </w:pPr>
      <w:r w:rsidRPr="00BA4F4B">
        <w:rPr>
          <w:b/>
        </w:rPr>
        <w:t>Skaičiavimai, išlaidų sąmatos, finansavimo šaltiniai:</w:t>
      </w:r>
    </w:p>
    <w:p w14:paraId="57280703" w14:textId="3781A354" w:rsidR="003812D4" w:rsidRPr="003812D4" w:rsidRDefault="003812D4" w:rsidP="003812D4">
      <w:pPr>
        <w:ind w:firstLine="851"/>
        <w:jc w:val="both"/>
        <w:rPr>
          <w:rFonts w:eastAsia="Calibri"/>
        </w:rPr>
      </w:pPr>
      <w:r w:rsidRPr="003812D4">
        <w:t xml:space="preserve">Patvirtinus Sprendimo projektą lėšų nereikės. </w:t>
      </w:r>
    </w:p>
    <w:p w14:paraId="669BD55E" w14:textId="77777777" w:rsidR="003812D4" w:rsidRDefault="003812D4" w:rsidP="00085BED">
      <w:pPr>
        <w:numPr>
          <w:ilvl w:val="0"/>
          <w:numId w:val="1"/>
        </w:numPr>
        <w:spacing w:line="276" w:lineRule="auto"/>
        <w:ind w:left="0" w:firstLine="851"/>
        <w:jc w:val="both"/>
      </w:pPr>
      <w:r>
        <w:rPr>
          <w:b/>
        </w:rPr>
        <w:lastRenderedPageBreak/>
        <w:t>Galimos neigiamos pasekmės priėmus sprendimą, kokių priemonių reikėtų imtis, kad tokių pasekmių būtų išvengta</w:t>
      </w:r>
      <w:r w:rsidRPr="00BA4F4B">
        <w:t xml:space="preserve"> </w:t>
      </w:r>
    </w:p>
    <w:p w14:paraId="754DB096" w14:textId="301D142D" w:rsidR="006E0B25" w:rsidRPr="00BA4F4B" w:rsidRDefault="002E0C85" w:rsidP="00085BED">
      <w:pPr>
        <w:spacing w:line="276" w:lineRule="auto"/>
        <w:ind w:left="1211" w:hanging="360"/>
        <w:jc w:val="both"/>
      </w:pPr>
      <w:r w:rsidRPr="00BA4F4B">
        <w:t>Nenumatoma</w:t>
      </w:r>
      <w:r w:rsidR="006E0B25" w:rsidRPr="00BA4F4B">
        <w:t>.</w:t>
      </w:r>
    </w:p>
    <w:p w14:paraId="407C6A52" w14:textId="2F352A6B" w:rsidR="006E0B25" w:rsidRPr="00BA4F4B" w:rsidRDefault="006E0B25" w:rsidP="00085BED">
      <w:pPr>
        <w:numPr>
          <w:ilvl w:val="0"/>
          <w:numId w:val="1"/>
        </w:numPr>
        <w:spacing w:line="276" w:lineRule="auto"/>
        <w:ind w:left="1134" w:hanging="283"/>
        <w:jc w:val="both"/>
      </w:pPr>
      <w:r w:rsidRPr="00BA4F4B">
        <w:rPr>
          <w:b/>
        </w:rPr>
        <w:t>Kieno iniciatyva parengtas sprendimo projektas</w:t>
      </w:r>
      <w:r w:rsidRPr="00BA4F4B">
        <w:t xml:space="preserve">: </w:t>
      </w:r>
    </w:p>
    <w:p w14:paraId="0007A123" w14:textId="25A90611" w:rsidR="007423A9" w:rsidRPr="00BA4F4B" w:rsidRDefault="006E0B25" w:rsidP="00B62318">
      <w:pPr>
        <w:ind w:firstLine="851"/>
        <w:jc w:val="both"/>
      </w:pPr>
      <w:r w:rsidRPr="00BA4F4B">
        <w:t>Panevėžio miesto savivaldybės administracijos iniciatyva.</w:t>
      </w:r>
      <w:r w:rsidRPr="00BA4F4B">
        <w:tab/>
      </w:r>
      <w:r w:rsidRPr="00BA4F4B">
        <w:tab/>
      </w:r>
    </w:p>
    <w:p w14:paraId="3D927ED9" w14:textId="77777777" w:rsidR="003E57F7" w:rsidRDefault="003E57F7" w:rsidP="00302286">
      <w:pPr>
        <w:jc w:val="both"/>
      </w:pPr>
    </w:p>
    <w:p w14:paraId="353F4793" w14:textId="77777777" w:rsidR="003E57F7" w:rsidRDefault="003E57F7" w:rsidP="00302286">
      <w:pPr>
        <w:jc w:val="both"/>
      </w:pPr>
    </w:p>
    <w:p w14:paraId="642B175C" w14:textId="69E5C997" w:rsidR="003E57F7" w:rsidRDefault="00537F77" w:rsidP="006A453E">
      <w:pPr>
        <w:jc w:val="both"/>
      </w:pPr>
      <w:r w:rsidRPr="00BA4F4B">
        <w:t xml:space="preserve">Švietimo skyriaus </w:t>
      </w:r>
      <w:r w:rsidR="007423A9" w:rsidRPr="00BA4F4B">
        <w:t>vedėja</w:t>
      </w:r>
      <w:r w:rsidR="00302286">
        <w:t xml:space="preserve"> </w:t>
      </w:r>
      <w:r w:rsidR="00302286">
        <w:tab/>
      </w:r>
      <w:r w:rsidR="00302286">
        <w:tab/>
      </w:r>
      <w:r w:rsidR="00302286">
        <w:tab/>
      </w:r>
      <w:r w:rsidR="00302286">
        <w:tab/>
        <w:t>Silvija Sėrikovienė</w:t>
      </w:r>
    </w:p>
    <w:sectPr w:rsidR="003E57F7" w:rsidSect="0067371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9B3D8" w14:textId="77777777" w:rsidR="006B55BF" w:rsidRDefault="006B55BF" w:rsidP="00893680">
      <w:r>
        <w:separator/>
      </w:r>
    </w:p>
  </w:endnote>
  <w:endnote w:type="continuationSeparator" w:id="0">
    <w:p w14:paraId="3EFC8D71" w14:textId="77777777" w:rsidR="006B55BF" w:rsidRDefault="006B55BF" w:rsidP="0089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DA961" w14:textId="77777777" w:rsidR="006B55BF" w:rsidRDefault="006B55BF" w:rsidP="00893680">
      <w:r>
        <w:separator/>
      </w:r>
    </w:p>
  </w:footnote>
  <w:footnote w:type="continuationSeparator" w:id="0">
    <w:p w14:paraId="69D9DA6A" w14:textId="77777777" w:rsidR="006B55BF" w:rsidRDefault="006B55BF" w:rsidP="00893680">
      <w:r>
        <w:continuationSeparator/>
      </w:r>
    </w:p>
  </w:footnote>
  <w:footnote w:id="1">
    <w:p w14:paraId="1EC1938C" w14:textId="57D6492B" w:rsidR="00893680" w:rsidRDefault="0089368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547C6F">
        <w:rPr>
          <w:color w:val="000000"/>
          <w:sz w:val="18"/>
          <w:szCs w:val="18"/>
        </w:rPr>
        <w:t>Robert Bucoń „Model supporting decisions on renovation and modernization of public utility buildings“,</w:t>
      </w:r>
      <w:r w:rsidRPr="00547C6F">
        <w:rPr>
          <w:color w:val="393A3D"/>
          <w:sz w:val="18"/>
          <w:szCs w:val="18"/>
          <w:shd w:val="clear" w:color="auto" w:fill="FFFFFF"/>
        </w:rPr>
        <w:t xml:space="preserve"> </w:t>
      </w:r>
      <w:r w:rsidRPr="00547C6F">
        <w:rPr>
          <w:color w:val="000000"/>
          <w:sz w:val="18"/>
          <w:szCs w:val="18"/>
        </w:rPr>
        <w:t>Published by </w:t>
      </w:r>
      <w:hyperlink r:id="rId1" w:history="1">
        <w:r w:rsidRPr="00547C6F">
          <w:rPr>
            <w:color w:val="000000"/>
            <w:sz w:val="18"/>
            <w:szCs w:val="18"/>
          </w:rPr>
          <w:t>De Gruyter Open Access</w:t>
        </w:r>
      </w:hyperlink>
      <w:r w:rsidRPr="00547C6F">
        <w:rPr>
          <w:color w:val="000000"/>
          <w:sz w:val="18"/>
          <w:szCs w:val="18"/>
        </w:rPr>
        <w:t xml:space="preserve"> July 11, 2019 </w:t>
      </w:r>
      <w:hyperlink r:id="rId2" w:anchor="j_eng-2019-0022_s_003_w2aab3b7d459b1b6b1ab1b2Aa" w:tgtFrame="_blank" w:history="1">
        <w:r w:rsidRPr="00547C6F">
          <w:rPr>
            <w:rStyle w:val="Hipersaitas"/>
            <w:color w:val="1155CC"/>
            <w:sz w:val="18"/>
            <w:szCs w:val="18"/>
            <w:shd w:val="clear" w:color="auto" w:fill="FFFFFF"/>
          </w:rPr>
          <w:t>https://www.degruyter.com/document/doi/10.1515/eng-2019-0022/html#j_eng-2019-0022_s_003_w2aab3b7d459b1b6b1ab1b2Aa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0C5F"/>
    <w:multiLevelType w:val="multilevel"/>
    <w:tmpl w:val="20B0632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7F4F27"/>
    <w:multiLevelType w:val="hybridMultilevel"/>
    <w:tmpl w:val="58A643D4"/>
    <w:lvl w:ilvl="0" w:tplc="7184520E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E4665"/>
    <w:multiLevelType w:val="hybridMultilevel"/>
    <w:tmpl w:val="7032BA92"/>
    <w:lvl w:ilvl="0" w:tplc="990290A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25"/>
    <w:rsid w:val="00001439"/>
    <w:rsid w:val="00026885"/>
    <w:rsid w:val="0003314C"/>
    <w:rsid w:val="000464A9"/>
    <w:rsid w:val="000544A2"/>
    <w:rsid w:val="00085BED"/>
    <w:rsid w:val="000A7757"/>
    <w:rsid w:val="000C546D"/>
    <w:rsid w:val="000D1F7F"/>
    <w:rsid w:val="00100B34"/>
    <w:rsid w:val="00130BE5"/>
    <w:rsid w:val="0016066D"/>
    <w:rsid w:val="001C4C32"/>
    <w:rsid w:val="001D5E04"/>
    <w:rsid w:val="002003AD"/>
    <w:rsid w:val="002A01FE"/>
    <w:rsid w:val="002E0C85"/>
    <w:rsid w:val="002E159B"/>
    <w:rsid w:val="002E2680"/>
    <w:rsid w:val="00302286"/>
    <w:rsid w:val="003812D4"/>
    <w:rsid w:val="003817EB"/>
    <w:rsid w:val="00392173"/>
    <w:rsid w:val="003931F1"/>
    <w:rsid w:val="003E57F7"/>
    <w:rsid w:val="003F30A8"/>
    <w:rsid w:val="00406C3B"/>
    <w:rsid w:val="0041724B"/>
    <w:rsid w:val="0042222E"/>
    <w:rsid w:val="00436389"/>
    <w:rsid w:val="00462286"/>
    <w:rsid w:val="00466D1F"/>
    <w:rsid w:val="004919A0"/>
    <w:rsid w:val="004A07B3"/>
    <w:rsid w:val="004C229E"/>
    <w:rsid w:val="004D27BF"/>
    <w:rsid w:val="004F24F4"/>
    <w:rsid w:val="00501C6F"/>
    <w:rsid w:val="00537F77"/>
    <w:rsid w:val="00565036"/>
    <w:rsid w:val="005828C1"/>
    <w:rsid w:val="005E14C8"/>
    <w:rsid w:val="0060325A"/>
    <w:rsid w:val="0062174B"/>
    <w:rsid w:val="00661A08"/>
    <w:rsid w:val="0067371D"/>
    <w:rsid w:val="00697F82"/>
    <w:rsid w:val="006A453E"/>
    <w:rsid w:val="006B1F88"/>
    <w:rsid w:val="006B55BF"/>
    <w:rsid w:val="006C1395"/>
    <w:rsid w:val="006D489A"/>
    <w:rsid w:val="006E0B25"/>
    <w:rsid w:val="0071003A"/>
    <w:rsid w:val="007123DD"/>
    <w:rsid w:val="00722E07"/>
    <w:rsid w:val="00737C84"/>
    <w:rsid w:val="007423A9"/>
    <w:rsid w:val="007A3ED8"/>
    <w:rsid w:val="007F7BD2"/>
    <w:rsid w:val="00824F75"/>
    <w:rsid w:val="00881C14"/>
    <w:rsid w:val="00893680"/>
    <w:rsid w:val="00895ED1"/>
    <w:rsid w:val="00895F60"/>
    <w:rsid w:val="008E3803"/>
    <w:rsid w:val="0092739A"/>
    <w:rsid w:val="00935038"/>
    <w:rsid w:val="00982CC5"/>
    <w:rsid w:val="009951FD"/>
    <w:rsid w:val="00A31F77"/>
    <w:rsid w:val="00A62429"/>
    <w:rsid w:val="00A6508B"/>
    <w:rsid w:val="00AD43F3"/>
    <w:rsid w:val="00AE60B4"/>
    <w:rsid w:val="00B11696"/>
    <w:rsid w:val="00B211F1"/>
    <w:rsid w:val="00B3123D"/>
    <w:rsid w:val="00B478FF"/>
    <w:rsid w:val="00B62318"/>
    <w:rsid w:val="00B95B4D"/>
    <w:rsid w:val="00BA4F4B"/>
    <w:rsid w:val="00BD466F"/>
    <w:rsid w:val="00BF1B27"/>
    <w:rsid w:val="00C42A3C"/>
    <w:rsid w:val="00C52A0D"/>
    <w:rsid w:val="00CD70F5"/>
    <w:rsid w:val="00CF1BC8"/>
    <w:rsid w:val="00CF5555"/>
    <w:rsid w:val="00D1458D"/>
    <w:rsid w:val="00D75AA8"/>
    <w:rsid w:val="00DB1CE1"/>
    <w:rsid w:val="00DC1952"/>
    <w:rsid w:val="00DC5E72"/>
    <w:rsid w:val="00DD5181"/>
    <w:rsid w:val="00E07253"/>
    <w:rsid w:val="00E32FB3"/>
    <w:rsid w:val="00E350F9"/>
    <w:rsid w:val="00E60E95"/>
    <w:rsid w:val="00E858A1"/>
    <w:rsid w:val="00E9148E"/>
    <w:rsid w:val="00EF3EBF"/>
    <w:rsid w:val="00F362BA"/>
    <w:rsid w:val="00F800ED"/>
    <w:rsid w:val="00F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E8F7"/>
  <w15:docId w15:val="{308F4689-68B0-4DFE-9813-E37FF04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B1F88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19A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7F77"/>
    <w:rPr>
      <w:color w:val="0000FF" w:themeColor="hyperlink"/>
      <w:u w:val="single"/>
    </w:rPr>
  </w:style>
  <w:style w:type="paragraph" w:styleId="Pagrindinistekstas2">
    <w:name w:val="Body Text 2"/>
    <w:basedOn w:val="prastasis"/>
    <w:link w:val="Pagrindinistekstas2Diagrama"/>
    <w:rsid w:val="00F362BA"/>
    <w:pPr>
      <w:jc w:val="center"/>
    </w:pPr>
    <w:rPr>
      <w:b/>
      <w:caps/>
      <w:sz w:val="22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62BA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2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2B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B1F88"/>
    <w:rPr>
      <w:rFonts w:ascii="Calibri Light" w:eastAsia="Times New Roman" w:hAnsi="Calibri Light" w:cs="Times New Roman"/>
      <w:b/>
      <w:i/>
      <w:sz w:val="28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368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368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3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egruyter.com/document/doi/10.1515/eng-2019-0022/html" TargetMode="External"/><Relationship Id="rId1" Type="http://schemas.openxmlformats.org/officeDocument/2006/relationships/hyperlink" Target="https://www.degruyter.com/search?query=*&amp;publisherFacet=De+Gruyte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16E1-AB0A-45FA-953F-CD74E905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2196</Words>
  <Characters>1253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Diana Brazdžiunienė</cp:lastModifiedBy>
  <cp:revision>2</cp:revision>
  <cp:lastPrinted>2022-06-23T07:32:00Z</cp:lastPrinted>
  <dcterms:created xsi:type="dcterms:W3CDTF">2022-11-14T11:09:00Z</dcterms:created>
  <dcterms:modified xsi:type="dcterms:W3CDTF">2022-11-14T11:09:00Z</dcterms:modified>
</cp:coreProperties>
</file>