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AFF46" w14:textId="77777777" w:rsidR="009D040C" w:rsidRPr="00C855E1" w:rsidRDefault="009D040C" w:rsidP="009D040C">
      <w:pPr>
        <w:widowControl w:val="0"/>
        <w:suppressAutoHyphens/>
        <w:ind w:left="6237"/>
        <w:rPr>
          <w:rFonts w:eastAsia="Lucida Sans Unicode"/>
          <w:b/>
          <w:bCs/>
          <w:szCs w:val="28"/>
          <w:lang w:eastAsia="ar-SA"/>
        </w:rPr>
      </w:pPr>
      <w:bookmarkStart w:id="0" w:name="_GoBack"/>
      <w:bookmarkEnd w:id="0"/>
      <w:r w:rsidRPr="00C855E1">
        <w:rPr>
          <w:rFonts w:eastAsia="Lucida Sans Unicode"/>
          <w:b/>
          <w:bCs/>
          <w:szCs w:val="28"/>
          <w:lang w:eastAsia="ar-SA"/>
        </w:rPr>
        <w:t>Projekto</w:t>
      </w:r>
    </w:p>
    <w:p w14:paraId="30514588" w14:textId="057A0C8B" w:rsidR="009D040C" w:rsidRPr="00C855E1" w:rsidRDefault="009D040C" w:rsidP="009D040C">
      <w:pPr>
        <w:widowControl w:val="0"/>
        <w:suppressAutoHyphens/>
        <w:ind w:left="6237"/>
        <w:rPr>
          <w:rFonts w:eastAsia="Lucida Sans Unicode"/>
          <w:b/>
          <w:bCs/>
          <w:szCs w:val="28"/>
          <w:lang w:eastAsia="ar-SA"/>
        </w:rPr>
      </w:pPr>
      <w:r w:rsidRPr="00C855E1">
        <w:rPr>
          <w:rFonts w:eastAsia="Lucida Sans Unicode"/>
          <w:b/>
          <w:bCs/>
          <w:szCs w:val="28"/>
          <w:lang w:eastAsia="ar-SA"/>
        </w:rPr>
        <w:t>lyginamasis variantas</w:t>
      </w:r>
    </w:p>
    <w:p w14:paraId="7D7068AA" w14:textId="77777777" w:rsidR="00D76815" w:rsidRDefault="00D76815" w:rsidP="009D040C">
      <w:pPr>
        <w:widowControl w:val="0"/>
        <w:suppressAutoHyphens/>
        <w:ind w:left="6237"/>
        <w:rPr>
          <w:rFonts w:eastAsia="Lucida Sans Unicode"/>
          <w:b/>
          <w:bCs/>
          <w:sz w:val="28"/>
          <w:szCs w:val="28"/>
          <w:lang w:eastAsia="ar-SA"/>
        </w:rPr>
      </w:pPr>
    </w:p>
    <w:p w14:paraId="4D4C3EF2" w14:textId="5A07EF33" w:rsidR="009D040C" w:rsidRPr="00FC6C75" w:rsidRDefault="009D040C" w:rsidP="009D040C">
      <w:pPr>
        <w:widowControl w:val="0"/>
        <w:suppressAutoHyphens/>
        <w:ind w:left="6237"/>
        <w:rPr>
          <w:rFonts w:eastAsia="Lucida Sans Unicode"/>
          <w:b/>
          <w:bCs/>
          <w:sz w:val="28"/>
          <w:szCs w:val="28"/>
          <w:lang w:eastAsia="ar-SA"/>
        </w:rPr>
      </w:pPr>
      <w:r>
        <w:rPr>
          <w:rFonts w:eastAsia="Lucida Sans Unicode"/>
          <w:b/>
          <w:bCs/>
          <w:sz w:val="28"/>
          <w:szCs w:val="28"/>
          <w:lang w:eastAsia="ar-SA"/>
        </w:rPr>
        <w:t xml:space="preserve"> </w:t>
      </w:r>
    </w:p>
    <w:p w14:paraId="0F2C96E3"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0F2C96E4" w14:textId="77777777" w:rsidR="00FC6C75" w:rsidRPr="00FC6C75" w:rsidRDefault="00FC6C75" w:rsidP="00FC6C75">
      <w:pPr>
        <w:widowControl w:val="0"/>
        <w:suppressAutoHyphens/>
        <w:jc w:val="center"/>
        <w:rPr>
          <w:rFonts w:eastAsia="Lucida Sans Unicode"/>
          <w:b/>
          <w:bCs/>
          <w:sz w:val="28"/>
          <w:szCs w:val="28"/>
          <w:lang w:eastAsia="ar-SA"/>
        </w:rPr>
      </w:pPr>
    </w:p>
    <w:p w14:paraId="0F2C96E5"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0CFBD8FB" w14:textId="77777777" w:rsidR="00F23D91" w:rsidRPr="00CC6014" w:rsidRDefault="00F23D91" w:rsidP="00F23D91">
      <w:pPr>
        <w:jc w:val="center"/>
        <w:rPr>
          <w:b/>
          <w:szCs w:val="24"/>
        </w:rPr>
      </w:pPr>
      <w:r w:rsidRPr="00CC6014">
        <w:rPr>
          <w:b/>
          <w:szCs w:val="24"/>
        </w:rPr>
        <w:t>DĖL SAVIVALDYBĖS TARYBOS 2020 M. SAUSIO 30 D. SPRENDIMO</w:t>
      </w:r>
      <w:r>
        <w:rPr>
          <w:b/>
          <w:szCs w:val="24"/>
        </w:rPr>
        <w:t xml:space="preserve"> NR. 1-7</w:t>
      </w:r>
      <w:r w:rsidRPr="00CC6014">
        <w:rPr>
          <w:b/>
          <w:szCs w:val="24"/>
        </w:rPr>
        <w:t xml:space="preserve"> „</w:t>
      </w:r>
      <w:r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0F2C96E7" w14:textId="77777777" w:rsidR="0038072F" w:rsidRPr="00932D99" w:rsidRDefault="0038072F" w:rsidP="0038072F">
      <w:pPr>
        <w:ind w:right="-142"/>
        <w:jc w:val="center"/>
      </w:pPr>
    </w:p>
    <w:p w14:paraId="0F2C96E9" w14:textId="7EBC0DCA"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20</w:t>
      </w:r>
      <w:r w:rsidR="0034645D">
        <w:rPr>
          <w:rFonts w:eastAsia="Lucida Sans Unicode"/>
          <w:szCs w:val="24"/>
          <w:lang w:eastAsia="ar-SA"/>
        </w:rPr>
        <w:t>2</w:t>
      </w:r>
      <w:r w:rsidR="00476F91">
        <w:rPr>
          <w:rFonts w:eastAsia="Lucida Sans Unicode"/>
          <w:szCs w:val="24"/>
          <w:lang w:eastAsia="ar-SA"/>
        </w:rPr>
        <w:t>2</w:t>
      </w:r>
      <w:r>
        <w:rPr>
          <w:rFonts w:eastAsia="Lucida Sans Unicode"/>
          <w:szCs w:val="24"/>
          <w:lang w:eastAsia="ar-SA"/>
        </w:rPr>
        <w:t xml:space="preserve"> m. </w:t>
      </w:r>
      <w:r w:rsidR="00F23D91">
        <w:rPr>
          <w:rFonts w:eastAsia="Lucida Sans Unicode"/>
          <w:szCs w:val="24"/>
          <w:lang w:eastAsia="ar-SA"/>
        </w:rPr>
        <w:t>gruodžio</w:t>
      </w:r>
      <w:r w:rsidR="0034645D">
        <w:rPr>
          <w:rFonts w:eastAsia="Lucida Sans Unicode"/>
          <w:szCs w:val="24"/>
          <w:lang w:eastAsia="ar-SA"/>
        </w:rPr>
        <w:t xml:space="preserve"> </w:t>
      </w:r>
      <w:r w:rsidR="00F23D91">
        <w:rPr>
          <w:rFonts w:eastAsia="Lucida Sans Unicode"/>
          <w:szCs w:val="24"/>
          <w:lang w:eastAsia="ar-SA"/>
        </w:rPr>
        <w:t>2</w:t>
      </w:r>
      <w:r w:rsidR="00476F91">
        <w:rPr>
          <w:rFonts w:eastAsia="Lucida Sans Unicode"/>
          <w:szCs w:val="24"/>
          <w:lang w:eastAsia="ar-SA"/>
        </w:rPr>
        <w:t>9</w:t>
      </w:r>
      <w:r w:rsidR="00882479">
        <w:rPr>
          <w:rFonts w:eastAsia="Lucida Sans Unicode"/>
          <w:szCs w:val="24"/>
          <w:lang w:eastAsia="ar-SA"/>
        </w:rPr>
        <w:t xml:space="preserve"> </w:t>
      </w:r>
      <w:r>
        <w:rPr>
          <w:rFonts w:eastAsia="Lucida Sans Unicode"/>
          <w:szCs w:val="24"/>
          <w:lang w:eastAsia="ar-SA"/>
        </w:rPr>
        <w:t xml:space="preserve">d. Nr. </w:t>
      </w:r>
      <w:r w:rsidR="0034645D">
        <w:rPr>
          <w:rFonts w:eastAsia="Lucida Sans Unicode"/>
          <w:szCs w:val="24"/>
          <w:lang w:eastAsia="ar-SA"/>
        </w:rPr>
        <w:t>1-</w:t>
      </w:r>
    </w:p>
    <w:p w14:paraId="0F2C96EA"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0F2C96EB" w14:textId="77777777" w:rsidR="00FC6C75" w:rsidRDefault="00FC6C75" w:rsidP="005078E0">
      <w:pPr>
        <w:spacing w:line="276" w:lineRule="auto"/>
        <w:jc w:val="center"/>
        <w:rPr>
          <w:bCs/>
          <w:szCs w:val="24"/>
        </w:rPr>
      </w:pPr>
    </w:p>
    <w:p w14:paraId="0F2C96EC" w14:textId="77777777" w:rsidR="00FC6C75" w:rsidRDefault="00FC6C75" w:rsidP="005078E0">
      <w:pPr>
        <w:spacing w:line="276" w:lineRule="auto"/>
        <w:jc w:val="center"/>
        <w:rPr>
          <w:bCs/>
          <w:szCs w:val="24"/>
        </w:rPr>
      </w:pPr>
    </w:p>
    <w:p w14:paraId="04291179" w14:textId="77777777" w:rsidR="00476F91" w:rsidRPr="00CE6A98" w:rsidRDefault="00476F91" w:rsidP="00476F91">
      <w:pPr>
        <w:spacing w:line="360" w:lineRule="auto"/>
        <w:ind w:firstLine="851"/>
        <w:jc w:val="both"/>
      </w:pPr>
      <w:r w:rsidRPr="00CE6A98">
        <w:t xml:space="preserve">Vadovaudamasi Lietuvos Respublikos vietos savivaldos įstatymo 16 straipsnio 4 dalimi, 18 straipsnio 1 dalimi, </w:t>
      </w:r>
      <w:r w:rsidRPr="00CE6A98">
        <w:rPr>
          <w:szCs w:val="24"/>
        </w:rPr>
        <w:t>Lietuvos Respublikos valstybės ir savivaldybių įstaigų darbuotojų darbo apmokėjimo ir komisijų narių atlygio už darbą įstatymu (2022 m. lapkričio 24 d. įstatymo Nr. XIV-1559 redakcija),</w:t>
      </w:r>
      <w:r w:rsidRPr="00CE6A98">
        <w:t xml:space="preserve"> Panevėžio miesto savivaldybės taryba n u s p r e n d ž i a:</w:t>
      </w:r>
    </w:p>
    <w:p w14:paraId="368FF3E6" w14:textId="77777777" w:rsidR="00476F91" w:rsidRPr="00CE6A98" w:rsidRDefault="00476F91" w:rsidP="00476F91">
      <w:pPr>
        <w:spacing w:line="360" w:lineRule="auto"/>
        <w:ind w:firstLine="851"/>
        <w:jc w:val="both"/>
        <w:rPr>
          <w:rFonts w:eastAsia="Calibri"/>
          <w:szCs w:val="24"/>
        </w:rPr>
      </w:pPr>
      <w:r w:rsidRPr="00CE6A98">
        <w:rPr>
          <w:rFonts w:eastAsia="Calibri"/>
          <w:szCs w:val="24"/>
        </w:rPr>
        <w:t xml:space="preserve">1. Pakeisti Panevėžio miesto savivaldybės biudžetinių įstaigų vadovų darbo apmokėjimo sistemą, patvirtintą Panevėžio miesto savivaldybės tarybos 2020 m. sausio 30 d. sprendimu Nr. </w:t>
      </w:r>
      <w:r w:rsidRPr="00CE6A98">
        <w:rPr>
          <w:rFonts w:eastAsia="Calibri"/>
          <w:szCs w:val="24"/>
        </w:rPr>
        <w:br/>
        <w:t>1-7 „Dėl Panevėžio miesto savivaldybės biudžetinių įstaigų vadovų darbo apmokėjimo sistemos patvirtinimo ir Savivaldybės tarybos 2018 m. rugpjūčio 30 d. sprendimo Nr. 1-260 pripažinimo netekusiu galios“:</w:t>
      </w:r>
    </w:p>
    <w:p w14:paraId="6CCE5563" w14:textId="77777777" w:rsidR="00C855A7" w:rsidRDefault="00C855A7" w:rsidP="00C855A7">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1</w:t>
      </w:r>
      <w:r w:rsidRPr="00762B93">
        <w:rPr>
          <w:rFonts w:eastAsia="Calibri"/>
          <w:bCs/>
          <w:szCs w:val="24"/>
        </w:rPr>
        <w:t xml:space="preserve">. Pakeisti </w:t>
      </w:r>
      <w:r>
        <w:rPr>
          <w:rFonts w:eastAsia="Calibri"/>
          <w:bCs/>
          <w:szCs w:val="24"/>
        </w:rPr>
        <w:t>10.2</w:t>
      </w:r>
      <w:r w:rsidRPr="00762B93">
        <w:rPr>
          <w:rFonts w:eastAsia="Calibri"/>
          <w:bCs/>
          <w:szCs w:val="24"/>
        </w:rPr>
        <w:t xml:space="preserve"> papunktį ir jį išdėstyti taip:</w:t>
      </w:r>
    </w:p>
    <w:p w14:paraId="084F4C23" w14:textId="73CEEC69" w:rsidR="00C855A7" w:rsidRDefault="00C855A7" w:rsidP="00C855A7">
      <w:pPr>
        <w:spacing w:line="360" w:lineRule="auto"/>
        <w:ind w:firstLine="851"/>
        <w:jc w:val="both"/>
        <w:rPr>
          <w:szCs w:val="24"/>
          <w:lang w:eastAsia="ar-SA"/>
        </w:rPr>
      </w:pPr>
      <w:r>
        <w:rPr>
          <w:rFonts w:eastAsia="Calibri"/>
          <w:szCs w:val="24"/>
        </w:rPr>
        <w:t xml:space="preserve">„10.2. </w:t>
      </w:r>
      <w:r>
        <w:rPr>
          <w:szCs w:val="24"/>
          <w:lang w:eastAsia="lt-LT"/>
        </w:rPr>
        <w:t>Į</w:t>
      </w:r>
      <w:r>
        <w:rPr>
          <w:rFonts w:eastAsia="Calibri"/>
          <w:bCs/>
          <w:szCs w:val="24"/>
        </w:rPr>
        <w:t xml:space="preserve">staigų </w:t>
      </w:r>
      <w:r>
        <w:rPr>
          <w:szCs w:val="24"/>
        </w:rPr>
        <w:t xml:space="preserve">vadovų, išskyrus mokyklų vadovus, pareiginės algos pastovioji dalis nustatoma pagal </w:t>
      </w:r>
      <w:r w:rsidRPr="00C855A7">
        <w:rPr>
          <w:strike/>
          <w:szCs w:val="24"/>
        </w:rPr>
        <w:t xml:space="preserve">Sistemos </w:t>
      </w:r>
      <w:r>
        <w:rPr>
          <w:szCs w:val="24"/>
        </w:rPr>
        <w:t xml:space="preserve"> </w:t>
      </w:r>
      <w:r>
        <w:rPr>
          <w:b/>
          <w:bCs/>
          <w:szCs w:val="24"/>
        </w:rPr>
        <w:t xml:space="preserve">Įstatymo </w:t>
      </w:r>
      <w:r>
        <w:rPr>
          <w:szCs w:val="24"/>
        </w:rPr>
        <w:t xml:space="preserve">1 priedą, švietimo pagalbos įstaigų vadovų – pagal </w:t>
      </w:r>
      <w:r w:rsidRPr="00C855A7">
        <w:rPr>
          <w:strike/>
          <w:szCs w:val="24"/>
        </w:rPr>
        <w:t xml:space="preserve">Sistemos 3 </w:t>
      </w:r>
      <w:r>
        <w:rPr>
          <w:b/>
          <w:bCs/>
          <w:szCs w:val="24"/>
        </w:rPr>
        <w:t xml:space="preserve">Įstatymo 5 </w:t>
      </w:r>
      <w:r>
        <w:rPr>
          <w:szCs w:val="24"/>
        </w:rPr>
        <w:t>priedą, atsižvelgiant į įstaigos pareigybių sąraše nustatytą darbuotojų pareigybių skaičių, vadovaujamo darbo patirtį,</w:t>
      </w:r>
      <w:r>
        <w:rPr>
          <w:rFonts w:eastAsia="Calibri"/>
          <w:szCs w:val="24"/>
          <w:lang w:eastAsia="ar-SA"/>
        </w:rPr>
        <w:t xml:space="preserve"> kuri apskaičiuojama sumuojant laikotarpius, kai buvo vadovaujama įmonėms, įstaigoms ir organizacijoms ir (ar) jų padaliniams;</w:t>
      </w:r>
      <w:r>
        <w:t>“;</w:t>
      </w:r>
    </w:p>
    <w:p w14:paraId="671BA4B1" w14:textId="77777777" w:rsidR="00C855A7" w:rsidRDefault="00C855A7" w:rsidP="00C855A7">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2</w:t>
      </w:r>
      <w:r w:rsidRPr="00762B93">
        <w:rPr>
          <w:rFonts w:eastAsia="Calibri"/>
          <w:bCs/>
          <w:szCs w:val="24"/>
        </w:rPr>
        <w:t xml:space="preserve">. Pakeisti </w:t>
      </w:r>
      <w:r>
        <w:rPr>
          <w:rFonts w:eastAsia="Calibri"/>
          <w:bCs/>
          <w:szCs w:val="24"/>
        </w:rPr>
        <w:t>10.5</w:t>
      </w:r>
      <w:r w:rsidRPr="00762B93">
        <w:rPr>
          <w:rFonts w:eastAsia="Calibri"/>
          <w:bCs/>
          <w:szCs w:val="24"/>
        </w:rPr>
        <w:t xml:space="preserve"> papunktį ir jį išdėstyti taip:</w:t>
      </w:r>
    </w:p>
    <w:p w14:paraId="2A8A18A2" w14:textId="564EA455" w:rsidR="00C855A7" w:rsidRDefault="00C855A7" w:rsidP="00C855A7">
      <w:pPr>
        <w:tabs>
          <w:tab w:val="left" w:pos="993"/>
          <w:tab w:val="left" w:pos="1134"/>
        </w:tabs>
        <w:spacing w:line="360" w:lineRule="auto"/>
        <w:ind w:firstLine="851"/>
        <w:jc w:val="both"/>
        <w:rPr>
          <w:szCs w:val="24"/>
          <w:lang w:eastAsia="lt-LT"/>
        </w:rPr>
      </w:pPr>
      <w:r>
        <w:rPr>
          <w:rFonts w:eastAsia="Calibri"/>
          <w:bCs/>
          <w:szCs w:val="24"/>
        </w:rPr>
        <w:t>„</w:t>
      </w:r>
      <w:r>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Pr>
          <w:szCs w:val="24"/>
          <w:lang w:eastAsia="lt-LT"/>
        </w:rPr>
        <w:t xml:space="preserve">Šiais atvejais </w:t>
      </w:r>
      <w:r w:rsidRPr="00C855A7">
        <w:rPr>
          <w:strike/>
          <w:szCs w:val="24"/>
          <w:lang w:eastAsia="lt-LT"/>
        </w:rPr>
        <w:t>šios Sistemos 1, 2 ir 3</w:t>
      </w:r>
      <w:r>
        <w:rPr>
          <w:szCs w:val="24"/>
          <w:lang w:eastAsia="lt-LT"/>
        </w:rPr>
        <w:t xml:space="preserve"> </w:t>
      </w:r>
      <w:r w:rsidRPr="00C855A7">
        <w:rPr>
          <w:b/>
          <w:bCs/>
          <w:szCs w:val="24"/>
          <w:lang w:eastAsia="lt-LT"/>
        </w:rPr>
        <w:t xml:space="preserve">Įstatymo 1 ir 5 </w:t>
      </w:r>
      <w:r w:rsidRPr="00C855A7">
        <w:rPr>
          <w:szCs w:val="24"/>
          <w:lang w:eastAsia="lt-LT"/>
        </w:rPr>
        <w:t>prieduose</w:t>
      </w:r>
      <w:r>
        <w:rPr>
          <w:szCs w:val="24"/>
          <w:lang w:eastAsia="lt-LT"/>
        </w:rPr>
        <w:t xml:space="preserve"> nustatyti pareiginės algos pastoviosios dalies koeficientai gali būti didinami iki 100 procentų; </w:t>
      </w:r>
      <w:r w:rsidRPr="00C855A7">
        <w:rPr>
          <w:b/>
          <w:bCs/>
          <w:szCs w:val="24"/>
          <w:lang w:eastAsia="lt-LT"/>
        </w:rPr>
        <w:t xml:space="preserve">Socialinių paslaugų srities </w:t>
      </w:r>
      <w:r w:rsidRPr="00C855A7">
        <w:rPr>
          <w:b/>
          <w:bCs/>
          <w:szCs w:val="24"/>
          <w:lang w:eastAsia="lt-LT"/>
        </w:rPr>
        <w:lastRenderedPageBreak/>
        <w:t>įstaigų vadovų pareiginės algos pastoviosios dalies koeficientas didinamas atsižvelgiant į jo turimą kvalifikacinę kategoriją: jeigu socialinių paslaugų srities įstaigos vadovo kvalifikacinė kategorija pirma (žemiausia), jo pareiginės algos pastoviosios dalies koeficientas didinamas 15 procentų, jeigu antra (aukštesnė), – 20 procentų, jeigu trečia (aukščiausia), – 30 procentų. Socialinių paslaugų srities įstaigų vadovams, neturintiems kvalifikacinės kategorijos, pareiginės algos pastoviosios dalies koeficientai gali būti didinami iki 10 procentų.</w:t>
      </w:r>
      <w:r>
        <w:rPr>
          <w:szCs w:val="24"/>
          <w:lang w:eastAsia="lt-LT"/>
        </w:rPr>
        <w:t>“;</w:t>
      </w:r>
    </w:p>
    <w:p w14:paraId="6BCCAD83" w14:textId="77777777" w:rsidR="00650C6B" w:rsidRDefault="00650C6B" w:rsidP="00650C6B">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3</w:t>
      </w:r>
      <w:r w:rsidRPr="00762B93">
        <w:rPr>
          <w:rFonts w:eastAsia="Calibri"/>
          <w:bCs/>
          <w:szCs w:val="24"/>
        </w:rPr>
        <w:t xml:space="preserve">. Pakeisti </w:t>
      </w:r>
      <w:r>
        <w:rPr>
          <w:rFonts w:eastAsia="Calibri"/>
          <w:bCs/>
          <w:szCs w:val="24"/>
        </w:rPr>
        <w:t>11</w:t>
      </w:r>
      <w:r w:rsidRPr="00762B93">
        <w:rPr>
          <w:rFonts w:eastAsia="Calibri"/>
          <w:bCs/>
          <w:szCs w:val="24"/>
        </w:rPr>
        <w:t>.</w:t>
      </w:r>
      <w:r>
        <w:rPr>
          <w:rFonts w:eastAsia="Calibri"/>
          <w:bCs/>
          <w:szCs w:val="24"/>
        </w:rPr>
        <w:t>1</w:t>
      </w:r>
      <w:r w:rsidRPr="00762B93">
        <w:rPr>
          <w:rFonts w:eastAsia="Calibri"/>
          <w:bCs/>
          <w:szCs w:val="24"/>
        </w:rPr>
        <w:t xml:space="preserve"> papunktį ir jį išdėstyti taip:</w:t>
      </w:r>
    </w:p>
    <w:p w14:paraId="26296A62" w14:textId="25F2998F" w:rsidR="00650C6B" w:rsidRPr="00762B93" w:rsidRDefault="00650C6B" w:rsidP="00650C6B">
      <w:pPr>
        <w:widowControl w:val="0"/>
        <w:spacing w:line="360" w:lineRule="auto"/>
        <w:ind w:firstLine="851"/>
        <w:jc w:val="both"/>
        <w:rPr>
          <w:rFonts w:eastAsia="Calibri"/>
          <w:bCs/>
          <w:szCs w:val="24"/>
        </w:rPr>
      </w:pPr>
      <w:r>
        <w:rPr>
          <w:rFonts w:eastAsia="Calibri"/>
          <w:bCs/>
          <w:szCs w:val="24"/>
        </w:rPr>
        <w:t>„</w:t>
      </w:r>
      <w:r w:rsidRPr="00C07F20">
        <w:rPr>
          <w:rFonts w:eastAsia="Calibri"/>
          <w:bCs/>
          <w:szCs w:val="24"/>
        </w:rPr>
        <w:t xml:space="preserve">11.1. mokyklų vadovų pareiginės algos pastovioji dalis nustatoma pagal </w:t>
      </w:r>
      <w:r w:rsidRPr="00650C6B">
        <w:rPr>
          <w:strike/>
          <w:szCs w:val="24"/>
        </w:rPr>
        <w:t>Sistemos 2</w:t>
      </w:r>
      <w:r>
        <w:rPr>
          <w:strike/>
          <w:szCs w:val="24"/>
        </w:rPr>
        <w:t xml:space="preserve"> </w:t>
      </w:r>
      <w:r w:rsidRPr="00650C6B">
        <w:rPr>
          <w:rFonts w:eastAsia="Calibri"/>
          <w:b/>
          <w:szCs w:val="24"/>
        </w:rPr>
        <w:t>Įstatymo</w:t>
      </w:r>
      <w:r>
        <w:rPr>
          <w:rFonts w:eastAsia="Calibri"/>
          <w:bCs/>
          <w:szCs w:val="24"/>
        </w:rPr>
        <w:t xml:space="preserve"> </w:t>
      </w:r>
      <w:r w:rsidRPr="00650C6B">
        <w:rPr>
          <w:rFonts w:eastAsia="Calibri"/>
          <w:b/>
          <w:szCs w:val="24"/>
        </w:rPr>
        <w:t>5</w:t>
      </w:r>
      <w:r w:rsidRPr="00C07F20">
        <w:rPr>
          <w:rFonts w:eastAsia="Calibri"/>
          <w:bCs/>
          <w:szCs w:val="24"/>
        </w:rPr>
        <w:t xml:space="preserve"> priedą, atsižvelgiant į mokykloje ugdomų mokinių skaičių, pedagoginio darbo stažą ir veiklos sudėtingumą</w:t>
      </w:r>
      <w:r>
        <w:rPr>
          <w:rFonts w:eastAsia="Calibri"/>
          <w:bCs/>
          <w:szCs w:val="24"/>
        </w:rPr>
        <w:t xml:space="preserve">. </w:t>
      </w:r>
      <w:r w:rsidRPr="00650C6B">
        <w:rPr>
          <w:rFonts w:eastAsia="Calibri"/>
          <w:b/>
          <w:szCs w:val="24"/>
        </w:rPr>
        <w:t>Pareigybių, kurias atliekant darbas laikomas pedagoginiu ir įskaitomas į pedagoginio darbo stažą, sąrašą tvirtina švietimo, mokslo ir sporto ministras</w:t>
      </w:r>
      <w:r>
        <w:rPr>
          <w:rFonts w:eastAsia="Calibri"/>
          <w:bCs/>
          <w:szCs w:val="24"/>
        </w:rPr>
        <w:t>;“;</w:t>
      </w:r>
    </w:p>
    <w:p w14:paraId="0DC7C558" w14:textId="77777777" w:rsidR="00377191" w:rsidRPr="00762B93" w:rsidRDefault="00377191" w:rsidP="00377191">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4</w:t>
      </w:r>
      <w:r w:rsidRPr="00762B93">
        <w:rPr>
          <w:rFonts w:eastAsia="Calibri"/>
          <w:bCs/>
          <w:szCs w:val="24"/>
        </w:rPr>
        <w:t xml:space="preserve">. Pakeisti </w:t>
      </w:r>
      <w:r>
        <w:rPr>
          <w:rFonts w:eastAsia="Calibri"/>
          <w:bCs/>
          <w:szCs w:val="24"/>
        </w:rPr>
        <w:t>11.2</w:t>
      </w:r>
      <w:r w:rsidRPr="00762B93">
        <w:rPr>
          <w:rFonts w:eastAsia="Calibri"/>
          <w:bCs/>
          <w:szCs w:val="24"/>
        </w:rPr>
        <w:t xml:space="preserve"> papunktį ir jį išdėstyti taip:</w:t>
      </w:r>
    </w:p>
    <w:p w14:paraId="43EA7545" w14:textId="234C2CA6" w:rsidR="00377191" w:rsidRPr="00377191" w:rsidRDefault="00377191" w:rsidP="00377191">
      <w:pPr>
        <w:widowControl w:val="0"/>
        <w:spacing w:line="360" w:lineRule="auto"/>
        <w:ind w:firstLine="851"/>
        <w:jc w:val="both"/>
        <w:rPr>
          <w:b/>
          <w:bCs/>
          <w:szCs w:val="24"/>
          <w:lang w:eastAsia="lt-LT"/>
        </w:rPr>
      </w:pPr>
      <w:r>
        <w:rPr>
          <w:szCs w:val="24"/>
          <w:lang w:eastAsia="lt-LT"/>
        </w:rPr>
        <w:t>„11.</w:t>
      </w:r>
      <w:r w:rsidRPr="00C07F20">
        <w:rPr>
          <w:szCs w:val="24"/>
          <w:lang w:eastAsia="lt-LT"/>
        </w:rPr>
        <w:t>2.</w:t>
      </w:r>
      <w:r w:rsidRPr="00377191">
        <w:rPr>
          <w:strike/>
          <w:szCs w:val="24"/>
          <w:lang w:eastAsia="lt-LT"/>
        </w:rPr>
        <w:t xml:space="preserve"> </w:t>
      </w:r>
      <w:r w:rsidRPr="00CB363C">
        <w:rPr>
          <w:strike/>
          <w:szCs w:val="24"/>
          <w:lang w:eastAsia="lt-LT"/>
        </w:rPr>
        <w:t>pareigybių, kurias atliekant darbas laikomas pedagoginiu ir įskaitomas į pedagoginio darbo stažą, sąrašą tvirtina švietimo, mokslo ir sporto ministras.</w:t>
      </w:r>
      <w:r w:rsidRPr="00C07F20">
        <w:rPr>
          <w:szCs w:val="24"/>
          <w:lang w:eastAsia="lt-LT"/>
        </w:rPr>
        <w:t xml:space="preserve"> </w:t>
      </w:r>
      <w:r w:rsidRPr="00377191">
        <w:rPr>
          <w:b/>
          <w:bCs/>
          <w:szCs w:val="24"/>
          <w:lang w:eastAsia="lt-LT"/>
        </w:rPr>
        <w:t>mokyklų vadovų pareiginės algos pastoviosios dalies koeficientai dėl veiklos sudėtingumo:</w:t>
      </w:r>
    </w:p>
    <w:p w14:paraId="14A1A9AB"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11.2.1. didinami 5 procentais:</w:t>
      </w:r>
    </w:p>
    <w:p w14:paraId="18F6B12F"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11.2.1.1. ikimokyklinio ugdymo mokyklų, bendrojo ugdymo mokyklų, išskyrus 11.2.2.2  ir 11.2.2.3 papunkčiuose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4AF8040F"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27C07ED4"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11.2.2. didinami 10 procentų:</w:t>
      </w:r>
    </w:p>
    <w:p w14:paraId="1ECE5A84"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11.2.2.1. ikimokyklinio ugdymo mokyklų, bendrojo ugdymo mokyklų, išskyrus 11.2.2.2 ir 11.2.2.3 papunkčiuose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6D734913"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 xml:space="preserve">11.2.2.2. mokyklų vadovams, dirbantiems mokyklose, skirtose mokiniams, dėl įgimtų ar įgytų sutrikimų turintiems didelių ar labai didelių specialiųjų ugdymosi poreikių, ar mokyklose, kurios turi padalinius, skirtus specialiųjų ugdymosi poreikių turintiems </w:t>
      </w:r>
      <w:r w:rsidRPr="00377191">
        <w:rPr>
          <w:b/>
          <w:bCs/>
          <w:szCs w:val="24"/>
          <w:lang w:eastAsia="lt-LT"/>
        </w:rPr>
        <w:lastRenderedPageBreak/>
        <w:t>mokiniams, dėl įgimtų ar įgytų sutrikimų turintiems didelių ar labai didelių specialiųjų ugdymosi poreikių;</w:t>
      </w:r>
    </w:p>
    <w:p w14:paraId="7AC756E9"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11.2.2.3 mokyklų vadovams, dirbantiems mokyklose, skirtose mokiniams, dėl nepalankių aplinkos veiksnių turintiems specialiųjų ugdymosi poreikių;</w:t>
      </w:r>
    </w:p>
    <w:p w14:paraId="4C5E0FF8"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4F978984"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11.2.4. jeigu savita, specifinė mokyklos veikla atitinka vieną iš 11.2.3 papunktyje išvardytų kriterijų, mokyklos vadovo pareiginės algos pastoviosios dalies koeficientas didinamas 10 procentų, jeigu du ar daugiau – 15 procentų;“;</w:t>
      </w:r>
    </w:p>
    <w:p w14:paraId="3602CFFD" w14:textId="77777777" w:rsidR="00377191" w:rsidRPr="00762B93" w:rsidRDefault="00377191" w:rsidP="00377191">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5</w:t>
      </w:r>
      <w:r w:rsidRPr="00762B93">
        <w:rPr>
          <w:rFonts w:eastAsia="Calibri"/>
          <w:bCs/>
          <w:szCs w:val="24"/>
        </w:rPr>
        <w:t>. Pa</w:t>
      </w:r>
      <w:r>
        <w:rPr>
          <w:rFonts w:eastAsia="Calibri"/>
          <w:bCs/>
          <w:szCs w:val="24"/>
        </w:rPr>
        <w:t>pildyti Sistemą 11.3–11.5</w:t>
      </w:r>
      <w:r w:rsidRPr="00762B93">
        <w:rPr>
          <w:rFonts w:eastAsia="Calibri"/>
          <w:bCs/>
          <w:szCs w:val="24"/>
        </w:rPr>
        <w:t xml:space="preserve"> </w:t>
      </w:r>
      <w:r>
        <w:rPr>
          <w:rFonts w:eastAsia="Calibri"/>
          <w:bCs/>
          <w:szCs w:val="24"/>
        </w:rPr>
        <w:t>pa</w:t>
      </w:r>
      <w:r w:rsidRPr="00762B93">
        <w:rPr>
          <w:rFonts w:eastAsia="Calibri"/>
          <w:bCs/>
          <w:szCs w:val="24"/>
        </w:rPr>
        <w:t>punk</w:t>
      </w:r>
      <w:r>
        <w:rPr>
          <w:rFonts w:eastAsia="Calibri"/>
          <w:bCs/>
          <w:szCs w:val="24"/>
        </w:rPr>
        <w:t>čiais</w:t>
      </w:r>
      <w:r w:rsidRPr="00762B93">
        <w:rPr>
          <w:rFonts w:eastAsia="Calibri"/>
          <w:bCs/>
          <w:szCs w:val="24"/>
        </w:rPr>
        <w:t>:</w:t>
      </w:r>
    </w:p>
    <w:p w14:paraId="24F1DC87"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„11.3. jeigu mokyklos vadovo veikla atitinka du ir daugiau 11.2 papunktyje nustatytus kriterijus, jo pareiginės algos pastoviosios dalies koeficientas didinamas ne daugiau kaip 25 procentais;</w:t>
      </w:r>
    </w:p>
    <w:p w14:paraId="6DA5E2AF" w14:textId="77777777" w:rsidR="00377191" w:rsidRP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11.4. pagal 11.2.1.1 ir 11.2.2.1 papunkčius pareiginės algos pastoviosios dalies koeficientai didinami mokyklos vadovui pateikus prašymą ir švietimo pagalbos gavėjų sąrašo, suderinto su Pedagogine-psichologine tarnyba ir Švietimo skyriumi, kopiją. Kitais 11.2 papunktyje nustatytais atvejais teikiamas mokyklos vadovo prašymas, suderintas su Savivaldybės administracijos kuruojančiais struktūriniais padaliniais;</w:t>
      </w:r>
    </w:p>
    <w:p w14:paraId="0FF643E5" w14:textId="67814BE9" w:rsidR="00377191" w:rsidRDefault="00377191" w:rsidP="00377191">
      <w:pPr>
        <w:tabs>
          <w:tab w:val="left" w:pos="1134"/>
        </w:tabs>
        <w:spacing w:line="360" w:lineRule="auto"/>
        <w:ind w:firstLine="851"/>
        <w:jc w:val="both"/>
        <w:rPr>
          <w:b/>
          <w:bCs/>
          <w:szCs w:val="24"/>
          <w:lang w:eastAsia="lt-LT"/>
        </w:rPr>
      </w:pPr>
      <w:r w:rsidRPr="00377191">
        <w:rPr>
          <w:b/>
          <w:bCs/>
          <w:szCs w:val="24"/>
          <w:lang w:eastAsia="lt-LT"/>
        </w:rPr>
        <w:t>11.5.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Bendrabučiuose gyvenantys mokiniai į bendrą mokinių skaičių įskaičiuojami taikant koeficientą 1,5. 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19BA80C7" w14:textId="77777777" w:rsidR="00383F6D" w:rsidRPr="00762B93" w:rsidRDefault="00383F6D" w:rsidP="00383F6D">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6</w:t>
      </w:r>
      <w:r w:rsidRPr="00762B93">
        <w:rPr>
          <w:rFonts w:eastAsia="Calibri"/>
          <w:bCs/>
          <w:szCs w:val="24"/>
        </w:rPr>
        <w:t xml:space="preserve">. Pakeisti </w:t>
      </w:r>
      <w:r>
        <w:rPr>
          <w:rFonts w:eastAsia="Calibri"/>
          <w:bCs/>
          <w:szCs w:val="24"/>
        </w:rPr>
        <w:t>12</w:t>
      </w:r>
      <w:r w:rsidRPr="00762B93">
        <w:rPr>
          <w:rFonts w:eastAsia="Calibri"/>
          <w:bCs/>
          <w:szCs w:val="24"/>
        </w:rPr>
        <w:t xml:space="preserve"> punk</w:t>
      </w:r>
      <w:r>
        <w:rPr>
          <w:rFonts w:eastAsia="Calibri"/>
          <w:bCs/>
          <w:szCs w:val="24"/>
        </w:rPr>
        <w:t>tą</w:t>
      </w:r>
      <w:r w:rsidRPr="00762B93">
        <w:rPr>
          <w:rFonts w:eastAsia="Calibri"/>
          <w:bCs/>
          <w:szCs w:val="24"/>
        </w:rPr>
        <w:t xml:space="preserve"> ir jį išdėstyti taip:</w:t>
      </w:r>
    </w:p>
    <w:p w14:paraId="22EB15E1" w14:textId="77777777" w:rsidR="00383F6D" w:rsidRDefault="00383F6D" w:rsidP="00383F6D">
      <w:pPr>
        <w:tabs>
          <w:tab w:val="left" w:pos="1276"/>
        </w:tabs>
        <w:spacing w:line="360" w:lineRule="auto"/>
        <w:ind w:firstLine="851"/>
        <w:jc w:val="both"/>
        <w:rPr>
          <w:szCs w:val="24"/>
        </w:rPr>
      </w:pPr>
      <w:r>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2FB32C6F" w14:textId="77777777" w:rsidR="00383F6D" w:rsidRDefault="00383F6D" w:rsidP="00383F6D">
      <w:pPr>
        <w:tabs>
          <w:tab w:val="left" w:pos="993"/>
          <w:tab w:val="left" w:pos="1134"/>
        </w:tabs>
        <w:spacing w:line="360" w:lineRule="auto"/>
        <w:ind w:firstLine="851"/>
        <w:jc w:val="both"/>
        <w:rPr>
          <w:szCs w:val="24"/>
        </w:rPr>
      </w:pPr>
      <w:r>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07BC740C" w14:textId="778C2818" w:rsidR="00383F6D" w:rsidRDefault="00383F6D" w:rsidP="00383F6D">
      <w:pPr>
        <w:tabs>
          <w:tab w:val="left" w:pos="1276"/>
        </w:tabs>
        <w:spacing w:line="360" w:lineRule="auto"/>
        <w:ind w:firstLine="851"/>
        <w:jc w:val="both"/>
      </w:pPr>
      <w:r>
        <w:rPr>
          <w:szCs w:val="24"/>
        </w:rPr>
        <w:t xml:space="preserve">Pasikeitus Įstaigos vadovo, </w:t>
      </w:r>
      <w:r w:rsidRPr="001B5167">
        <w:rPr>
          <w:szCs w:val="24"/>
        </w:rPr>
        <w:t>išskyrus</w:t>
      </w:r>
      <w:r w:rsidR="001B5167">
        <w:rPr>
          <w:szCs w:val="24"/>
        </w:rPr>
        <w:t xml:space="preserve"> </w:t>
      </w:r>
      <w:r w:rsidR="001B5167" w:rsidRPr="001B5167">
        <w:rPr>
          <w:strike/>
          <w:szCs w:val="24"/>
        </w:rPr>
        <w:t>mokyklų</w:t>
      </w:r>
      <w:r>
        <w:rPr>
          <w:szCs w:val="24"/>
        </w:rPr>
        <w:t xml:space="preserve"> </w:t>
      </w:r>
      <w:r w:rsidR="00882E66" w:rsidRPr="00882E66">
        <w:rPr>
          <w:b/>
          <w:bCs/>
          <w:szCs w:val="24"/>
        </w:rPr>
        <w:t>š</w:t>
      </w:r>
      <w:r w:rsidRPr="00882E66">
        <w:rPr>
          <w:b/>
          <w:bCs/>
          <w:szCs w:val="24"/>
        </w:rPr>
        <w:t>vietimo</w:t>
      </w:r>
      <w:r w:rsidRPr="001B5167">
        <w:rPr>
          <w:b/>
          <w:bCs/>
          <w:szCs w:val="24"/>
        </w:rPr>
        <w:t xml:space="preserve"> įstaigų</w:t>
      </w:r>
      <w:r>
        <w:rPr>
          <w:szCs w:val="24"/>
        </w:rPr>
        <w:t xml:space="preserve"> vadovus, vadovaujamo darbo patirčiai ir atsižvelgiant į atitinkamas</w:t>
      </w:r>
      <w:r w:rsidR="001B5167">
        <w:rPr>
          <w:szCs w:val="24"/>
        </w:rPr>
        <w:t xml:space="preserve"> </w:t>
      </w:r>
      <w:r w:rsidR="001B5167" w:rsidRPr="001B5167">
        <w:rPr>
          <w:strike/>
          <w:szCs w:val="24"/>
        </w:rPr>
        <w:t>Sistemos 1 ar 3 prieduose</w:t>
      </w:r>
      <w:r>
        <w:rPr>
          <w:szCs w:val="24"/>
        </w:rPr>
        <w:t xml:space="preserve"> </w:t>
      </w:r>
      <w:r w:rsidRPr="001B5167">
        <w:rPr>
          <w:b/>
          <w:bCs/>
          <w:szCs w:val="24"/>
        </w:rPr>
        <w:t>Įstatymo 1 priede</w:t>
      </w:r>
      <w:r>
        <w:rPr>
          <w:szCs w:val="24"/>
        </w:rPr>
        <w:t xml:space="preserve"> nurodytas pareiginės algos pastoviosios dalies koeficiento ribas nustatomas naujas iki 5 procentų didesnis už buvusį pareiginės algos pas</w:t>
      </w:r>
      <w:r w:rsidR="00C00DCF">
        <w:rPr>
          <w:szCs w:val="24"/>
        </w:rPr>
        <w:t>toviosios dalies koeficientas.“.</w:t>
      </w:r>
    </w:p>
    <w:p w14:paraId="3163FB54" w14:textId="77777777" w:rsidR="0078710F" w:rsidRPr="00762B93" w:rsidRDefault="0078710F" w:rsidP="0078710F">
      <w:pPr>
        <w:widowControl w:val="0"/>
        <w:spacing w:line="360" w:lineRule="auto"/>
        <w:ind w:firstLine="851"/>
        <w:jc w:val="both"/>
        <w:rPr>
          <w:rFonts w:eastAsia="Calibri"/>
          <w:bCs/>
          <w:szCs w:val="24"/>
        </w:rPr>
      </w:pPr>
      <w:r w:rsidRPr="00762B93">
        <w:rPr>
          <w:rFonts w:eastAsia="Calibri"/>
          <w:bCs/>
          <w:szCs w:val="24"/>
        </w:rPr>
        <w:t>1.</w:t>
      </w:r>
      <w:r>
        <w:rPr>
          <w:rFonts w:eastAsia="Calibri"/>
          <w:bCs/>
          <w:szCs w:val="24"/>
        </w:rPr>
        <w:t>7</w:t>
      </w:r>
      <w:r w:rsidRPr="00762B93">
        <w:rPr>
          <w:rFonts w:eastAsia="Calibri"/>
          <w:bCs/>
          <w:szCs w:val="24"/>
        </w:rPr>
        <w:t xml:space="preserve">. Pakeisti </w:t>
      </w:r>
      <w:r>
        <w:rPr>
          <w:rFonts w:eastAsia="Calibri"/>
          <w:bCs/>
          <w:szCs w:val="24"/>
        </w:rPr>
        <w:t>14</w:t>
      </w:r>
      <w:r w:rsidRPr="00762B93">
        <w:rPr>
          <w:rFonts w:eastAsia="Calibri"/>
          <w:bCs/>
          <w:szCs w:val="24"/>
        </w:rPr>
        <w:t xml:space="preserve"> punk</w:t>
      </w:r>
      <w:r>
        <w:rPr>
          <w:rFonts w:eastAsia="Calibri"/>
          <w:bCs/>
          <w:szCs w:val="24"/>
        </w:rPr>
        <w:t>tą</w:t>
      </w:r>
      <w:r w:rsidRPr="00762B93">
        <w:rPr>
          <w:rFonts w:eastAsia="Calibri"/>
          <w:bCs/>
          <w:szCs w:val="24"/>
        </w:rPr>
        <w:t xml:space="preserve"> ir jį išdėstyti taip:</w:t>
      </w:r>
    </w:p>
    <w:p w14:paraId="242C0862" w14:textId="67CCFE70" w:rsidR="00C855A7" w:rsidRDefault="0078710F" w:rsidP="0042643E">
      <w:pPr>
        <w:spacing w:line="360" w:lineRule="auto"/>
        <w:ind w:firstLine="851"/>
        <w:jc w:val="both"/>
        <w:rPr>
          <w:bCs/>
          <w:szCs w:val="24"/>
        </w:rPr>
      </w:pPr>
      <w:r>
        <w:rPr>
          <w:szCs w:val="24"/>
        </w:rPr>
        <w:t xml:space="preserve">„14. Įstaigos vadovo pareiginės algos pastoviosios dalies koeficientą pagal </w:t>
      </w:r>
      <w:r>
        <w:rPr>
          <w:strike/>
          <w:szCs w:val="24"/>
        </w:rPr>
        <w:t>Sistemos 1, 2 ir 5</w:t>
      </w:r>
      <w:r>
        <w:rPr>
          <w:szCs w:val="24"/>
        </w:rPr>
        <w:t xml:space="preserve"> </w:t>
      </w:r>
      <w:r w:rsidRPr="0078710F">
        <w:rPr>
          <w:b/>
          <w:bCs/>
          <w:szCs w:val="24"/>
        </w:rPr>
        <w:t>Įstatymo 1 ir 5</w:t>
      </w:r>
      <w:r>
        <w:rPr>
          <w:szCs w:val="24"/>
        </w:rPr>
        <w:t xml:space="preserve"> prieduose numatytus koeficientus, atsižvelgdamas į Sistemoje nustatytus kriterijus, nustato Savivaldybės meras.“;</w:t>
      </w:r>
      <w:r>
        <w:t xml:space="preserve"> </w:t>
      </w:r>
    </w:p>
    <w:p w14:paraId="7539E1F2" w14:textId="35B4E5D8" w:rsidR="00476F91" w:rsidRPr="0042643E" w:rsidRDefault="00476F91" w:rsidP="00476F91">
      <w:pPr>
        <w:pStyle w:val="Sraopastraipa"/>
        <w:tabs>
          <w:tab w:val="left" w:pos="993"/>
          <w:tab w:val="left" w:pos="1134"/>
        </w:tabs>
        <w:spacing w:line="360" w:lineRule="auto"/>
        <w:ind w:left="851"/>
        <w:jc w:val="both"/>
        <w:rPr>
          <w:bCs/>
          <w:szCs w:val="24"/>
        </w:rPr>
      </w:pPr>
      <w:r w:rsidRPr="0042643E">
        <w:rPr>
          <w:bCs/>
          <w:szCs w:val="24"/>
        </w:rPr>
        <w:t>1.</w:t>
      </w:r>
      <w:r w:rsidR="0042643E" w:rsidRPr="0042643E">
        <w:rPr>
          <w:bCs/>
          <w:szCs w:val="24"/>
        </w:rPr>
        <w:t>8</w:t>
      </w:r>
      <w:r w:rsidRPr="0042643E">
        <w:rPr>
          <w:bCs/>
          <w:szCs w:val="24"/>
        </w:rPr>
        <w:t>. Pakeisti 16.2 papunktį ir jį išdėstyti taip:</w:t>
      </w:r>
    </w:p>
    <w:p w14:paraId="127760AB" w14:textId="019F0B04" w:rsidR="00476F91" w:rsidRPr="0042643E" w:rsidRDefault="00476F91" w:rsidP="00476F91">
      <w:pPr>
        <w:tabs>
          <w:tab w:val="left" w:pos="993"/>
        </w:tabs>
        <w:spacing w:line="360" w:lineRule="auto"/>
        <w:ind w:firstLine="851"/>
        <w:jc w:val="both"/>
        <w:rPr>
          <w:b/>
          <w:szCs w:val="24"/>
        </w:rPr>
      </w:pPr>
      <w:r w:rsidRPr="0042643E">
        <w:rPr>
          <w:rFonts w:eastAsia="Calibri"/>
          <w:bCs/>
          <w:szCs w:val="24"/>
        </w:rPr>
        <w:t xml:space="preserve">„16.2. </w:t>
      </w:r>
      <w:r w:rsidRPr="0042643E">
        <w:rPr>
          <w:spacing w:val="2"/>
          <w:szCs w:val="24"/>
        </w:rPr>
        <w:t xml:space="preserve">16.1.1–16.1.3 papunkčiuose </w:t>
      </w:r>
      <w:r w:rsidR="00C00DCF" w:rsidRPr="00FD6D87">
        <w:rPr>
          <w:b/>
          <w:spacing w:val="2"/>
          <w:szCs w:val="24"/>
        </w:rPr>
        <w:t>nustatytų</w:t>
      </w:r>
      <w:r w:rsidR="00C00DCF">
        <w:rPr>
          <w:spacing w:val="2"/>
          <w:szCs w:val="24"/>
        </w:rPr>
        <w:t xml:space="preserve"> </w:t>
      </w:r>
      <w:r w:rsidRPr="00C00DCF">
        <w:rPr>
          <w:strike/>
          <w:spacing w:val="2"/>
          <w:szCs w:val="24"/>
        </w:rPr>
        <w:t>nustatytos</w:t>
      </w:r>
      <w:r w:rsidRPr="0042643E">
        <w:rPr>
          <w:spacing w:val="2"/>
          <w:szCs w:val="24"/>
        </w:rPr>
        <w:t xml:space="preserve"> </w:t>
      </w:r>
      <w:r w:rsidRPr="0042643E">
        <w:rPr>
          <w:strike/>
          <w:spacing w:val="2"/>
          <w:szCs w:val="24"/>
        </w:rPr>
        <w:t>priemokos</w:t>
      </w:r>
      <w:r w:rsidR="00E83149" w:rsidRPr="0042643E">
        <w:rPr>
          <w:spacing w:val="2"/>
          <w:szCs w:val="24"/>
        </w:rPr>
        <w:t xml:space="preserve"> </w:t>
      </w:r>
      <w:r w:rsidR="00E83149" w:rsidRPr="0042643E">
        <w:rPr>
          <w:b/>
          <w:bCs/>
          <w:spacing w:val="2"/>
          <w:szCs w:val="24"/>
        </w:rPr>
        <w:t>priemok</w:t>
      </w:r>
      <w:r w:rsidRPr="0042643E">
        <w:rPr>
          <w:b/>
          <w:bCs/>
          <w:spacing w:val="2"/>
          <w:szCs w:val="24"/>
        </w:rPr>
        <w:t>ų, kurios</w:t>
      </w:r>
      <w:r w:rsidRPr="0042643E">
        <w:rPr>
          <w:spacing w:val="2"/>
          <w:szCs w:val="24"/>
        </w:rPr>
        <w:t xml:space="preserve"> gali </w:t>
      </w:r>
      <w:r w:rsidRPr="0042643E">
        <w:rPr>
          <w:b/>
          <w:bCs/>
          <w:szCs w:val="24"/>
          <w:lang w:eastAsia="lt-LT"/>
        </w:rPr>
        <w:t xml:space="preserve">būti skiriamos ne ilgiau kaip iki kalendorinių metų pabaigos, suma negali viršyti </w:t>
      </w:r>
      <w:r w:rsidRPr="00FD6D87">
        <w:rPr>
          <w:bCs/>
          <w:strike/>
          <w:spacing w:val="2"/>
          <w:szCs w:val="24"/>
        </w:rPr>
        <w:t>siekti iki</w:t>
      </w:r>
      <w:r w:rsidRPr="0042643E">
        <w:rPr>
          <w:b/>
          <w:bCs/>
          <w:spacing w:val="2"/>
          <w:szCs w:val="24"/>
        </w:rPr>
        <w:t xml:space="preserve"> </w:t>
      </w:r>
      <w:r w:rsidRPr="0042643E">
        <w:rPr>
          <w:spacing w:val="2"/>
          <w:szCs w:val="24"/>
        </w:rPr>
        <w:t>30 procentų pareiginės algos pastoviosios dalies dydžio</w:t>
      </w:r>
      <w:r w:rsidRPr="0042643E">
        <w:rPr>
          <w:b/>
          <w:bCs/>
          <w:spacing w:val="2"/>
          <w:szCs w:val="24"/>
        </w:rPr>
        <w:t>.</w:t>
      </w:r>
      <w:r w:rsidRPr="0042643E">
        <w:rPr>
          <w:spacing w:val="2"/>
          <w:szCs w:val="24"/>
        </w:rPr>
        <w:t xml:space="preserve"> </w:t>
      </w:r>
      <w:r w:rsidRPr="0042643E">
        <w:rPr>
          <w:strike/>
          <w:spacing w:val="2"/>
          <w:szCs w:val="24"/>
        </w:rPr>
        <w:t>ir gali būti skiriamos ne ilgiau kaip iki kalendorinių metų pabaigos.</w:t>
      </w:r>
      <w:r w:rsidRPr="0042643E">
        <w:rPr>
          <w:spacing w:val="2"/>
          <w:szCs w:val="24"/>
        </w:rPr>
        <w:t xml:space="preserve"> Šių </w:t>
      </w:r>
      <w:r w:rsidRPr="0042643E">
        <w:rPr>
          <w:bCs/>
          <w:szCs w:val="24"/>
        </w:rPr>
        <w:t>priemokų ir pareiginės algos kintamosios dalies suma negali viršyti 60 procentų nustatytos pareiginės algos pastoviosios dalies dydžio. 16.1.4 papunktyje nustatyta priemoka gali siekti iki 20 procentų pareiginės algos pastoviosios dalies dydžio ir gali būti skiriama iki darbo, esant nukrypimų nuo normalių darbo sąlygų, pabaigos. 16.1.4 pa</w:t>
      </w:r>
      <w:r w:rsidRPr="0042643E">
        <w:rPr>
          <w:szCs w:val="24"/>
        </w:rPr>
        <w:t xml:space="preserve">punktyje nustatyta priemoka neskiriama, jei Įstaigos vadovui karantino metu taikomi specialiuose įstatymuose </w:t>
      </w:r>
      <w:r w:rsidRPr="0042643E">
        <w:rPr>
          <w:bCs/>
          <w:szCs w:val="24"/>
          <w:shd w:val="clear" w:color="auto" w:fill="FFFFFF"/>
        </w:rPr>
        <w:t>nustatyti darbo apmokėjimo dydžiai;“;</w:t>
      </w:r>
    </w:p>
    <w:p w14:paraId="4851447D" w14:textId="13A551CA" w:rsidR="00476F91" w:rsidRPr="0042643E" w:rsidRDefault="00476F91" w:rsidP="00476F91">
      <w:pPr>
        <w:widowControl w:val="0"/>
        <w:spacing w:line="360" w:lineRule="auto"/>
        <w:ind w:firstLine="851"/>
        <w:jc w:val="both"/>
        <w:rPr>
          <w:rFonts w:eastAsia="Calibri"/>
          <w:bCs/>
          <w:szCs w:val="24"/>
        </w:rPr>
      </w:pPr>
      <w:r w:rsidRPr="0042643E">
        <w:rPr>
          <w:rFonts w:eastAsia="Calibri"/>
          <w:bCs/>
          <w:szCs w:val="24"/>
        </w:rPr>
        <w:t>1.</w:t>
      </w:r>
      <w:r w:rsidR="0042643E" w:rsidRPr="0042643E">
        <w:rPr>
          <w:rFonts w:eastAsia="Calibri"/>
          <w:bCs/>
          <w:szCs w:val="24"/>
        </w:rPr>
        <w:t>9</w:t>
      </w:r>
      <w:r w:rsidRPr="0042643E">
        <w:rPr>
          <w:rFonts w:eastAsia="Calibri"/>
          <w:bCs/>
          <w:szCs w:val="24"/>
        </w:rPr>
        <w:t>. Pakeisti 28.4 papunktį ir jį išdėstyti taip:</w:t>
      </w:r>
    </w:p>
    <w:p w14:paraId="3FEBE37A" w14:textId="14541181" w:rsidR="0042643E" w:rsidRDefault="0042643E" w:rsidP="0042643E">
      <w:pPr>
        <w:tabs>
          <w:tab w:val="left" w:pos="1134"/>
        </w:tabs>
        <w:spacing w:line="360" w:lineRule="auto"/>
        <w:ind w:firstLine="851"/>
        <w:jc w:val="both"/>
      </w:pPr>
      <w:r w:rsidRPr="00940359">
        <w:rPr>
          <w:bCs/>
          <w:szCs w:val="24"/>
        </w:rPr>
        <w:t>„</w:t>
      </w:r>
      <w:r w:rsidRPr="00940359">
        <w:rPr>
          <w:szCs w:val="24"/>
          <w:lang w:eastAsia="lt-LT"/>
        </w:rPr>
        <w:t xml:space="preserve">28.4. nepatenkinamai – Įstaigos vadovui, išskyrus </w:t>
      </w:r>
      <w:r w:rsidRPr="0042643E">
        <w:rPr>
          <w:strike/>
          <w:szCs w:val="24"/>
          <w:lang w:eastAsia="lt-LT"/>
        </w:rPr>
        <w:t>mokyklos</w:t>
      </w:r>
      <w:r>
        <w:rPr>
          <w:szCs w:val="24"/>
          <w:lang w:eastAsia="lt-LT"/>
        </w:rPr>
        <w:t xml:space="preserve"> </w:t>
      </w:r>
      <w:r w:rsidR="00882E66" w:rsidRPr="00882E66">
        <w:rPr>
          <w:b/>
          <w:bCs/>
          <w:szCs w:val="24"/>
          <w:lang w:eastAsia="lt-LT"/>
        </w:rPr>
        <w:t>š</w:t>
      </w:r>
      <w:r w:rsidRPr="0042643E">
        <w:rPr>
          <w:b/>
          <w:bCs/>
          <w:szCs w:val="24"/>
          <w:lang w:eastAsia="lt-LT"/>
        </w:rPr>
        <w:t>vietimo įstaigos</w:t>
      </w:r>
      <w:r w:rsidRPr="00940359">
        <w:rPr>
          <w:szCs w:val="24"/>
          <w:lang w:eastAsia="lt-LT"/>
        </w:rPr>
        <w:t xml:space="preserve"> vadovą, nustato 5 procentais mažesnį pareiginės algos pastoviosios dalies koeficientą, tačiau ne mažesnį negu</w:t>
      </w:r>
      <w:r>
        <w:rPr>
          <w:szCs w:val="24"/>
          <w:lang w:eastAsia="lt-LT"/>
        </w:rPr>
        <w:t xml:space="preserve"> </w:t>
      </w:r>
      <w:r w:rsidRPr="0042643E">
        <w:rPr>
          <w:strike/>
          <w:szCs w:val="24"/>
          <w:lang w:eastAsia="lt-LT"/>
        </w:rPr>
        <w:t>šios Sistemos 1 ir 3 prieduose</w:t>
      </w:r>
      <w:r w:rsidRPr="00940359">
        <w:rPr>
          <w:szCs w:val="24"/>
          <w:lang w:eastAsia="lt-LT"/>
        </w:rPr>
        <w:t xml:space="preserve"> </w:t>
      </w:r>
      <w:r w:rsidRPr="0042643E">
        <w:rPr>
          <w:b/>
          <w:bCs/>
          <w:szCs w:val="24"/>
          <w:lang w:eastAsia="lt-LT"/>
        </w:rPr>
        <w:t>Įstatymo 1 priede</w:t>
      </w:r>
      <w:r w:rsidRPr="00940359">
        <w:rPr>
          <w:szCs w:val="24"/>
          <w:lang w:eastAsia="lt-LT"/>
        </w:rPr>
        <w:t xml:space="preserve"> tai pareigybei pagal vadovaujamo darbo patirtį numatytas minimalus koeficientas; </w:t>
      </w:r>
      <w:r w:rsidRPr="0042643E">
        <w:rPr>
          <w:strike/>
          <w:szCs w:val="24"/>
          <w:lang w:eastAsia="lt-LT"/>
        </w:rPr>
        <w:t>mokyklos</w:t>
      </w:r>
      <w:r w:rsidR="00C00DCF">
        <w:rPr>
          <w:b/>
          <w:bCs/>
          <w:szCs w:val="24"/>
          <w:lang w:eastAsia="lt-LT"/>
        </w:rPr>
        <w:t xml:space="preserve"> </w:t>
      </w:r>
      <w:r w:rsidR="00882E66">
        <w:rPr>
          <w:b/>
          <w:bCs/>
          <w:szCs w:val="24"/>
          <w:lang w:eastAsia="lt-LT"/>
        </w:rPr>
        <w:t>š</w:t>
      </w:r>
      <w:r w:rsidRPr="0042643E">
        <w:rPr>
          <w:b/>
          <w:bCs/>
          <w:szCs w:val="24"/>
          <w:lang w:eastAsia="lt-LT"/>
        </w:rPr>
        <w:t>vietimo įstaigos</w:t>
      </w:r>
      <w:r w:rsidRPr="00940359">
        <w:rPr>
          <w:szCs w:val="24"/>
          <w:lang w:eastAsia="lt-LT"/>
        </w:rPr>
        <w:t xml:space="preserve"> vadovui nustato vienetu mažesnį pareiginės algos pastoviosios dalies koeficientą. Su Įstaigos vadovu gali būti sudarytas rezultatų gerinimo planas (pagal Darbo kodekso 57 straipsnio 5 dalį), kurio vykdymas įvertinamas ne anksčiau kaip po 2 mėnesių. Rezultatų gerinimo plano vykdymo rezultatus įvertinus nepatenkinamai, su Įstaigos vadovu sudaryta darbo sutartis gali būti nutraukiama pagal Darbo kodekso 57 straipsnio 1 dalies 2 punktą.“;</w:t>
      </w:r>
      <w:r w:rsidRPr="00940359">
        <w:t xml:space="preserve"> </w:t>
      </w:r>
    </w:p>
    <w:p w14:paraId="2917F324" w14:textId="75DB679C" w:rsidR="0042643E" w:rsidRDefault="0042643E" w:rsidP="0042643E">
      <w:pPr>
        <w:tabs>
          <w:tab w:val="left" w:pos="1134"/>
        </w:tabs>
        <w:spacing w:line="360" w:lineRule="auto"/>
        <w:ind w:firstLine="851"/>
        <w:jc w:val="both"/>
        <w:rPr>
          <w:rFonts w:eastAsia="Calibri"/>
          <w:szCs w:val="24"/>
        </w:rPr>
      </w:pPr>
      <w:r w:rsidRPr="003D4530">
        <w:rPr>
          <w:rFonts w:eastAsia="Calibri"/>
          <w:szCs w:val="24"/>
        </w:rPr>
        <w:t>1.</w:t>
      </w:r>
      <w:r>
        <w:rPr>
          <w:rFonts w:eastAsia="Calibri"/>
          <w:szCs w:val="24"/>
        </w:rPr>
        <w:t>10</w:t>
      </w:r>
      <w:r w:rsidRPr="003D4530">
        <w:rPr>
          <w:rFonts w:eastAsia="Calibri"/>
          <w:szCs w:val="24"/>
        </w:rPr>
        <w:t>. Pripažinti netekusiais galios Sistemos 1, 2 ir 3 priedus</w:t>
      </w:r>
      <w:r w:rsidR="0084213C">
        <w:rPr>
          <w:rFonts w:eastAsia="Calibri"/>
          <w:szCs w:val="24"/>
        </w:rPr>
        <w:t>:</w:t>
      </w:r>
    </w:p>
    <w:p w14:paraId="2EDE588C" w14:textId="77777777" w:rsidR="0084213C" w:rsidRPr="00CB363C" w:rsidRDefault="0084213C" w:rsidP="0084213C">
      <w:pPr>
        <w:ind w:left="6237"/>
        <w:rPr>
          <w:strike/>
          <w:szCs w:val="24"/>
        </w:rPr>
      </w:pPr>
      <w:r w:rsidRPr="00CB363C">
        <w:rPr>
          <w:strike/>
          <w:szCs w:val="24"/>
        </w:rPr>
        <w:t xml:space="preserve">Panevėžio miesto savivaldybės </w:t>
      </w:r>
    </w:p>
    <w:p w14:paraId="22F7C210" w14:textId="77777777" w:rsidR="0084213C" w:rsidRPr="00CB363C" w:rsidRDefault="0084213C" w:rsidP="0084213C">
      <w:pPr>
        <w:ind w:left="6237"/>
        <w:rPr>
          <w:strike/>
          <w:szCs w:val="24"/>
        </w:rPr>
      </w:pPr>
      <w:r w:rsidRPr="00CB363C">
        <w:rPr>
          <w:strike/>
          <w:szCs w:val="24"/>
        </w:rPr>
        <w:t xml:space="preserve">biudžetinių įstaigų vadovų darbo </w:t>
      </w:r>
    </w:p>
    <w:p w14:paraId="15DC9311" w14:textId="77777777" w:rsidR="0084213C" w:rsidRPr="00CB363C" w:rsidRDefault="0084213C" w:rsidP="0084213C">
      <w:pPr>
        <w:ind w:left="6237"/>
        <w:rPr>
          <w:strike/>
          <w:szCs w:val="24"/>
        </w:rPr>
      </w:pPr>
      <w:r w:rsidRPr="00CB363C">
        <w:rPr>
          <w:strike/>
          <w:szCs w:val="24"/>
        </w:rPr>
        <w:t>apmokėjimo sistemos</w:t>
      </w:r>
    </w:p>
    <w:p w14:paraId="4A02AFF1" w14:textId="77777777" w:rsidR="0084213C" w:rsidRPr="00CB363C" w:rsidRDefault="0084213C" w:rsidP="0084213C">
      <w:pPr>
        <w:ind w:left="6237"/>
        <w:rPr>
          <w:strike/>
          <w:szCs w:val="24"/>
        </w:rPr>
      </w:pPr>
      <w:r w:rsidRPr="00CB363C">
        <w:rPr>
          <w:strike/>
          <w:szCs w:val="24"/>
        </w:rPr>
        <w:t>1 priedas</w:t>
      </w:r>
    </w:p>
    <w:p w14:paraId="6424964D" w14:textId="77777777" w:rsidR="0084213C" w:rsidRPr="00CB363C" w:rsidRDefault="0084213C" w:rsidP="0084213C">
      <w:pPr>
        <w:ind w:left="5103"/>
        <w:rPr>
          <w:b/>
          <w:strike/>
          <w:szCs w:val="24"/>
        </w:rPr>
      </w:pPr>
    </w:p>
    <w:p w14:paraId="6AA6FB6F" w14:textId="77777777" w:rsidR="0084213C" w:rsidRPr="00CB363C" w:rsidRDefault="0084213C" w:rsidP="0084213C">
      <w:pPr>
        <w:ind w:left="5103"/>
        <w:rPr>
          <w:b/>
          <w:strike/>
          <w:szCs w:val="24"/>
        </w:rPr>
      </w:pPr>
    </w:p>
    <w:p w14:paraId="2308CE02" w14:textId="77777777" w:rsidR="0084213C" w:rsidRPr="00CB363C" w:rsidRDefault="0084213C" w:rsidP="0084213C">
      <w:pPr>
        <w:jc w:val="center"/>
        <w:rPr>
          <w:b/>
          <w:strike/>
          <w:szCs w:val="24"/>
        </w:rPr>
      </w:pPr>
      <w:r w:rsidRPr="00CB363C">
        <w:rPr>
          <w:b/>
          <w:strike/>
          <w:szCs w:val="24"/>
        </w:rPr>
        <w:t>ĮSTAIGŲ VADOVŲ, IŠSKYRUS ŠVIETIMO ĮSTAIGŲ VADOVUS, PAREIGINĖS ALGOS PASTOVIOSIOS DALIES KOEFICIENTAI</w:t>
      </w:r>
    </w:p>
    <w:p w14:paraId="23D3DFCC" w14:textId="77777777" w:rsidR="0084213C" w:rsidRPr="00CB363C" w:rsidRDefault="0084213C" w:rsidP="0084213C">
      <w:pPr>
        <w:jc w:val="center"/>
        <w:rPr>
          <w:b/>
          <w:strike/>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84213C" w:rsidRPr="00CB363C" w14:paraId="1840E72C" w14:textId="77777777" w:rsidTr="007C1311">
        <w:trPr>
          <w:trHeight w:val="414"/>
          <w:jc w:val="center"/>
        </w:trPr>
        <w:tc>
          <w:tcPr>
            <w:tcW w:w="1674" w:type="pct"/>
            <w:vMerge w:val="restart"/>
            <w:vAlign w:val="center"/>
          </w:tcPr>
          <w:p w14:paraId="123D4A03" w14:textId="77777777" w:rsidR="0084213C" w:rsidRPr="00CB363C" w:rsidRDefault="0084213C" w:rsidP="007C1311">
            <w:pPr>
              <w:jc w:val="center"/>
              <w:rPr>
                <w:b/>
                <w:strike/>
                <w:szCs w:val="24"/>
              </w:rPr>
            </w:pPr>
            <w:r w:rsidRPr="00CB363C">
              <w:rPr>
                <w:strike/>
                <w:szCs w:val="24"/>
              </w:rPr>
              <w:t>Savivaldybės įstaigų grupė</w:t>
            </w:r>
          </w:p>
        </w:tc>
        <w:tc>
          <w:tcPr>
            <w:tcW w:w="1783" w:type="pct"/>
            <w:vMerge w:val="restart"/>
            <w:vAlign w:val="center"/>
          </w:tcPr>
          <w:p w14:paraId="544D11B5" w14:textId="77777777" w:rsidR="0084213C" w:rsidRPr="00CB363C" w:rsidRDefault="0084213C" w:rsidP="007C1311">
            <w:pPr>
              <w:jc w:val="center"/>
              <w:rPr>
                <w:b/>
                <w:strike/>
                <w:szCs w:val="24"/>
              </w:rPr>
            </w:pPr>
            <w:r w:rsidRPr="00CB363C">
              <w:rPr>
                <w:strike/>
                <w:szCs w:val="24"/>
              </w:rPr>
              <w:t>Vadovaujamo darbo</w:t>
            </w:r>
          </w:p>
          <w:p w14:paraId="2BAD2492" w14:textId="77777777" w:rsidR="0084213C" w:rsidRPr="00CB363C" w:rsidRDefault="0084213C" w:rsidP="007C1311">
            <w:pPr>
              <w:jc w:val="center"/>
              <w:rPr>
                <w:b/>
                <w:strike/>
                <w:szCs w:val="24"/>
              </w:rPr>
            </w:pPr>
            <w:r w:rsidRPr="00CB363C">
              <w:rPr>
                <w:strike/>
                <w:szCs w:val="24"/>
              </w:rPr>
              <w:t>patirtis (metais)</w:t>
            </w:r>
          </w:p>
        </w:tc>
        <w:tc>
          <w:tcPr>
            <w:tcW w:w="1543" w:type="pct"/>
            <w:vMerge w:val="restart"/>
            <w:vAlign w:val="center"/>
          </w:tcPr>
          <w:p w14:paraId="2C60CA62" w14:textId="77777777" w:rsidR="0084213C" w:rsidRPr="00CB363C" w:rsidRDefault="0084213C" w:rsidP="007C1311">
            <w:pPr>
              <w:jc w:val="center"/>
              <w:rPr>
                <w:strike/>
                <w:szCs w:val="24"/>
              </w:rPr>
            </w:pPr>
            <w:r w:rsidRPr="00CB363C">
              <w:rPr>
                <w:strike/>
                <w:szCs w:val="24"/>
              </w:rPr>
              <w:t>Pastoviosios dalies koeficientai (pareiginės algos baziniais dydžiais)</w:t>
            </w:r>
          </w:p>
        </w:tc>
      </w:tr>
      <w:tr w:rsidR="0084213C" w:rsidRPr="00CB363C" w14:paraId="50DF08EB" w14:textId="77777777" w:rsidTr="007C1311">
        <w:trPr>
          <w:trHeight w:val="562"/>
          <w:jc w:val="center"/>
        </w:trPr>
        <w:tc>
          <w:tcPr>
            <w:tcW w:w="1674" w:type="pct"/>
            <w:vMerge/>
            <w:vAlign w:val="center"/>
          </w:tcPr>
          <w:p w14:paraId="0CF14719" w14:textId="77777777" w:rsidR="0084213C" w:rsidRPr="00CB363C" w:rsidRDefault="0084213C" w:rsidP="007C1311">
            <w:pPr>
              <w:spacing w:line="360" w:lineRule="auto"/>
              <w:jc w:val="center"/>
              <w:rPr>
                <w:b/>
                <w:strike/>
                <w:szCs w:val="24"/>
              </w:rPr>
            </w:pPr>
          </w:p>
        </w:tc>
        <w:tc>
          <w:tcPr>
            <w:tcW w:w="1783" w:type="pct"/>
            <w:vMerge/>
            <w:vAlign w:val="center"/>
          </w:tcPr>
          <w:p w14:paraId="1F4141D5" w14:textId="77777777" w:rsidR="0084213C" w:rsidRPr="00CB363C" w:rsidRDefault="0084213C" w:rsidP="007C1311">
            <w:pPr>
              <w:spacing w:line="360" w:lineRule="auto"/>
              <w:jc w:val="center"/>
              <w:rPr>
                <w:b/>
                <w:strike/>
                <w:szCs w:val="24"/>
              </w:rPr>
            </w:pPr>
          </w:p>
        </w:tc>
        <w:tc>
          <w:tcPr>
            <w:tcW w:w="1543" w:type="pct"/>
            <w:vMerge/>
            <w:vAlign w:val="center"/>
          </w:tcPr>
          <w:p w14:paraId="25874140" w14:textId="77777777" w:rsidR="0084213C" w:rsidRPr="00CB363C" w:rsidRDefault="0084213C" w:rsidP="007C1311">
            <w:pPr>
              <w:spacing w:line="360" w:lineRule="auto"/>
              <w:jc w:val="center"/>
              <w:rPr>
                <w:strike/>
                <w:szCs w:val="24"/>
              </w:rPr>
            </w:pPr>
          </w:p>
        </w:tc>
      </w:tr>
      <w:tr w:rsidR="0084213C" w:rsidRPr="00CB363C" w14:paraId="7146DBE6" w14:textId="77777777" w:rsidTr="007C1311">
        <w:trPr>
          <w:trHeight w:val="343"/>
          <w:jc w:val="center"/>
        </w:trPr>
        <w:tc>
          <w:tcPr>
            <w:tcW w:w="1674" w:type="pct"/>
            <w:vMerge w:val="restart"/>
            <w:vAlign w:val="center"/>
          </w:tcPr>
          <w:p w14:paraId="176602F4" w14:textId="77777777" w:rsidR="0084213C" w:rsidRPr="00CB363C" w:rsidRDefault="0084213C" w:rsidP="007C1311">
            <w:pPr>
              <w:spacing w:line="360" w:lineRule="auto"/>
              <w:jc w:val="center"/>
              <w:rPr>
                <w:b/>
                <w:strike/>
                <w:szCs w:val="24"/>
              </w:rPr>
            </w:pPr>
            <w:r w:rsidRPr="00CB363C">
              <w:rPr>
                <w:strike/>
                <w:szCs w:val="24"/>
              </w:rPr>
              <w:t>I grupė</w:t>
            </w:r>
          </w:p>
          <w:p w14:paraId="3F8C0D7A" w14:textId="77777777" w:rsidR="0084213C" w:rsidRPr="00CB363C" w:rsidRDefault="0084213C" w:rsidP="007C1311">
            <w:pPr>
              <w:spacing w:line="360" w:lineRule="auto"/>
              <w:jc w:val="center"/>
              <w:rPr>
                <w:b/>
                <w:strike/>
                <w:szCs w:val="24"/>
              </w:rPr>
            </w:pPr>
            <w:r w:rsidRPr="00CB363C">
              <w:rPr>
                <w:strike/>
                <w:szCs w:val="24"/>
              </w:rPr>
              <w:t>(201 ir daugiau pareigybių)</w:t>
            </w:r>
          </w:p>
        </w:tc>
        <w:tc>
          <w:tcPr>
            <w:tcW w:w="1783" w:type="pct"/>
            <w:vAlign w:val="center"/>
          </w:tcPr>
          <w:p w14:paraId="7AEDDC0E"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iki 5</w:t>
            </w:r>
          </w:p>
        </w:tc>
        <w:tc>
          <w:tcPr>
            <w:tcW w:w="1543" w:type="pct"/>
          </w:tcPr>
          <w:p w14:paraId="12200405" w14:textId="77777777" w:rsidR="0084213C" w:rsidRPr="00CB363C" w:rsidRDefault="0084213C" w:rsidP="007C1311">
            <w:pPr>
              <w:jc w:val="center"/>
              <w:rPr>
                <w:strike/>
              </w:rPr>
            </w:pPr>
            <w:r w:rsidRPr="00CB363C">
              <w:rPr>
                <w:strike/>
              </w:rPr>
              <w:t>9,1–14,1</w:t>
            </w:r>
          </w:p>
        </w:tc>
      </w:tr>
      <w:tr w:rsidR="0084213C" w:rsidRPr="00CB363C" w14:paraId="263343A0" w14:textId="77777777" w:rsidTr="007C1311">
        <w:trPr>
          <w:trHeight w:val="323"/>
          <w:jc w:val="center"/>
        </w:trPr>
        <w:tc>
          <w:tcPr>
            <w:tcW w:w="1674" w:type="pct"/>
            <w:vMerge/>
            <w:vAlign w:val="center"/>
          </w:tcPr>
          <w:p w14:paraId="466F0D93" w14:textId="77777777" w:rsidR="0084213C" w:rsidRPr="00CB363C" w:rsidRDefault="0084213C" w:rsidP="007C1311">
            <w:pPr>
              <w:spacing w:line="360" w:lineRule="auto"/>
              <w:jc w:val="center"/>
              <w:rPr>
                <w:b/>
                <w:strike/>
                <w:szCs w:val="24"/>
              </w:rPr>
            </w:pPr>
          </w:p>
        </w:tc>
        <w:tc>
          <w:tcPr>
            <w:tcW w:w="1783" w:type="pct"/>
            <w:vAlign w:val="center"/>
          </w:tcPr>
          <w:p w14:paraId="2D68A688"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nuo daugiau kaip 5 iki 10</w:t>
            </w:r>
          </w:p>
        </w:tc>
        <w:tc>
          <w:tcPr>
            <w:tcW w:w="1543" w:type="pct"/>
          </w:tcPr>
          <w:p w14:paraId="22C978FD" w14:textId="77777777" w:rsidR="0084213C" w:rsidRPr="00CB363C" w:rsidRDefault="0084213C" w:rsidP="007C1311">
            <w:pPr>
              <w:jc w:val="center"/>
              <w:rPr>
                <w:strike/>
              </w:rPr>
            </w:pPr>
            <w:r w:rsidRPr="00CB363C">
              <w:rPr>
                <w:strike/>
              </w:rPr>
              <w:t>9,2–14,5</w:t>
            </w:r>
          </w:p>
        </w:tc>
      </w:tr>
      <w:tr w:rsidR="0084213C" w:rsidRPr="00CB363C" w14:paraId="7BDD91A1" w14:textId="77777777" w:rsidTr="007C1311">
        <w:trPr>
          <w:trHeight w:val="323"/>
          <w:jc w:val="center"/>
        </w:trPr>
        <w:tc>
          <w:tcPr>
            <w:tcW w:w="1674" w:type="pct"/>
            <w:vMerge/>
            <w:vAlign w:val="center"/>
          </w:tcPr>
          <w:p w14:paraId="17B61011" w14:textId="77777777" w:rsidR="0084213C" w:rsidRPr="00CB363C" w:rsidRDefault="0084213C" w:rsidP="007C1311">
            <w:pPr>
              <w:spacing w:line="360" w:lineRule="auto"/>
              <w:jc w:val="center"/>
              <w:rPr>
                <w:b/>
                <w:strike/>
                <w:szCs w:val="24"/>
              </w:rPr>
            </w:pPr>
          </w:p>
        </w:tc>
        <w:tc>
          <w:tcPr>
            <w:tcW w:w="1783" w:type="pct"/>
            <w:vAlign w:val="center"/>
          </w:tcPr>
          <w:p w14:paraId="3E9325D5"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daugiau kaip 10</w:t>
            </w:r>
          </w:p>
        </w:tc>
        <w:tc>
          <w:tcPr>
            <w:tcW w:w="1543" w:type="pct"/>
          </w:tcPr>
          <w:p w14:paraId="2E1F2510" w14:textId="77777777" w:rsidR="0084213C" w:rsidRPr="00CB363C" w:rsidRDefault="0084213C" w:rsidP="007C1311">
            <w:pPr>
              <w:jc w:val="center"/>
              <w:rPr>
                <w:strike/>
              </w:rPr>
            </w:pPr>
            <w:r w:rsidRPr="00CB363C">
              <w:rPr>
                <w:strike/>
              </w:rPr>
              <w:t>9,3–14,8</w:t>
            </w:r>
          </w:p>
        </w:tc>
      </w:tr>
      <w:tr w:rsidR="0084213C" w:rsidRPr="00CB363C" w14:paraId="28BE3A1B" w14:textId="77777777" w:rsidTr="007C1311">
        <w:trPr>
          <w:trHeight w:val="323"/>
          <w:jc w:val="center"/>
        </w:trPr>
        <w:tc>
          <w:tcPr>
            <w:tcW w:w="1674" w:type="pct"/>
            <w:vMerge w:val="restart"/>
            <w:vAlign w:val="center"/>
          </w:tcPr>
          <w:p w14:paraId="7E28BDE1" w14:textId="77777777" w:rsidR="0084213C" w:rsidRPr="00CB363C" w:rsidRDefault="0084213C" w:rsidP="007C1311">
            <w:pPr>
              <w:spacing w:line="360" w:lineRule="auto"/>
              <w:jc w:val="center"/>
              <w:rPr>
                <w:b/>
                <w:strike/>
                <w:szCs w:val="24"/>
              </w:rPr>
            </w:pPr>
            <w:r w:rsidRPr="00CB363C">
              <w:rPr>
                <w:strike/>
                <w:szCs w:val="24"/>
              </w:rPr>
              <w:t>II grupė</w:t>
            </w:r>
          </w:p>
          <w:p w14:paraId="7C094C42" w14:textId="77777777" w:rsidR="0084213C" w:rsidRPr="00CB363C" w:rsidRDefault="0084213C" w:rsidP="007C1311">
            <w:pPr>
              <w:spacing w:line="360" w:lineRule="auto"/>
              <w:jc w:val="center"/>
              <w:rPr>
                <w:b/>
                <w:strike/>
                <w:szCs w:val="24"/>
              </w:rPr>
            </w:pPr>
            <w:r w:rsidRPr="00CB363C">
              <w:rPr>
                <w:strike/>
                <w:szCs w:val="24"/>
              </w:rPr>
              <w:t>(51–200 pareigybių)</w:t>
            </w:r>
          </w:p>
        </w:tc>
        <w:tc>
          <w:tcPr>
            <w:tcW w:w="1783" w:type="pct"/>
            <w:vAlign w:val="center"/>
          </w:tcPr>
          <w:p w14:paraId="0BBF72FF"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iki 5</w:t>
            </w:r>
          </w:p>
        </w:tc>
        <w:tc>
          <w:tcPr>
            <w:tcW w:w="1543" w:type="pct"/>
          </w:tcPr>
          <w:p w14:paraId="4AAB4D38" w14:textId="77777777" w:rsidR="0084213C" w:rsidRPr="00CB363C" w:rsidRDefault="0084213C" w:rsidP="007C1311">
            <w:pPr>
              <w:jc w:val="center"/>
              <w:rPr>
                <w:strike/>
              </w:rPr>
            </w:pPr>
            <w:r w:rsidRPr="00CB363C">
              <w:rPr>
                <w:strike/>
              </w:rPr>
              <w:t>8,8–13,7</w:t>
            </w:r>
          </w:p>
        </w:tc>
      </w:tr>
      <w:tr w:rsidR="0084213C" w:rsidRPr="00CB363C" w14:paraId="53B41475" w14:textId="77777777" w:rsidTr="007C1311">
        <w:trPr>
          <w:trHeight w:val="323"/>
          <w:jc w:val="center"/>
        </w:trPr>
        <w:tc>
          <w:tcPr>
            <w:tcW w:w="1674" w:type="pct"/>
            <w:vMerge/>
            <w:vAlign w:val="center"/>
          </w:tcPr>
          <w:p w14:paraId="24C7F2B4" w14:textId="77777777" w:rsidR="0084213C" w:rsidRPr="00CB363C" w:rsidRDefault="0084213C" w:rsidP="007C1311">
            <w:pPr>
              <w:spacing w:line="360" w:lineRule="auto"/>
              <w:jc w:val="center"/>
              <w:rPr>
                <w:b/>
                <w:strike/>
                <w:szCs w:val="24"/>
              </w:rPr>
            </w:pPr>
          </w:p>
        </w:tc>
        <w:tc>
          <w:tcPr>
            <w:tcW w:w="1783" w:type="pct"/>
            <w:vAlign w:val="center"/>
          </w:tcPr>
          <w:p w14:paraId="25B6B584"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nuo daugiau kaip 5 iki 10</w:t>
            </w:r>
          </w:p>
        </w:tc>
        <w:tc>
          <w:tcPr>
            <w:tcW w:w="1543" w:type="pct"/>
          </w:tcPr>
          <w:p w14:paraId="6D5E3F6C" w14:textId="77777777" w:rsidR="0084213C" w:rsidRPr="00CB363C" w:rsidRDefault="0084213C" w:rsidP="007C1311">
            <w:pPr>
              <w:jc w:val="center"/>
              <w:rPr>
                <w:strike/>
              </w:rPr>
            </w:pPr>
            <w:r w:rsidRPr="00CB363C">
              <w:rPr>
                <w:strike/>
              </w:rPr>
              <w:t>8,9–13,9</w:t>
            </w:r>
          </w:p>
        </w:tc>
      </w:tr>
      <w:tr w:rsidR="0084213C" w:rsidRPr="00CB363C" w14:paraId="2951C381" w14:textId="77777777" w:rsidTr="007C1311">
        <w:trPr>
          <w:trHeight w:val="323"/>
          <w:jc w:val="center"/>
        </w:trPr>
        <w:tc>
          <w:tcPr>
            <w:tcW w:w="1674" w:type="pct"/>
            <w:vMerge/>
            <w:vAlign w:val="center"/>
          </w:tcPr>
          <w:p w14:paraId="3E81C105" w14:textId="77777777" w:rsidR="0084213C" w:rsidRPr="00CB363C" w:rsidRDefault="0084213C" w:rsidP="007C1311">
            <w:pPr>
              <w:spacing w:line="360" w:lineRule="auto"/>
              <w:jc w:val="center"/>
              <w:rPr>
                <w:b/>
                <w:strike/>
                <w:szCs w:val="24"/>
              </w:rPr>
            </w:pPr>
          </w:p>
        </w:tc>
        <w:tc>
          <w:tcPr>
            <w:tcW w:w="1783" w:type="pct"/>
            <w:vAlign w:val="center"/>
          </w:tcPr>
          <w:p w14:paraId="12D6A19B" w14:textId="77777777" w:rsidR="0084213C" w:rsidRPr="00CB363C" w:rsidRDefault="0084213C" w:rsidP="007C1311">
            <w:pPr>
              <w:tabs>
                <w:tab w:val="left" w:pos="468"/>
                <w:tab w:val="center" w:pos="1094"/>
              </w:tabs>
              <w:spacing w:line="360" w:lineRule="auto"/>
              <w:jc w:val="center"/>
              <w:rPr>
                <w:b/>
                <w:strike/>
                <w:szCs w:val="24"/>
              </w:rPr>
            </w:pPr>
            <w:r w:rsidRPr="00CB363C">
              <w:rPr>
                <w:strike/>
                <w:szCs w:val="24"/>
              </w:rPr>
              <w:t>daugiau kaip 10</w:t>
            </w:r>
          </w:p>
        </w:tc>
        <w:tc>
          <w:tcPr>
            <w:tcW w:w="1543" w:type="pct"/>
          </w:tcPr>
          <w:p w14:paraId="4F02610B" w14:textId="77777777" w:rsidR="0084213C" w:rsidRPr="00CB363C" w:rsidRDefault="0084213C" w:rsidP="007C1311">
            <w:pPr>
              <w:jc w:val="center"/>
              <w:rPr>
                <w:strike/>
              </w:rPr>
            </w:pPr>
            <w:r w:rsidRPr="00CB363C">
              <w:rPr>
                <w:strike/>
              </w:rPr>
              <w:t>9–14,1</w:t>
            </w:r>
          </w:p>
        </w:tc>
      </w:tr>
      <w:tr w:rsidR="0084213C" w:rsidRPr="00CB363C" w14:paraId="7FB631CB" w14:textId="77777777" w:rsidTr="007C1311">
        <w:trPr>
          <w:trHeight w:val="271"/>
          <w:jc w:val="center"/>
        </w:trPr>
        <w:tc>
          <w:tcPr>
            <w:tcW w:w="1674" w:type="pct"/>
            <w:vMerge w:val="restart"/>
            <w:vAlign w:val="center"/>
          </w:tcPr>
          <w:p w14:paraId="40C603E8" w14:textId="77777777" w:rsidR="0084213C" w:rsidRPr="00CB363C" w:rsidRDefault="0084213C" w:rsidP="007C1311">
            <w:pPr>
              <w:spacing w:line="360" w:lineRule="auto"/>
              <w:jc w:val="center"/>
              <w:rPr>
                <w:b/>
                <w:strike/>
                <w:szCs w:val="24"/>
              </w:rPr>
            </w:pPr>
            <w:r w:rsidRPr="00CB363C">
              <w:rPr>
                <w:strike/>
                <w:szCs w:val="24"/>
              </w:rPr>
              <w:t>III grupė</w:t>
            </w:r>
          </w:p>
          <w:p w14:paraId="07909F2C" w14:textId="77777777" w:rsidR="0084213C" w:rsidRPr="00CB363C" w:rsidRDefault="0084213C" w:rsidP="007C1311">
            <w:pPr>
              <w:spacing w:line="360" w:lineRule="auto"/>
              <w:jc w:val="center"/>
              <w:rPr>
                <w:b/>
                <w:strike/>
                <w:szCs w:val="24"/>
              </w:rPr>
            </w:pPr>
            <w:r w:rsidRPr="00CB363C">
              <w:rPr>
                <w:strike/>
                <w:szCs w:val="24"/>
              </w:rPr>
              <w:t>(50 ir mažiau pareigybių)</w:t>
            </w:r>
          </w:p>
        </w:tc>
        <w:tc>
          <w:tcPr>
            <w:tcW w:w="1783" w:type="pct"/>
            <w:vAlign w:val="center"/>
          </w:tcPr>
          <w:p w14:paraId="5236FDD3" w14:textId="77777777" w:rsidR="0084213C" w:rsidRPr="00CB363C" w:rsidRDefault="0084213C" w:rsidP="007C1311">
            <w:pPr>
              <w:tabs>
                <w:tab w:val="left" w:pos="636"/>
              </w:tabs>
              <w:spacing w:line="360" w:lineRule="auto"/>
              <w:jc w:val="center"/>
              <w:rPr>
                <w:b/>
                <w:strike/>
                <w:szCs w:val="24"/>
              </w:rPr>
            </w:pPr>
            <w:r w:rsidRPr="00CB363C">
              <w:rPr>
                <w:strike/>
                <w:szCs w:val="24"/>
              </w:rPr>
              <w:t>iki 5</w:t>
            </w:r>
          </w:p>
        </w:tc>
        <w:tc>
          <w:tcPr>
            <w:tcW w:w="1543" w:type="pct"/>
          </w:tcPr>
          <w:p w14:paraId="22B47340" w14:textId="77777777" w:rsidR="0084213C" w:rsidRPr="00CB363C" w:rsidRDefault="0084213C" w:rsidP="007C1311">
            <w:pPr>
              <w:jc w:val="center"/>
              <w:rPr>
                <w:strike/>
              </w:rPr>
            </w:pPr>
            <w:r w:rsidRPr="00CB363C">
              <w:rPr>
                <w:strike/>
              </w:rPr>
              <w:t>8,5–13,3</w:t>
            </w:r>
          </w:p>
        </w:tc>
      </w:tr>
      <w:tr w:rsidR="0084213C" w:rsidRPr="00CB363C" w14:paraId="1ACF8343" w14:textId="77777777" w:rsidTr="007C1311">
        <w:trPr>
          <w:trHeight w:val="281"/>
          <w:jc w:val="center"/>
        </w:trPr>
        <w:tc>
          <w:tcPr>
            <w:tcW w:w="1674" w:type="pct"/>
            <w:vMerge/>
            <w:vAlign w:val="center"/>
          </w:tcPr>
          <w:p w14:paraId="0BA126E5" w14:textId="77777777" w:rsidR="0084213C" w:rsidRPr="00CB363C" w:rsidRDefault="0084213C" w:rsidP="007C1311">
            <w:pPr>
              <w:tabs>
                <w:tab w:val="left" w:pos="996"/>
                <w:tab w:val="center" w:pos="1094"/>
              </w:tabs>
              <w:spacing w:line="360" w:lineRule="auto"/>
              <w:jc w:val="center"/>
              <w:rPr>
                <w:b/>
                <w:strike/>
                <w:szCs w:val="24"/>
              </w:rPr>
            </w:pPr>
          </w:p>
        </w:tc>
        <w:tc>
          <w:tcPr>
            <w:tcW w:w="1783" w:type="pct"/>
            <w:vAlign w:val="center"/>
          </w:tcPr>
          <w:p w14:paraId="405DD344" w14:textId="77777777" w:rsidR="0084213C" w:rsidRPr="00CB363C" w:rsidRDefault="0084213C" w:rsidP="007C1311">
            <w:pPr>
              <w:spacing w:line="360" w:lineRule="auto"/>
              <w:jc w:val="center"/>
              <w:rPr>
                <w:b/>
                <w:strike/>
                <w:szCs w:val="24"/>
              </w:rPr>
            </w:pPr>
            <w:r w:rsidRPr="00CB363C">
              <w:rPr>
                <w:strike/>
                <w:szCs w:val="24"/>
              </w:rPr>
              <w:t>nuo daugiau kaip 5 iki 10</w:t>
            </w:r>
          </w:p>
        </w:tc>
        <w:tc>
          <w:tcPr>
            <w:tcW w:w="1543" w:type="pct"/>
          </w:tcPr>
          <w:p w14:paraId="6A7EBAC2" w14:textId="77777777" w:rsidR="0084213C" w:rsidRPr="00CB363C" w:rsidRDefault="0084213C" w:rsidP="007C1311">
            <w:pPr>
              <w:jc w:val="center"/>
              <w:rPr>
                <w:strike/>
              </w:rPr>
            </w:pPr>
            <w:r w:rsidRPr="00CB363C">
              <w:rPr>
                <w:strike/>
              </w:rPr>
              <w:t>8,6–13,5</w:t>
            </w:r>
          </w:p>
        </w:tc>
      </w:tr>
      <w:tr w:rsidR="0084213C" w:rsidRPr="00CB363C" w14:paraId="3FA48C2E" w14:textId="77777777" w:rsidTr="007C1311">
        <w:trPr>
          <w:trHeight w:val="281"/>
          <w:jc w:val="center"/>
        </w:trPr>
        <w:tc>
          <w:tcPr>
            <w:tcW w:w="1674" w:type="pct"/>
            <w:vMerge/>
            <w:vAlign w:val="center"/>
          </w:tcPr>
          <w:p w14:paraId="25EB7290" w14:textId="77777777" w:rsidR="0084213C" w:rsidRPr="00CB363C" w:rsidRDefault="0084213C" w:rsidP="007C1311">
            <w:pPr>
              <w:tabs>
                <w:tab w:val="left" w:pos="996"/>
                <w:tab w:val="center" w:pos="1094"/>
              </w:tabs>
              <w:spacing w:line="360" w:lineRule="auto"/>
              <w:jc w:val="center"/>
              <w:rPr>
                <w:b/>
                <w:strike/>
                <w:szCs w:val="24"/>
              </w:rPr>
            </w:pPr>
          </w:p>
        </w:tc>
        <w:tc>
          <w:tcPr>
            <w:tcW w:w="1783" w:type="pct"/>
            <w:vAlign w:val="center"/>
          </w:tcPr>
          <w:p w14:paraId="5496D441" w14:textId="77777777" w:rsidR="0084213C" w:rsidRPr="00CB363C" w:rsidRDefault="0084213C" w:rsidP="007C1311">
            <w:pPr>
              <w:spacing w:line="360" w:lineRule="auto"/>
              <w:jc w:val="center"/>
              <w:rPr>
                <w:b/>
                <w:strike/>
                <w:szCs w:val="24"/>
              </w:rPr>
            </w:pPr>
            <w:r w:rsidRPr="00CB363C">
              <w:rPr>
                <w:strike/>
                <w:szCs w:val="24"/>
              </w:rPr>
              <w:t>daugiau kaip 10</w:t>
            </w:r>
          </w:p>
        </w:tc>
        <w:tc>
          <w:tcPr>
            <w:tcW w:w="1543" w:type="pct"/>
          </w:tcPr>
          <w:p w14:paraId="3959A891" w14:textId="77777777" w:rsidR="0084213C" w:rsidRPr="00CB363C" w:rsidRDefault="0084213C" w:rsidP="007C1311">
            <w:pPr>
              <w:ind w:firstLine="124"/>
              <w:jc w:val="center"/>
              <w:rPr>
                <w:strike/>
              </w:rPr>
            </w:pPr>
            <w:r w:rsidRPr="00CB363C">
              <w:rPr>
                <w:strike/>
              </w:rPr>
              <w:t>8,7–13,7</w:t>
            </w:r>
          </w:p>
        </w:tc>
      </w:tr>
    </w:tbl>
    <w:p w14:paraId="26A2A1D2" w14:textId="77777777" w:rsidR="0084213C" w:rsidRPr="00CB363C" w:rsidRDefault="0084213C" w:rsidP="0084213C">
      <w:pPr>
        <w:rPr>
          <w:b/>
          <w:strike/>
          <w:szCs w:val="24"/>
          <w:lang w:eastAsia="lt-LT"/>
        </w:rPr>
      </w:pPr>
    </w:p>
    <w:p w14:paraId="6A54D19A" w14:textId="77777777" w:rsidR="0084213C" w:rsidRPr="00CB363C" w:rsidRDefault="0084213C" w:rsidP="0084213C">
      <w:pPr>
        <w:rPr>
          <w:strike/>
        </w:rPr>
      </w:pPr>
    </w:p>
    <w:p w14:paraId="52F9EF77" w14:textId="77777777" w:rsidR="0084213C" w:rsidRPr="00CB363C" w:rsidRDefault="0084213C" w:rsidP="0084213C">
      <w:pPr>
        <w:ind w:left="5103"/>
        <w:rPr>
          <w:strike/>
        </w:rPr>
        <w:sectPr w:rsidR="0084213C" w:rsidRPr="00CB363C">
          <w:pgSz w:w="11907" w:h="16840" w:code="9"/>
          <w:pgMar w:top="1134" w:right="567" w:bottom="1134" w:left="1701" w:header="567" w:footer="684" w:gutter="0"/>
          <w:cols w:space="1296"/>
          <w:titlePg/>
          <w:docGrid w:linePitch="326"/>
        </w:sectPr>
      </w:pPr>
    </w:p>
    <w:p w14:paraId="59647EFF" w14:textId="77777777" w:rsidR="0084213C" w:rsidRPr="00CB363C" w:rsidRDefault="0084213C" w:rsidP="0084213C">
      <w:pPr>
        <w:ind w:left="5103"/>
        <w:rPr>
          <w:strike/>
          <w:szCs w:val="24"/>
        </w:rPr>
      </w:pPr>
      <w:r w:rsidRPr="00CB363C">
        <w:rPr>
          <w:strike/>
          <w:szCs w:val="24"/>
        </w:rPr>
        <w:t>Panevėžio miesto savivaldybės biudžetinių</w:t>
      </w:r>
    </w:p>
    <w:p w14:paraId="7F68E382" w14:textId="77777777" w:rsidR="0084213C" w:rsidRPr="00CB363C" w:rsidRDefault="0084213C" w:rsidP="0084213C">
      <w:pPr>
        <w:ind w:left="5103"/>
        <w:rPr>
          <w:strike/>
          <w:szCs w:val="24"/>
        </w:rPr>
      </w:pPr>
      <w:r w:rsidRPr="00CB363C">
        <w:rPr>
          <w:strike/>
          <w:szCs w:val="24"/>
        </w:rPr>
        <w:t>įstaigų vadovų darbo apmokėjimo sistemos</w:t>
      </w:r>
    </w:p>
    <w:p w14:paraId="75ED017D" w14:textId="77777777" w:rsidR="0084213C" w:rsidRPr="00CB363C" w:rsidRDefault="0084213C" w:rsidP="0084213C">
      <w:pPr>
        <w:ind w:left="5103"/>
        <w:rPr>
          <w:strike/>
          <w:szCs w:val="24"/>
        </w:rPr>
      </w:pPr>
      <w:r w:rsidRPr="00CB363C">
        <w:rPr>
          <w:strike/>
          <w:szCs w:val="24"/>
        </w:rPr>
        <w:t>2 priedas</w:t>
      </w:r>
    </w:p>
    <w:p w14:paraId="205EFDA4" w14:textId="77777777" w:rsidR="0084213C" w:rsidRPr="00CB363C" w:rsidRDefault="0084213C" w:rsidP="0084213C">
      <w:pPr>
        <w:jc w:val="center"/>
        <w:rPr>
          <w:b/>
          <w:strike/>
          <w:szCs w:val="24"/>
          <w:lang w:eastAsia="lt-LT"/>
        </w:rPr>
      </w:pPr>
    </w:p>
    <w:p w14:paraId="77353F56" w14:textId="77777777" w:rsidR="0084213C" w:rsidRPr="00CB363C" w:rsidRDefault="0084213C" w:rsidP="0084213C">
      <w:pPr>
        <w:jc w:val="center"/>
        <w:rPr>
          <w:b/>
          <w:strike/>
          <w:szCs w:val="24"/>
          <w:lang w:eastAsia="lt-LT"/>
        </w:rPr>
      </w:pPr>
    </w:p>
    <w:p w14:paraId="50CBC060" w14:textId="77777777" w:rsidR="0084213C" w:rsidRPr="00CB363C" w:rsidRDefault="0084213C" w:rsidP="0084213C">
      <w:pPr>
        <w:spacing w:line="360" w:lineRule="auto"/>
        <w:jc w:val="center"/>
        <w:rPr>
          <w:b/>
          <w:strike/>
          <w:szCs w:val="24"/>
        </w:rPr>
      </w:pPr>
      <w:r w:rsidRPr="00CB363C">
        <w:rPr>
          <w:b/>
          <w:strike/>
          <w:szCs w:val="24"/>
        </w:rPr>
        <w:t>MOKYKLŲ VADOVŲ PAREIGINĖS ALGOS PASTOVIOSIOS DALIES KOEFICIENTAI</w:t>
      </w:r>
    </w:p>
    <w:p w14:paraId="339FFFB6" w14:textId="77777777" w:rsidR="0084213C" w:rsidRPr="00CB363C" w:rsidRDefault="0084213C" w:rsidP="0084213C">
      <w:pPr>
        <w:spacing w:line="360" w:lineRule="auto"/>
        <w:jc w:val="center"/>
        <w:rPr>
          <w:strike/>
          <w:szCs w:val="24"/>
        </w:rPr>
      </w:pPr>
    </w:p>
    <w:p w14:paraId="1C21C4FB" w14:textId="77777777" w:rsidR="0084213C" w:rsidRPr="00CB363C" w:rsidRDefault="0084213C" w:rsidP="0084213C">
      <w:pPr>
        <w:spacing w:line="360" w:lineRule="auto"/>
        <w:ind w:firstLine="851"/>
        <w:jc w:val="both"/>
        <w:rPr>
          <w:strike/>
          <w:szCs w:val="24"/>
        </w:rPr>
      </w:pPr>
      <w:r w:rsidRPr="00CB363C">
        <w:rPr>
          <w:strike/>
          <w:szCs w:val="24"/>
        </w:rPr>
        <w:t>1. Mokyklų vadovų pareiginės algos pastoviosios dalies koeficientai:</w:t>
      </w:r>
    </w:p>
    <w:tbl>
      <w:tblPr>
        <w:tblW w:w="5000" w:type="pct"/>
        <w:tblCellMar>
          <w:left w:w="0" w:type="dxa"/>
          <w:right w:w="0" w:type="dxa"/>
        </w:tblCellMar>
        <w:tblLook w:val="04A0" w:firstRow="1" w:lastRow="0" w:firstColumn="1" w:lastColumn="0" w:noHBand="0" w:noVBand="1"/>
      </w:tblPr>
      <w:tblGrid>
        <w:gridCol w:w="2127"/>
        <w:gridCol w:w="1615"/>
        <w:gridCol w:w="3170"/>
        <w:gridCol w:w="2709"/>
        <w:gridCol w:w="13"/>
      </w:tblGrid>
      <w:tr w:rsidR="0084213C" w:rsidRPr="00CB363C" w14:paraId="316BC2AE" w14:textId="77777777" w:rsidTr="007C1311">
        <w:trPr>
          <w:trHeight w:val="310"/>
          <w:tblHeader/>
        </w:trPr>
        <w:tc>
          <w:tcPr>
            <w:tcW w:w="11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E9F2F" w14:textId="77777777" w:rsidR="0084213C" w:rsidRPr="00CB363C" w:rsidRDefault="0084213C" w:rsidP="007C1311">
            <w:pPr>
              <w:spacing w:line="259" w:lineRule="auto"/>
              <w:ind w:right="240" w:firstLine="57"/>
              <w:jc w:val="center"/>
              <w:rPr>
                <w:strike/>
                <w:szCs w:val="24"/>
                <w:lang w:eastAsia="lt-LT"/>
              </w:rPr>
            </w:pPr>
            <w:r w:rsidRPr="00CB363C">
              <w:rPr>
                <w:strike/>
                <w:color w:val="000000"/>
                <w:szCs w:val="24"/>
                <w:lang w:eastAsia="lt-LT"/>
              </w:rPr>
              <w:t>Mokinių skaičius</w:t>
            </w:r>
          </w:p>
        </w:tc>
        <w:tc>
          <w:tcPr>
            <w:tcW w:w="38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DAB49" w14:textId="77777777" w:rsidR="0084213C" w:rsidRPr="00CB363C" w:rsidRDefault="0084213C" w:rsidP="007C1311">
            <w:pPr>
              <w:spacing w:line="259" w:lineRule="auto"/>
              <w:ind w:right="240"/>
              <w:jc w:val="center"/>
              <w:rPr>
                <w:strike/>
                <w:szCs w:val="24"/>
                <w:lang w:eastAsia="lt-LT"/>
              </w:rPr>
            </w:pPr>
            <w:r w:rsidRPr="00CB363C">
              <w:rPr>
                <w:strike/>
                <w:color w:val="000000"/>
                <w:szCs w:val="24"/>
                <w:lang w:eastAsia="lt-LT"/>
              </w:rPr>
              <w:t xml:space="preserve">Pastoviosios dalies koeficientai </w:t>
            </w:r>
          </w:p>
        </w:tc>
        <w:tc>
          <w:tcPr>
            <w:tcW w:w="8" w:type="pct"/>
            <w:tcBorders>
              <w:left w:val="single" w:sz="4" w:space="0" w:color="auto"/>
            </w:tcBorders>
            <w:vAlign w:val="center"/>
            <w:hideMark/>
          </w:tcPr>
          <w:p w14:paraId="4820E7DC" w14:textId="77777777" w:rsidR="0084213C" w:rsidRPr="00CB363C" w:rsidRDefault="0084213C" w:rsidP="007C1311">
            <w:pPr>
              <w:spacing w:line="259" w:lineRule="auto"/>
              <w:rPr>
                <w:strike/>
                <w:szCs w:val="24"/>
                <w:lang w:eastAsia="lt-LT"/>
              </w:rPr>
            </w:pPr>
          </w:p>
        </w:tc>
      </w:tr>
      <w:tr w:rsidR="0084213C" w:rsidRPr="00CB363C" w14:paraId="1FBE550D" w14:textId="77777777" w:rsidTr="007C1311">
        <w:trPr>
          <w:trHeight w:val="310"/>
          <w:tblHeader/>
        </w:trPr>
        <w:tc>
          <w:tcPr>
            <w:tcW w:w="110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86C4C" w14:textId="77777777" w:rsidR="0084213C" w:rsidRPr="00CB363C" w:rsidRDefault="0084213C" w:rsidP="007C1311">
            <w:pPr>
              <w:spacing w:line="259" w:lineRule="auto"/>
              <w:ind w:right="240"/>
              <w:jc w:val="center"/>
              <w:rPr>
                <w:strike/>
                <w:szCs w:val="24"/>
                <w:lang w:eastAsia="lt-LT"/>
              </w:rPr>
            </w:pPr>
          </w:p>
        </w:tc>
        <w:tc>
          <w:tcPr>
            <w:tcW w:w="38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F6657" w14:textId="77777777" w:rsidR="0084213C" w:rsidRPr="00CB363C" w:rsidRDefault="0084213C" w:rsidP="007C1311">
            <w:pPr>
              <w:spacing w:line="259" w:lineRule="auto"/>
              <w:ind w:right="240" w:firstLine="124"/>
              <w:jc w:val="center"/>
              <w:rPr>
                <w:strike/>
                <w:color w:val="000000"/>
                <w:szCs w:val="24"/>
                <w:lang w:eastAsia="lt-LT"/>
              </w:rPr>
            </w:pPr>
            <w:r w:rsidRPr="00CB363C">
              <w:rPr>
                <w:strike/>
                <w:szCs w:val="24"/>
                <w:lang w:eastAsia="lt-LT"/>
              </w:rPr>
              <w:t>pedagoginio darbo stažas (metais)</w:t>
            </w:r>
          </w:p>
        </w:tc>
        <w:tc>
          <w:tcPr>
            <w:tcW w:w="8" w:type="pct"/>
            <w:tcBorders>
              <w:left w:val="single" w:sz="4" w:space="0" w:color="auto"/>
            </w:tcBorders>
            <w:vAlign w:val="center"/>
          </w:tcPr>
          <w:p w14:paraId="3606036E" w14:textId="77777777" w:rsidR="0084213C" w:rsidRPr="00CB363C" w:rsidRDefault="0084213C" w:rsidP="007C1311">
            <w:pPr>
              <w:spacing w:line="259" w:lineRule="auto"/>
              <w:rPr>
                <w:strike/>
                <w:szCs w:val="24"/>
                <w:lang w:eastAsia="lt-LT"/>
              </w:rPr>
            </w:pPr>
          </w:p>
        </w:tc>
      </w:tr>
      <w:tr w:rsidR="0084213C" w:rsidRPr="00CB363C" w14:paraId="65EA9110" w14:textId="77777777" w:rsidTr="007C1311">
        <w:trPr>
          <w:trHeight w:val="290"/>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63D18F24" w14:textId="77777777" w:rsidR="0084213C" w:rsidRPr="00CB363C" w:rsidRDefault="0084213C" w:rsidP="007C1311">
            <w:pPr>
              <w:spacing w:line="259" w:lineRule="auto"/>
              <w:rPr>
                <w:strike/>
                <w:szCs w:val="24"/>
                <w:lang w:eastAsia="lt-LT"/>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D337D" w14:textId="77777777" w:rsidR="0084213C" w:rsidRPr="00CB363C" w:rsidRDefault="0084213C" w:rsidP="007C1311">
            <w:pPr>
              <w:spacing w:line="259" w:lineRule="auto"/>
              <w:ind w:right="240"/>
              <w:jc w:val="center"/>
              <w:rPr>
                <w:strike/>
                <w:szCs w:val="24"/>
                <w:lang w:eastAsia="lt-LT"/>
              </w:rPr>
            </w:pPr>
            <w:r w:rsidRPr="00CB363C">
              <w:rPr>
                <w:strike/>
                <w:color w:val="000000"/>
                <w:szCs w:val="24"/>
                <w:lang w:eastAsia="lt-LT"/>
              </w:rPr>
              <w:t>iki 10</w:t>
            </w:r>
          </w:p>
        </w:tc>
        <w:tc>
          <w:tcPr>
            <w:tcW w:w="164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D3353" w14:textId="77777777" w:rsidR="0084213C" w:rsidRPr="00CB363C" w:rsidRDefault="0084213C" w:rsidP="007C1311">
            <w:pPr>
              <w:spacing w:line="259" w:lineRule="auto"/>
              <w:ind w:right="240"/>
              <w:jc w:val="center"/>
              <w:rPr>
                <w:strike/>
                <w:szCs w:val="24"/>
                <w:lang w:eastAsia="lt-LT"/>
              </w:rPr>
            </w:pPr>
            <w:r w:rsidRPr="00CB363C">
              <w:rPr>
                <w:strike/>
                <w:color w:val="000000"/>
                <w:szCs w:val="24"/>
                <w:lang w:eastAsia="lt-LT"/>
              </w:rPr>
              <w:t>nuo daugiau kaip 10 iki 15</w:t>
            </w:r>
          </w:p>
        </w:tc>
        <w:tc>
          <w:tcPr>
            <w:tcW w:w="1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6ED2A" w14:textId="77777777" w:rsidR="0084213C" w:rsidRPr="00CB363C" w:rsidRDefault="0084213C" w:rsidP="007C1311">
            <w:pPr>
              <w:spacing w:line="259" w:lineRule="auto"/>
              <w:ind w:right="240"/>
              <w:jc w:val="center"/>
              <w:rPr>
                <w:strike/>
                <w:szCs w:val="24"/>
                <w:lang w:eastAsia="lt-LT"/>
              </w:rPr>
            </w:pPr>
            <w:r w:rsidRPr="00CB363C">
              <w:rPr>
                <w:strike/>
                <w:color w:val="000000"/>
                <w:szCs w:val="24"/>
                <w:lang w:eastAsia="lt-LT"/>
              </w:rPr>
              <w:t>daugiau kaip 15</w:t>
            </w:r>
          </w:p>
        </w:tc>
        <w:tc>
          <w:tcPr>
            <w:tcW w:w="8" w:type="pct"/>
            <w:tcBorders>
              <w:left w:val="single" w:sz="4" w:space="0" w:color="auto"/>
            </w:tcBorders>
            <w:vAlign w:val="center"/>
            <w:hideMark/>
          </w:tcPr>
          <w:p w14:paraId="72454164" w14:textId="77777777" w:rsidR="0084213C" w:rsidRPr="00CB363C" w:rsidRDefault="0084213C" w:rsidP="007C1311">
            <w:pPr>
              <w:spacing w:line="259" w:lineRule="auto"/>
              <w:rPr>
                <w:strike/>
                <w:szCs w:val="24"/>
                <w:lang w:eastAsia="lt-LT"/>
              </w:rPr>
            </w:pPr>
          </w:p>
        </w:tc>
      </w:tr>
      <w:tr w:rsidR="0084213C" w:rsidRPr="00CB363C" w14:paraId="23649B09" w14:textId="77777777" w:rsidTr="007C1311">
        <w:trPr>
          <w:trHeight w:val="405"/>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72CBF6D7" w14:textId="77777777" w:rsidR="0084213C" w:rsidRPr="00CB363C" w:rsidRDefault="0084213C" w:rsidP="007C1311">
            <w:pPr>
              <w:spacing w:line="259" w:lineRule="auto"/>
              <w:rPr>
                <w:strike/>
                <w:szCs w:val="24"/>
                <w:lang w:eastAsia="lt-LT"/>
              </w:rPr>
            </w:pPr>
          </w:p>
        </w:tc>
        <w:tc>
          <w:tcPr>
            <w:tcW w:w="838" w:type="pct"/>
            <w:vMerge/>
            <w:tcBorders>
              <w:top w:val="single" w:sz="4" w:space="0" w:color="auto"/>
              <w:left w:val="single" w:sz="4" w:space="0" w:color="auto"/>
              <w:bottom w:val="single" w:sz="4" w:space="0" w:color="auto"/>
              <w:right w:val="single" w:sz="4" w:space="0" w:color="auto"/>
            </w:tcBorders>
            <w:vAlign w:val="center"/>
            <w:hideMark/>
          </w:tcPr>
          <w:p w14:paraId="15C982C1" w14:textId="77777777" w:rsidR="0084213C" w:rsidRPr="00CB363C" w:rsidRDefault="0084213C" w:rsidP="007C1311">
            <w:pPr>
              <w:spacing w:line="259" w:lineRule="auto"/>
              <w:rPr>
                <w:strike/>
                <w:szCs w:val="24"/>
                <w:lang w:eastAsia="lt-LT"/>
              </w:rPr>
            </w:pPr>
          </w:p>
        </w:tc>
        <w:tc>
          <w:tcPr>
            <w:tcW w:w="1645" w:type="pct"/>
            <w:vMerge/>
            <w:tcBorders>
              <w:top w:val="single" w:sz="4" w:space="0" w:color="auto"/>
              <w:left w:val="single" w:sz="4" w:space="0" w:color="auto"/>
              <w:bottom w:val="single" w:sz="4" w:space="0" w:color="auto"/>
              <w:right w:val="single" w:sz="4" w:space="0" w:color="auto"/>
            </w:tcBorders>
            <w:vAlign w:val="center"/>
            <w:hideMark/>
          </w:tcPr>
          <w:p w14:paraId="6EA9E846" w14:textId="77777777" w:rsidR="0084213C" w:rsidRPr="00CB363C" w:rsidRDefault="0084213C" w:rsidP="007C1311">
            <w:pPr>
              <w:spacing w:line="259" w:lineRule="auto"/>
              <w:rPr>
                <w:strike/>
                <w:szCs w:val="24"/>
                <w:lang w:eastAsia="lt-LT"/>
              </w:rPr>
            </w:pPr>
          </w:p>
        </w:tc>
        <w:tc>
          <w:tcPr>
            <w:tcW w:w="1406" w:type="pct"/>
            <w:vMerge/>
            <w:tcBorders>
              <w:top w:val="single" w:sz="4" w:space="0" w:color="auto"/>
              <w:left w:val="single" w:sz="4" w:space="0" w:color="auto"/>
              <w:bottom w:val="single" w:sz="4" w:space="0" w:color="auto"/>
              <w:right w:val="single" w:sz="4" w:space="0" w:color="auto"/>
            </w:tcBorders>
            <w:vAlign w:val="center"/>
            <w:hideMark/>
          </w:tcPr>
          <w:p w14:paraId="0740AE2F" w14:textId="77777777" w:rsidR="0084213C" w:rsidRPr="00CB363C" w:rsidRDefault="0084213C" w:rsidP="007C1311">
            <w:pPr>
              <w:spacing w:line="259" w:lineRule="auto"/>
              <w:rPr>
                <w:strike/>
                <w:szCs w:val="24"/>
                <w:lang w:eastAsia="lt-LT"/>
              </w:rPr>
            </w:pPr>
          </w:p>
        </w:tc>
        <w:tc>
          <w:tcPr>
            <w:tcW w:w="8" w:type="pct"/>
            <w:tcBorders>
              <w:left w:val="single" w:sz="4" w:space="0" w:color="auto"/>
            </w:tcBorders>
            <w:vAlign w:val="center"/>
            <w:hideMark/>
          </w:tcPr>
          <w:p w14:paraId="5766F227" w14:textId="77777777" w:rsidR="0084213C" w:rsidRPr="00CB363C" w:rsidRDefault="0084213C" w:rsidP="007C1311">
            <w:pPr>
              <w:spacing w:line="259" w:lineRule="auto"/>
              <w:rPr>
                <w:strike/>
                <w:szCs w:val="24"/>
                <w:lang w:eastAsia="lt-LT"/>
              </w:rPr>
            </w:pPr>
          </w:p>
        </w:tc>
      </w:tr>
      <w:tr w:rsidR="0084213C" w:rsidRPr="00CB363C" w14:paraId="4464226F" w14:textId="77777777" w:rsidTr="007C1311">
        <w:trPr>
          <w:trHeight w:val="29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59C6C14" w14:textId="77777777" w:rsidR="0084213C" w:rsidRPr="00CB363C" w:rsidRDefault="0084213C" w:rsidP="007C1311">
            <w:pPr>
              <w:spacing w:line="259" w:lineRule="auto"/>
              <w:ind w:right="240"/>
              <w:rPr>
                <w:strike/>
                <w:szCs w:val="24"/>
                <w:lang w:eastAsia="lt-LT"/>
              </w:rPr>
            </w:pPr>
            <w:r w:rsidRPr="00CB363C">
              <w:rPr>
                <w:strike/>
                <w:color w:val="000000"/>
                <w:szCs w:val="24"/>
                <w:lang w:eastAsia="lt-LT"/>
              </w:rPr>
              <w:t>iki 200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EB23DE"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12,54</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3CBC501"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B518A88"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13,31</w:t>
            </w:r>
          </w:p>
        </w:tc>
        <w:tc>
          <w:tcPr>
            <w:tcW w:w="8" w:type="pct"/>
            <w:tcBorders>
              <w:left w:val="single" w:sz="4" w:space="0" w:color="auto"/>
            </w:tcBorders>
            <w:vAlign w:val="center"/>
            <w:hideMark/>
          </w:tcPr>
          <w:p w14:paraId="623C7512" w14:textId="77777777" w:rsidR="0084213C" w:rsidRPr="00CB363C" w:rsidRDefault="0084213C" w:rsidP="007C1311">
            <w:pPr>
              <w:spacing w:line="259" w:lineRule="auto"/>
              <w:rPr>
                <w:strike/>
                <w:szCs w:val="24"/>
                <w:lang w:eastAsia="lt-LT"/>
              </w:rPr>
            </w:pPr>
          </w:p>
        </w:tc>
      </w:tr>
      <w:tr w:rsidR="0084213C" w:rsidRPr="00CB363C" w14:paraId="7DA31231" w14:textId="77777777" w:rsidTr="007C1311">
        <w:trPr>
          <w:trHeight w:val="29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089CF92" w14:textId="77777777" w:rsidR="0084213C" w:rsidRPr="00CB363C" w:rsidRDefault="0084213C" w:rsidP="007C1311">
            <w:pPr>
              <w:spacing w:line="259" w:lineRule="auto"/>
              <w:ind w:right="240"/>
              <w:rPr>
                <w:strike/>
                <w:szCs w:val="24"/>
                <w:lang w:eastAsia="lt-LT"/>
              </w:rPr>
            </w:pPr>
            <w:r w:rsidRPr="00CB363C">
              <w:rPr>
                <w:strike/>
                <w:color w:val="000000"/>
                <w:szCs w:val="24"/>
                <w:lang w:eastAsia="lt-LT"/>
              </w:rPr>
              <w:t>201–400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ECE64F"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13,7</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84C4F7A"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13,82</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91A893"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13,83</w:t>
            </w:r>
          </w:p>
        </w:tc>
        <w:tc>
          <w:tcPr>
            <w:tcW w:w="8" w:type="pct"/>
            <w:tcBorders>
              <w:left w:val="single" w:sz="4" w:space="0" w:color="auto"/>
            </w:tcBorders>
            <w:vAlign w:val="center"/>
            <w:hideMark/>
          </w:tcPr>
          <w:p w14:paraId="58FD0484" w14:textId="77777777" w:rsidR="0084213C" w:rsidRPr="00CB363C" w:rsidRDefault="0084213C" w:rsidP="007C1311">
            <w:pPr>
              <w:spacing w:line="259" w:lineRule="auto"/>
              <w:rPr>
                <w:strike/>
                <w:szCs w:val="24"/>
                <w:lang w:eastAsia="lt-LT"/>
              </w:rPr>
            </w:pPr>
          </w:p>
        </w:tc>
      </w:tr>
      <w:tr w:rsidR="0084213C" w:rsidRPr="00CB363C" w14:paraId="73DC7A7C" w14:textId="77777777" w:rsidTr="007C1311">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3FDE49F" w14:textId="77777777" w:rsidR="0084213C" w:rsidRPr="00CB363C" w:rsidRDefault="0084213C" w:rsidP="007C1311">
            <w:pPr>
              <w:spacing w:line="259" w:lineRule="auto"/>
              <w:ind w:right="240"/>
              <w:rPr>
                <w:strike/>
                <w:szCs w:val="24"/>
                <w:lang w:eastAsia="lt-LT"/>
              </w:rPr>
            </w:pPr>
            <w:r w:rsidRPr="00CB363C">
              <w:rPr>
                <w:strike/>
                <w:color w:val="000000"/>
                <w:szCs w:val="24"/>
                <w:lang w:eastAsia="lt-LT"/>
              </w:rPr>
              <w:t>401–600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38ADA8"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13,75</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6AF6A7" w14:textId="77777777" w:rsidR="0084213C" w:rsidRPr="00CB363C" w:rsidRDefault="0084213C" w:rsidP="007C1311">
            <w:pPr>
              <w:spacing w:line="259" w:lineRule="auto"/>
              <w:jc w:val="center"/>
              <w:rPr>
                <w:strike/>
                <w:szCs w:val="24"/>
                <w:lang w:eastAsia="lt-LT"/>
              </w:rPr>
            </w:pPr>
            <w:r w:rsidRPr="00CB363C">
              <w:rPr>
                <w:strike/>
                <w:szCs w:val="24"/>
                <w:lang w:eastAsia="lt-LT"/>
              </w:rPr>
              <w:t>13,84</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5851872" w14:textId="77777777" w:rsidR="0084213C" w:rsidRPr="00CB363C" w:rsidRDefault="0084213C" w:rsidP="007C1311">
            <w:pPr>
              <w:spacing w:line="259" w:lineRule="auto"/>
              <w:jc w:val="center"/>
              <w:rPr>
                <w:strike/>
                <w:szCs w:val="24"/>
                <w:lang w:eastAsia="lt-LT"/>
              </w:rPr>
            </w:pPr>
            <w:r w:rsidRPr="00CB363C">
              <w:rPr>
                <w:strike/>
                <w:szCs w:val="24"/>
                <w:lang w:eastAsia="lt-LT"/>
              </w:rPr>
              <w:t>13,88</w:t>
            </w:r>
          </w:p>
        </w:tc>
        <w:tc>
          <w:tcPr>
            <w:tcW w:w="8" w:type="pct"/>
            <w:tcBorders>
              <w:left w:val="single" w:sz="4" w:space="0" w:color="auto"/>
            </w:tcBorders>
            <w:vAlign w:val="center"/>
            <w:hideMark/>
          </w:tcPr>
          <w:p w14:paraId="2E079499" w14:textId="77777777" w:rsidR="0084213C" w:rsidRPr="00CB363C" w:rsidRDefault="0084213C" w:rsidP="007C1311">
            <w:pPr>
              <w:spacing w:line="259" w:lineRule="auto"/>
              <w:rPr>
                <w:strike/>
                <w:szCs w:val="24"/>
                <w:lang w:eastAsia="lt-LT"/>
              </w:rPr>
            </w:pPr>
          </w:p>
        </w:tc>
      </w:tr>
      <w:tr w:rsidR="0084213C" w:rsidRPr="00CB363C" w14:paraId="07C0D2D5" w14:textId="77777777" w:rsidTr="007C1311">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C53DD22" w14:textId="77777777" w:rsidR="0084213C" w:rsidRPr="00CB363C" w:rsidRDefault="0084213C" w:rsidP="007C1311">
            <w:pPr>
              <w:spacing w:line="259" w:lineRule="auto"/>
              <w:ind w:right="240"/>
              <w:rPr>
                <w:strike/>
                <w:szCs w:val="24"/>
                <w:lang w:eastAsia="lt-LT"/>
              </w:rPr>
            </w:pPr>
            <w:r w:rsidRPr="00CB363C">
              <w:rPr>
                <w:strike/>
                <w:color w:val="000000"/>
                <w:szCs w:val="24"/>
                <w:lang w:eastAsia="lt-LT"/>
              </w:rPr>
              <w:t>601–1 000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8574561"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14,75</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70D86F5" w14:textId="77777777" w:rsidR="0084213C" w:rsidRPr="00CB363C" w:rsidRDefault="0084213C" w:rsidP="007C1311">
            <w:pPr>
              <w:spacing w:line="259" w:lineRule="auto"/>
              <w:jc w:val="center"/>
              <w:rPr>
                <w:strike/>
                <w:szCs w:val="24"/>
                <w:lang w:eastAsia="lt-LT"/>
              </w:rPr>
            </w:pPr>
            <w:r w:rsidRPr="00CB363C">
              <w:rPr>
                <w:strike/>
                <w:szCs w:val="24"/>
                <w:lang w:eastAsia="lt-LT"/>
              </w:rPr>
              <w:t>14,78</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FF5459" w14:textId="77777777" w:rsidR="0084213C" w:rsidRPr="00CB363C" w:rsidRDefault="0084213C" w:rsidP="007C1311">
            <w:pPr>
              <w:spacing w:line="259" w:lineRule="auto"/>
              <w:jc w:val="center"/>
              <w:rPr>
                <w:strike/>
                <w:szCs w:val="24"/>
                <w:lang w:eastAsia="lt-LT"/>
              </w:rPr>
            </w:pPr>
            <w:r w:rsidRPr="00CB363C">
              <w:rPr>
                <w:strike/>
                <w:szCs w:val="24"/>
                <w:lang w:eastAsia="lt-LT"/>
              </w:rPr>
              <w:t>14,81</w:t>
            </w:r>
          </w:p>
        </w:tc>
        <w:tc>
          <w:tcPr>
            <w:tcW w:w="8" w:type="pct"/>
            <w:tcBorders>
              <w:left w:val="single" w:sz="4" w:space="0" w:color="auto"/>
            </w:tcBorders>
            <w:vAlign w:val="center"/>
            <w:hideMark/>
          </w:tcPr>
          <w:p w14:paraId="4A53B12C" w14:textId="77777777" w:rsidR="0084213C" w:rsidRPr="00CB363C" w:rsidRDefault="0084213C" w:rsidP="007C1311">
            <w:pPr>
              <w:spacing w:line="259" w:lineRule="auto"/>
              <w:rPr>
                <w:strike/>
                <w:szCs w:val="24"/>
                <w:lang w:eastAsia="lt-LT"/>
              </w:rPr>
            </w:pPr>
          </w:p>
        </w:tc>
      </w:tr>
      <w:tr w:rsidR="0084213C" w:rsidRPr="00CB363C" w14:paraId="2EF4842B" w14:textId="77777777" w:rsidTr="007C1311">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64F3CC" w14:textId="77777777" w:rsidR="0084213C" w:rsidRPr="00CB363C" w:rsidRDefault="0084213C" w:rsidP="007C1311">
            <w:pPr>
              <w:spacing w:line="259" w:lineRule="auto"/>
              <w:ind w:right="240"/>
              <w:rPr>
                <w:strike/>
                <w:szCs w:val="24"/>
                <w:lang w:eastAsia="lt-LT"/>
              </w:rPr>
            </w:pPr>
            <w:r w:rsidRPr="00CB363C">
              <w:rPr>
                <w:strike/>
                <w:color w:val="000000"/>
                <w:szCs w:val="24"/>
                <w:lang w:eastAsia="lt-LT"/>
              </w:rPr>
              <w:t>1 001 ir daugiau</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AE99859" w14:textId="77777777" w:rsidR="0084213C" w:rsidRPr="00CB363C" w:rsidRDefault="0084213C" w:rsidP="007C1311">
            <w:pPr>
              <w:spacing w:line="259" w:lineRule="auto"/>
              <w:jc w:val="center"/>
              <w:rPr>
                <w:strike/>
                <w:szCs w:val="24"/>
                <w:lang w:eastAsia="lt-LT"/>
              </w:rPr>
            </w:pPr>
            <w:r w:rsidRPr="00CB363C">
              <w:rPr>
                <w:strike/>
                <w:color w:val="000000"/>
                <w:szCs w:val="24"/>
                <w:lang w:eastAsia="lt-LT"/>
              </w:rPr>
              <w:t>14,78</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E8673DC" w14:textId="77777777" w:rsidR="0084213C" w:rsidRPr="00CB363C" w:rsidRDefault="0084213C" w:rsidP="007C1311">
            <w:pPr>
              <w:spacing w:line="259" w:lineRule="auto"/>
              <w:jc w:val="center"/>
              <w:rPr>
                <w:strike/>
                <w:szCs w:val="24"/>
                <w:lang w:eastAsia="lt-LT"/>
              </w:rPr>
            </w:pPr>
            <w:r w:rsidRPr="00CB363C">
              <w:rPr>
                <w:strike/>
                <w:szCs w:val="24"/>
                <w:lang w:eastAsia="lt-LT"/>
              </w:rPr>
              <w:t>14,8</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7179D7A" w14:textId="77777777" w:rsidR="0084213C" w:rsidRPr="00CB363C" w:rsidRDefault="0084213C" w:rsidP="007C1311">
            <w:pPr>
              <w:spacing w:line="259" w:lineRule="auto"/>
              <w:ind w:firstLine="124"/>
              <w:jc w:val="center"/>
              <w:rPr>
                <w:strike/>
                <w:szCs w:val="24"/>
                <w:lang w:eastAsia="lt-LT"/>
              </w:rPr>
            </w:pPr>
            <w:r w:rsidRPr="00CB363C">
              <w:rPr>
                <w:strike/>
                <w:szCs w:val="24"/>
                <w:lang w:eastAsia="lt-LT"/>
              </w:rPr>
              <w:t>14,85</w:t>
            </w:r>
          </w:p>
        </w:tc>
        <w:tc>
          <w:tcPr>
            <w:tcW w:w="8" w:type="pct"/>
            <w:tcBorders>
              <w:left w:val="single" w:sz="4" w:space="0" w:color="auto"/>
            </w:tcBorders>
            <w:vAlign w:val="center"/>
            <w:hideMark/>
          </w:tcPr>
          <w:p w14:paraId="60015A5D" w14:textId="77777777" w:rsidR="0084213C" w:rsidRPr="00CB363C" w:rsidRDefault="0084213C" w:rsidP="007C1311">
            <w:pPr>
              <w:spacing w:line="259" w:lineRule="auto"/>
              <w:rPr>
                <w:strike/>
                <w:szCs w:val="24"/>
                <w:lang w:eastAsia="lt-LT"/>
              </w:rPr>
            </w:pPr>
          </w:p>
        </w:tc>
      </w:tr>
    </w:tbl>
    <w:p w14:paraId="757F2C0D" w14:textId="77777777" w:rsidR="0084213C" w:rsidRPr="00CB363C" w:rsidRDefault="0084213C" w:rsidP="0084213C">
      <w:pPr>
        <w:rPr>
          <w:strike/>
          <w:szCs w:val="24"/>
          <w:lang w:eastAsia="lt-LT"/>
        </w:rPr>
      </w:pPr>
    </w:p>
    <w:p w14:paraId="72CEFCAE" w14:textId="77777777" w:rsidR="0084213C" w:rsidRPr="00CB363C" w:rsidRDefault="0084213C" w:rsidP="0084213C">
      <w:pPr>
        <w:ind w:firstLine="851"/>
        <w:jc w:val="both"/>
        <w:rPr>
          <w:strike/>
          <w:szCs w:val="24"/>
        </w:rPr>
      </w:pPr>
      <w:r w:rsidRPr="00CB363C">
        <w:rPr>
          <w:strike/>
          <w:szCs w:val="24"/>
        </w:rPr>
        <w:t>2. Pareiginės algos pastoviosios dalies koeficientai dėl veiklos sudėtingumo:</w:t>
      </w:r>
    </w:p>
    <w:p w14:paraId="09C08A23" w14:textId="77777777" w:rsidR="0084213C" w:rsidRPr="00CB363C" w:rsidRDefault="0084213C" w:rsidP="0084213C">
      <w:pPr>
        <w:ind w:firstLine="851"/>
        <w:jc w:val="both"/>
        <w:rPr>
          <w:strike/>
          <w:szCs w:val="24"/>
        </w:rPr>
      </w:pPr>
      <w:r w:rsidRPr="00CB363C">
        <w:rPr>
          <w:strike/>
          <w:szCs w:val="24"/>
        </w:rPr>
        <w:t>2.1. didinami 5 procentais:</w:t>
      </w:r>
    </w:p>
    <w:p w14:paraId="3A801BFC" w14:textId="77777777" w:rsidR="0084213C" w:rsidRPr="00CB363C" w:rsidRDefault="0084213C" w:rsidP="0084213C">
      <w:pPr>
        <w:ind w:firstLine="851"/>
        <w:jc w:val="both"/>
        <w:rPr>
          <w:strike/>
          <w:szCs w:val="24"/>
        </w:rPr>
      </w:pPr>
      <w:r w:rsidRPr="00CB363C">
        <w:rPr>
          <w:strike/>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FBE6005" w14:textId="77777777" w:rsidR="0084213C" w:rsidRPr="00CB363C" w:rsidRDefault="0084213C" w:rsidP="0084213C">
      <w:pPr>
        <w:ind w:firstLine="851"/>
        <w:jc w:val="both"/>
        <w:rPr>
          <w:strike/>
          <w:szCs w:val="24"/>
        </w:rPr>
      </w:pPr>
      <w:r w:rsidRPr="00CB363C">
        <w:rPr>
          <w:strike/>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257698FA" w14:textId="77777777" w:rsidR="0084213C" w:rsidRPr="00CB363C" w:rsidRDefault="0084213C" w:rsidP="0084213C">
      <w:pPr>
        <w:ind w:firstLine="851"/>
        <w:jc w:val="both"/>
        <w:rPr>
          <w:strike/>
          <w:szCs w:val="24"/>
        </w:rPr>
      </w:pPr>
      <w:r w:rsidRPr="00CB363C">
        <w:rPr>
          <w:strike/>
          <w:szCs w:val="24"/>
        </w:rPr>
        <w:t>2.2. didinami 10 procentų:</w:t>
      </w:r>
    </w:p>
    <w:p w14:paraId="51D77DA5" w14:textId="77777777" w:rsidR="0084213C" w:rsidRPr="00CB363C" w:rsidRDefault="0084213C" w:rsidP="0084213C">
      <w:pPr>
        <w:ind w:firstLine="851"/>
        <w:jc w:val="both"/>
        <w:rPr>
          <w:strike/>
          <w:szCs w:val="24"/>
        </w:rPr>
      </w:pPr>
      <w:r w:rsidRPr="00CB363C">
        <w:rPr>
          <w:strike/>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52FC0014" w14:textId="77777777" w:rsidR="0084213C" w:rsidRPr="00CB363C" w:rsidRDefault="0084213C" w:rsidP="0084213C">
      <w:pPr>
        <w:ind w:firstLine="851"/>
        <w:jc w:val="both"/>
        <w:rPr>
          <w:strike/>
          <w:szCs w:val="24"/>
        </w:rPr>
      </w:pPr>
      <w:r w:rsidRPr="00CB363C">
        <w:rPr>
          <w:strike/>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289BD0A4" w14:textId="77777777" w:rsidR="0084213C" w:rsidRPr="00CB363C" w:rsidRDefault="0084213C" w:rsidP="0084213C">
      <w:pPr>
        <w:ind w:firstLine="851"/>
        <w:jc w:val="both"/>
        <w:rPr>
          <w:strike/>
          <w:szCs w:val="24"/>
        </w:rPr>
      </w:pPr>
      <w:r w:rsidRPr="00CB363C">
        <w:rPr>
          <w:strike/>
          <w:szCs w:val="24"/>
        </w:rPr>
        <w:t>2.2.3 mokyklų vadovams, dirbantiems mokyklose, skirtose mokiniams, dėl nepalankių aplinkos veiksnių turintiems specialiųjų ugdymosi poreikių;</w:t>
      </w:r>
    </w:p>
    <w:p w14:paraId="7C9FE117" w14:textId="77777777" w:rsidR="0084213C" w:rsidRPr="00CB363C" w:rsidRDefault="0084213C" w:rsidP="0084213C">
      <w:pPr>
        <w:ind w:firstLine="851"/>
        <w:jc w:val="both"/>
        <w:rPr>
          <w:strike/>
          <w:szCs w:val="24"/>
        </w:rPr>
      </w:pPr>
      <w:r w:rsidRPr="00CB363C">
        <w:rPr>
          <w:strike/>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1C8B346E" w14:textId="77777777" w:rsidR="0084213C" w:rsidRPr="00CB363C" w:rsidRDefault="0084213C" w:rsidP="0084213C">
      <w:pPr>
        <w:ind w:firstLine="851"/>
        <w:jc w:val="both"/>
        <w:rPr>
          <w:strike/>
          <w:szCs w:val="24"/>
        </w:rPr>
      </w:pPr>
      <w:r w:rsidRPr="00CB363C">
        <w:rPr>
          <w:strike/>
          <w:szCs w:val="24"/>
        </w:rPr>
        <w:t>2.4. jeigu savita, specifinė mokyklos veikla atitinka vieną iš 2.3 papunktyje išvardytų kriterijų, mokyklos vadovo pareiginės algos pastoviosios dalies koeficientas didinamas 10 procentų, jeigu du ar daugiau – 15 procentų.</w:t>
      </w:r>
    </w:p>
    <w:p w14:paraId="23672A38" w14:textId="77777777" w:rsidR="0084213C" w:rsidRPr="00CB363C" w:rsidRDefault="0084213C" w:rsidP="0084213C">
      <w:pPr>
        <w:ind w:firstLine="851"/>
        <w:jc w:val="both"/>
        <w:rPr>
          <w:strike/>
          <w:szCs w:val="24"/>
        </w:rPr>
      </w:pPr>
      <w:r w:rsidRPr="00CB363C">
        <w:rPr>
          <w:strike/>
          <w:szCs w:val="24"/>
        </w:rPr>
        <w:t>3. Jeigu mokyklos vadovo veikla atitinka du ir daugiau šio priedo 2 punkte nustatytus kriterijus, jo pareiginės algos pastoviosios dalies koeficientas didinamas ne daugiau kaip 25 procentais.</w:t>
      </w:r>
    </w:p>
    <w:p w14:paraId="47CB5A0B" w14:textId="77777777" w:rsidR="0084213C" w:rsidRPr="00CB363C" w:rsidRDefault="0084213C" w:rsidP="0084213C">
      <w:pPr>
        <w:ind w:firstLine="851"/>
        <w:jc w:val="both"/>
        <w:rPr>
          <w:strike/>
          <w:szCs w:val="24"/>
        </w:rPr>
      </w:pPr>
      <w:r w:rsidRPr="00CB363C">
        <w:rPr>
          <w:strike/>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5F4A3E92" w14:textId="77777777" w:rsidR="0084213C" w:rsidRPr="00CB363C" w:rsidRDefault="0084213C" w:rsidP="0084213C">
      <w:pPr>
        <w:ind w:firstLine="851"/>
        <w:jc w:val="both"/>
        <w:rPr>
          <w:strike/>
          <w:szCs w:val="24"/>
        </w:rPr>
      </w:pPr>
      <w:r w:rsidRPr="00CB363C">
        <w:rPr>
          <w:strike/>
          <w:szCs w:val="24"/>
        </w:rPr>
        <w:t xml:space="preserve">5.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sidRPr="00CB363C">
        <w:rPr>
          <w:strike/>
          <w:szCs w:val="24"/>
          <w:lang w:eastAsia="lt-LT"/>
        </w:rPr>
        <w:t>Bendrabučiuose gyvenantys mokiniai į bendrą mokinių</w:t>
      </w:r>
      <w:r w:rsidRPr="00CB363C">
        <w:rPr>
          <w:strike/>
          <w:szCs w:val="24"/>
        </w:rPr>
        <w:t xml:space="preserve"> </w:t>
      </w:r>
      <w:r w:rsidRPr="00CB363C">
        <w:rPr>
          <w:strike/>
          <w:szCs w:val="24"/>
          <w:lang w:eastAsia="lt-LT"/>
        </w:rPr>
        <w:t xml:space="preserve">skaičių įskaičiuojami taikant koeficientą 1,5. </w:t>
      </w:r>
      <w:r w:rsidRPr="00CB363C">
        <w:rPr>
          <w:strike/>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3E4F5A6E" w14:textId="77777777" w:rsidR="0084213C" w:rsidRPr="00CB363C" w:rsidRDefault="0084213C" w:rsidP="0084213C">
      <w:pPr>
        <w:spacing w:line="360" w:lineRule="auto"/>
        <w:jc w:val="center"/>
        <w:rPr>
          <w:strike/>
          <w:szCs w:val="24"/>
          <w:lang w:eastAsia="lt-LT"/>
        </w:rPr>
      </w:pPr>
      <w:r w:rsidRPr="00CB363C">
        <w:rPr>
          <w:strike/>
          <w:szCs w:val="24"/>
          <w:lang w:eastAsia="lt-LT"/>
        </w:rPr>
        <w:t>_______________________</w:t>
      </w:r>
    </w:p>
    <w:p w14:paraId="054CFD50" w14:textId="77777777" w:rsidR="0084213C" w:rsidRPr="00CB363C" w:rsidRDefault="0084213C" w:rsidP="0084213C">
      <w:pPr>
        <w:ind w:firstLine="6237"/>
        <w:rPr>
          <w:strike/>
        </w:rPr>
        <w:sectPr w:rsidR="0084213C" w:rsidRPr="00CB363C">
          <w:pgSz w:w="11907" w:h="16840" w:code="9"/>
          <w:pgMar w:top="1134" w:right="567" w:bottom="1134" w:left="1701" w:header="567" w:footer="684" w:gutter="0"/>
          <w:pgNumType w:start="1"/>
          <w:cols w:space="1296"/>
          <w:titlePg/>
          <w:docGrid w:linePitch="326"/>
        </w:sectPr>
      </w:pPr>
    </w:p>
    <w:p w14:paraId="759EA73F" w14:textId="77777777" w:rsidR="0084213C" w:rsidRPr="00CB363C" w:rsidRDefault="0084213C" w:rsidP="0084213C">
      <w:pPr>
        <w:ind w:firstLine="6237"/>
        <w:rPr>
          <w:strike/>
          <w:szCs w:val="24"/>
        </w:rPr>
      </w:pPr>
      <w:r w:rsidRPr="00CB363C">
        <w:rPr>
          <w:strike/>
          <w:szCs w:val="24"/>
        </w:rPr>
        <w:t>Panevėžio miesto savivaldybės</w:t>
      </w:r>
    </w:p>
    <w:p w14:paraId="62831D23" w14:textId="77777777" w:rsidR="0084213C" w:rsidRPr="00CB363C" w:rsidRDefault="0084213C" w:rsidP="0084213C">
      <w:pPr>
        <w:ind w:firstLine="6237"/>
        <w:rPr>
          <w:strike/>
          <w:szCs w:val="24"/>
        </w:rPr>
      </w:pPr>
      <w:r w:rsidRPr="00CB363C">
        <w:rPr>
          <w:strike/>
          <w:szCs w:val="24"/>
        </w:rPr>
        <w:t>biudžetinių įstaigų vadovų darbo</w:t>
      </w:r>
    </w:p>
    <w:p w14:paraId="5B01AE4A" w14:textId="77777777" w:rsidR="0084213C" w:rsidRPr="00CB363C" w:rsidRDefault="0084213C" w:rsidP="0084213C">
      <w:pPr>
        <w:ind w:firstLine="6237"/>
        <w:rPr>
          <w:strike/>
          <w:szCs w:val="24"/>
        </w:rPr>
      </w:pPr>
      <w:r w:rsidRPr="00CB363C">
        <w:rPr>
          <w:strike/>
          <w:szCs w:val="24"/>
        </w:rPr>
        <w:t>apmokėjimo sistemos</w:t>
      </w:r>
    </w:p>
    <w:p w14:paraId="6A884045" w14:textId="77777777" w:rsidR="0084213C" w:rsidRPr="00CB363C" w:rsidRDefault="0084213C" w:rsidP="0084213C">
      <w:pPr>
        <w:ind w:firstLine="6237"/>
        <w:rPr>
          <w:strike/>
          <w:szCs w:val="24"/>
        </w:rPr>
      </w:pPr>
      <w:r w:rsidRPr="00CB363C">
        <w:rPr>
          <w:strike/>
          <w:szCs w:val="24"/>
        </w:rPr>
        <w:t>3 priedas</w:t>
      </w:r>
    </w:p>
    <w:p w14:paraId="08168CC8" w14:textId="77777777" w:rsidR="0084213C" w:rsidRPr="00CB363C" w:rsidRDefault="0084213C" w:rsidP="0084213C">
      <w:pPr>
        <w:jc w:val="center"/>
        <w:rPr>
          <w:strike/>
          <w:szCs w:val="24"/>
          <w:lang w:eastAsia="lt-LT"/>
        </w:rPr>
      </w:pPr>
    </w:p>
    <w:p w14:paraId="642395D8" w14:textId="77777777" w:rsidR="0084213C" w:rsidRPr="00CB363C" w:rsidRDefault="0084213C" w:rsidP="0084213C">
      <w:pPr>
        <w:jc w:val="center"/>
        <w:rPr>
          <w:strike/>
          <w:szCs w:val="24"/>
          <w:lang w:eastAsia="lt-LT"/>
        </w:rPr>
      </w:pPr>
    </w:p>
    <w:p w14:paraId="44385A5B" w14:textId="77777777" w:rsidR="0084213C" w:rsidRPr="00CB363C" w:rsidRDefault="0084213C" w:rsidP="0084213C">
      <w:pPr>
        <w:jc w:val="center"/>
        <w:rPr>
          <w:b/>
          <w:bCs/>
          <w:strike/>
          <w:szCs w:val="24"/>
          <w:lang w:eastAsia="lt-LT"/>
        </w:rPr>
      </w:pPr>
      <w:r w:rsidRPr="00CB363C">
        <w:rPr>
          <w:b/>
          <w:bCs/>
          <w:strike/>
          <w:szCs w:val="24"/>
          <w:lang w:eastAsia="lt-LT"/>
        </w:rPr>
        <w:t>ŠVIETIMO PAGALBOS ĮSTAIGŲ VADOVŲ PAREIGINĖS ALGOS PASTOVIOSIOS DALIES KOEFICIENTAI</w:t>
      </w:r>
    </w:p>
    <w:p w14:paraId="40EF3B90" w14:textId="77777777" w:rsidR="0084213C" w:rsidRPr="00CB363C" w:rsidRDefault="0084213C" w:rsidP="0084213C">
      <w:pPr>
        <w:jc w:val="center"/>
        <w:rPr>
          <w:b/>
          <w:bCs/>
          <w:strike/>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6"/>
        <w:gridCol w:w="3161"/>
        <w:gridCol w:w="3901"/>
      </w:tblGrid>
      <w:tr w:rsidR="0084213C" w:rsidRPr="00CB363C" w14:paraId="33117320" w14:textId="77777777" w:rsidTr="007C1311">
        <w:trPr>
          <w:cantSplit/>
          <w:trHeight w:val="1185"/>
        </w:trPr>
        <w:tc>
          <w:tcPr>
            <w:tcW w:w="1278" w:type="pct"/>
            <w:tcMar>
              <w:top w:w="0" w:type="dxa"/>
              <w:left w:w="108" w:type="dxa"/>
              <w:bottom w:w="0" w:type="dxa"/>
              <w:right w:w="108" w:type="dxa"/>
            </w:tcMar>
            <w:vAlign w:val="center"/>
            <w:hideMark/>
          </w:tcPr>
          <w:p w14:paraId="34CCC95F" w14:textId="77777777" w:rsidR="0084213C" w:rsidRPr="00CB363C" w:rsidRDefault="0084213C" w:rsidP="007C1311">
            <w:pPr>
              <w:ind w:left="33"/>
              <w:jc w:val="center"/>
              <w:rPr>
                <w:bCs/>
                <w:strike/>
                <w:szCs w:val="24"/>
                <w:lang w:eastAsia="lt-LT"/>
              </w:rPr>
            </w:pPr>
            <w:r w:rsidRPr="00CB363C">
              <w:rPr>
                <w:bCs/>
                <w:strike/>
                <w:szCs w:val="24"/>
                <w:lang w:eastAsia="lt-LT"/>
              </w:rPr>
              <w:t>Pareigybių skaičius</w:t>
            </w:r>
          </w:p>
        </w:tc>
        <w:tc>
          <w:tcPr>
            <w:tcW w:w="1666" w:type="pct"/>
            <w:tcMar>
              <w:top w:w="0" w:type="dxa"/>
              <w:left w:w="108" w:type="dxa"/>
              <w:bottom w:w="0" w:type="dxa"/>
              <w:right w:w="108" w:type="dxa"/>
            </w:tcMar>
            <w:vAlign w:val="center"/>
            <w:hideMark/>
          </w:tcPr>
          <w:p w14:paraId="2F5614FC" w14:textId="77777777" w:rsidR="0084213C" w:rsidRPr="00CB363C" w:rsidRDefault="0084213C" w:rsidP="007C1311">
            <w:pPr>
              <w:ind w:left="33"/>
              <w:jc w:val="center"/>
              <w:rPr>
                <w:bCs/>
                <w:strike/>
                <w:szCs w:val="24"/>
                <w:lang w:eastAsia="lt-LT"/>
              </w:rPr>
            </w:pPr>
            <w:r w:rsidRPr="00CB363C">
              <w:rPr>
                <w:bCs/>
                <w:strike/>
                <w:color w:val="000000"/>
                <w:szCs w:val="24"/>
                <w:lang w:eastAsia="lt-LT"/>
              </w:rPr>
              <w:t>Vadovaujamo darbo</w:t>
            </w:r>
          </w:p>
          <w:p w14:paraId="146FC85D" w14:textId="77777777" w:rsidR="0084213C" w:rsidRPr="00CB363C" w:rsidRDefault="0084213C" w:rsidP="007C1311">
            <w:pPr>
              <w:ind w:left="33"/>
              <w:jc w:val="center"/>
              <w:rPr>
                <w:bCs/>
                <w:strike/>
                <w:szCs w:val="24"/>
                <w:lang w:eastAsia="lt-LT"/>
              </w:rPr>
            </w:pPr>
            <w:r w:rsidRPr="00CB363C">
              <w:rPr>
                <w:bCs/>
                <w:strike/>
                <w:color w:val="000000"/>
                <w:szCs w:val="24"/>
                <w:lang w:eastAsia="lt-LT"/>
              </w:rPr>
              <w:t>patirtis (metais)</w:t>
            </w:r>
          </w:p>
        </w:tc>
        <w:tc>
          <w:tcPr>
            <w:tcW w:w="2056" w:type="pct"/>
            <w:tcMar>
              <w:top w:w="0" w:type="dxa"/>
              <w:left w:w="108" w:type="dxa"/>
              <w:bottom w:w="0" w:type="dxa"/>
              <w:right w:w="108" w:type="dxa"/>
            </w:tcMar>
            <w:vAlign w:val="center"/>
            <w:hideMark/>
          </w:tcPr>
          <w:p w14:paraId="1F664FD5" w14:textId="77777777" w:rsidR="0084213C" w:rsidRPr="00CB363C" w:rsidRDefault="0084213C" w:rsidP="007C1311">
            <w:pPr>
              <w:ind w:left="33"/>
              <w:jc w:val="center"/>
              <w:rPr>
                <w:bCs/>
                <w:strike/>
                <w:szCs w:val="24"/>
                <w:lang w:eastAsia="lt-LT"/>
              </w:rPr>
            </w:pPr>
            <w:r w:rsidRPr="00CB363C">
              <w:rPr>
                <w:bCs/>
                <w:strike/>
                <w:color w:val="000000"/>
                <w:szCs w:val="24"/>
                <w:lang w:eastAsia="lt-LT"/>
              </w:rPr>
              <w:t>Pastoviosios dalies koeficientai (pareiginės algos baziniais dydžiais)</w:t>
            </w:r>
          </w:p>
        </w:tc>
      </w:tr>
      <w:tr w:rsidR="0084213C" w:rsidRPr="00CB363C" w14:paraId="793CC752" w14:textId="77777777" w:rsidTr="007C1311">
        <w:trPr>
          <w:cantSplit/>
          <w:trHeight w:val="453"/>
        </w:trPr>
        <w:tc>
          <w:tcPr>
            <w:tcW w:w="1278" w:type="pct"/>
            <w:vMerge w:val="restart"/>
            <w:tcMar>
              <w:top w:w="0" w:type="dxa"/>
              <w:left w:w="108" w:type="dxa"/>
              <w:bottom w:w="0" w:type="dxa"/>
              <w:right w:w="108" w:type="dxa"/>
            </w:tcMar>
            <w:vAlign w:val="center"/>
            <w:hideMark/>
          </w:tcPr>
          <w:p w14:paraId="3F7A56CF" w14:textId="77777777" w:rsidR="0084213C" w:rsidRPr="00CB363C" w:rsidRDefault="0084213C" w:rsidP="007C1311">
            <w:pPr>
              <w:ind w:left="33" w:hanging="33"/>
              <w:jc w:val="center"/>
              <w:rPr>
                <w:bCs/>
                <w:strike/>
                <w:szCs w:val="24"/>
                <w:lang w:eastAsia="lt-LT"/>
              </w:rPr>
            </w:pPr>
            <w:r w:rsidRPr="00CB363C">
              <w:rPr>
                <w:bCs/>
                <w:strike/>
                <w:color w:val="000000"/>
                <w:szCs w:val="24"/>
                <w:lang w:eastAsia="lt-LT"/>
              </w:rPr>
              <w:t xml:space="preserve">201 ir daugiau </w:t>
            </w:r>
          </w:p>
        </w:tc>
        <w:tc>
          <w:tcPr>
            <w:tcW w:w="1666" w:type="pct"/>
            <w:tcMar>
              <w:top w:w="0" w:type="dxa"/>
              <w:left w:w="108" w:type="dxa"/>
              <w:bottom w:w="0" w:type="dxa"/>
              <w:right w:w="108" w:type="dxa"/>
            </w:tcMar>
            <w:vAlign w:val="center"/>
            <w:hideMark/>
          </w:tcPr>
          <w:p w14:paraId="53612847" w14:textId="77777777" w:rsidR="0084213C" w:rsidRPr="00CB363C" w:rsidRDefault="0084213C" w:rsidP="007C1311">
            <w:pPr>
              <w:ind w:left="25"/>
              <w:jc w:val="center"/>
              <w:rPr>
                <w:bCs/>
                <w:strike/>
                <w:szCs w:val="24"/>
                <w:lang w:eastAsia="lt-LT"/>
              </w:rPr>
            </w:pPr>
            <w:r w:rsidRPr="00CB363C">
              <w:rPr>
                <w:bCs/>
                <w:strike/>
                <w:color w:val="000000"/>
                <w:szCs w:val="24"/>
                <w:lang w:eastAsia="lt-LT"/>
              </w:rPr>
              <w:t>iki 5</w:t>
            </w:r>
          </w:p>
        </w:tc>
        <w:tc>
          <w:tcPr>
            <w:tcW w:w="2056" w:type="pct"/>
            <w:tcMar>
              <w:top w:w="0" w:type="dxa"/>
              <w:left w:w="108" w:type="dxa"/>
              <w:bottom w:w="0" w:type="dxa"/>
              <w:right w:w="108" w:type="dxa"/>
            </w:tcMar>
            <w:vAlign w:val="center"/>
            <w:hideMark/>
          </w:tcPr>
          <w:p w14:paraId="515306E8" w14:textId="77777777" w:rsidR="0084213C" w:rsidRPr="00CB363C" w:rsidRDefault="0084213C" w:rsidP="007C1311">
            <w:pPr>
              <w:jc w:val="center"/>
              <w:rPr>
                <w:bCs/>
                <w:strike/>
                <w:szCs w:val="24"/>
                <w:lang w:eastAsia="lt-LT"/>
              </w:rPr>
            </w:pPr>
            <w:r w:rsidRPr="00CB363C">
              <w:rPr>
                <w:bCs/>
                <w:strike/>
                <w:color w:val="000000"/>
                <w:szCs w:val="24"/>
                <w:lang w:eastAsia="lt-LT"/>
              </w:rPr>
              <w:t>12,47–14,1</w:t>
            </w:r>
          </w:p>
        </w:tc>
      </w:tr>
      <w:tr w:rsidR="0084213C" w:rsidRPr="00CB363C" w14:paraId="40CE692C" w14:textId="77777777" w:rsidTr="007C1311">
        <w:trPr>
          <w:cantSplit/>
          <w:trHeight w:val="489"/>
        </w:trPr>
        <w:tc>
          <w:tcPr>
            <w:tcW w:w="1278" w:type="pct"/>
            <w:vMerge/>
            <w:vAlign w:val="center"/>
            <w:hideMark/>
          </w:tcPr>
          <w:p w14:paraId="2BB79B36" w14:textId="77777777" w:rsidR="0084213C" w:rsidRPr="00CB363C" w:rsidRDefault="0084213C" w:rsidP="007C1311">
            <w:pPr>
              <w:ind w:left="360" w:hanging="360"/>
              <w:jc w:val="center"/>
              <w:rPr>
                <w:bCs/>
                <w:strike/>
                <w:szCs w:val="24"/>
                <w:lang w:eastAsia="lt-LT"/>
              </w:rPr>
            </w:pPr>
          </w:p>
        </w:tc>
        <w:tc>
          <w:tcPr>
            <w:tcW w:w="1666" w:type="pct"/>
            <w:tcMar>
              <w:top w:w="0" w:type="dxa"/>
              <w:left w:w="108" w:type="dxa"/>
              <w:bottom w:w="0" w:type="dxa"/>
              <w:right w:w="108" w:type="dxa"/>
            </w:tcMar>
            <w:vAlign w:val="center"/>
            <w:hideMark/>
          </w:tcPr>
          <w:p w14:paraId="3DCA3B5D" w14:textId="77777777" w:rsidR="0084213C" w:rsidRPr="00CB363C" w:rsidRDefault="0084213C" w:rsidP="007C1311">
            <w:pPr>
              <w:ind w:left="25"/>
              <w:jc w:val="center"/>
              <w:rPr>
                <w:bCs/>
                <w:strike/>
                <w:szCs w:val="24"/>
                <w:lang w:eastAsia="lt-LT"/>
              </w:rPr>
            </w:pPr>
            <w:r w:rsidRPr="00CB363C">
              <w:rPr>
                <w:bCs/>
                <w:strike/>
                <w:color w:val="000000"/>
                <w:szCs w:val="24"/>
                <w:lang w:eastAsia="lt-LT"/>
              </w:rPr>
              <w:t>nuo daugiau kaip 5 iki 10</w:t>
            </w:r>
          </w:p>
        </w:tc>
        <w:tc>
          <w:tcPr>
            <w:tcW w:w="2056" w:type="pct"/>
            <w:tcMar>
              <w:top w:w="0" w:type="dxa"/>
              <w:left w:w="108" w:type="dxa"/>
              <w:bottom w:w="0" w:type="dxa"/>
              <w:right w:w="108" w:type="dxa"/>
            </w:tcMar>
            <w:vAlign w:val="center"/>
            <w:hideMark/>
          </w:tcPr>
          <w:p w14:paraId="125422F9" w14:textId="77777777" w:rsidR="0084213C" w:rsidRPr="00CB363C" w:rsidRDefault="0084213C" w:rsidP="007C1311">
            <w:pPr>
              <w:jc w:val="center"/>
              <w:rPr>
                <w:bCs/>
                <w:strike/>
                <w:szCs w:val="24"/>
                <w:lang w:eastAsia="lt-LT"/>
              </w:rPr>
            </w:pPr>
            <w:r w:rsidRPr="00CB363C">
              <w:rPr>
                <w:bCs/>
                <w:strike/>
                <w:color w:val="000000"/>
                <w:szCs w:val="24"/>
                <w:lang w:eastAsia="lt-LT"/>
              </w:rPr>
              <w:t>12,65–14,5</w:t>
            </w:r>
          </w:p>
        </w:tc>
      </w:tr>
      <w:tr w:rsidR="0084213C" w:rsidRPr="00CB363C" w14:paraId="10385952" w14:textId="77777777" w:rsidTr="007C1311">
        <w:trPr>
          <w:cantSplit/>
          <w:trHeight w:val="636"/>
        </w:trPr>
        <w:tc>
          <w:tcPr>
            <w:tcW w:w="1278" w:type="pct"/>
            <w:vMerge/>
            <w:vAlign w:val="center"/>
            <w:hideMark/>
          </w:tcPr>
          <w:p w14:paraId="49A59819" w14:textId="77777777" w:rsidR="0084213C" w:rsidRPr="00CB363C" w:rsidRDefault="0084213C" w:rsidP="007C1311">
            <w:pPr>
              <w:ind w:left="360" w:hanging="360"/>
              <w:jc w:val="center"/>
              <w:rPr>
                <w:bCs/>
                <w:strike/>
                <w:szCs w:val="24"/>
                <w:lang w:eastAsia="lt-LT"/>
              </w:rPr>
            </w:pPr>
          </w:p>
        </w:tc>
        <w:tc>
          <w:tcPr>
            <w:tcW w:w="1666" w:type="pct"/>
            <w:tcMar>
              <w:top w:w="0" w:type="dxa"/>
              <w:left w:w="108" w:type="dxa"/>
              <w:bottom w:w="0" w:type="dxa"/>
              <w:right w:w="108" w:type="dxa"/>
            </w:tcMar>
            <w:vAlign w:val="center"/>
            <w:hideMark/>
          </w:tcPr>
          <w:p w14:paraId="70C8CC1F" w14:textId="77777777" w:rsidR="0084213C" w:rsidRPr="00CB363C" w:rsidRDefault="0084213C" w:rsidP="007C1311">
            <w:pPr>
              <w:ind w:left="25"/>
              <w:jc w:val="center"/>
              <w:rPr>
                <w:bCs/>
                <w:strike/>
                <w:szCs w:val="24"/>
                <w:lang w:eastAsia="lt-LT"/>
              </w:rPr>
            </w:pPr>
            <w:r w:rsidRPr="00CB363C">
              <w:rPr>
                <w:bCs/>
                <w:strike/>
                <w:color w:val="000000"/>
                <w:szCs w:val="24"/>
                <w:lang w:eastAsia="lt-LT"/>
              </w:rPr>
              <w:t>daugiau kaip 10</w:t>
            </w:r>
          </w:p>
        </w:tc>
        <w:tc>
          <w:tcPr>
            <w:tcW w:w="2056" w:type="pct"/>
            <w:tcMar>
              <w:top w:w="0" w:type="dxa"/>
              <w:left w:w="108" w:type="dxa"/>
              <w:bottom w:w="0" w:type="dxa"/>
              <w:right w:w="108" w:type="dxa"/>
            </w:tcMar>
            <w:vAlign w:val="center"/>
            <w:hideMark/>
          </w:tcPr>
          <w:p w14:paraId="624BC7AE" w14:textId="77777777" w:rsidR="0084213C" w:rsidRPr="00CB363C" w:rsidRDefault="0084213C" w:rsidP="007C1311">
            <w:pPr>
              <w:jc w:val="center"/>
              <w:rPr>
                <w:bCs/>
                <w:strike/>
                <w:color w:val="000000"/>
                <w:szCs w:val="24"/>
                <w:lang w:eastAsia="lt-LT"/>
              </w:rPr>
            </w:pPr>
            <w:r w:rsidRPr="00CB363C">
              <w:rPr>
                <w:bCs/>
                <w:strike/>
                <w:color w:val="000000"/>
                <w:szCs w:val="24"/>
                <w:lang w:eastAsia="lt-LT"/>
              </w:rPr>
              <w:t>12,82–14,8</w:t>
            </w:r>
          </w:p>
        </w:tc>
      </w:tr>
      <w:tr w:rsidR="0084213C" w:rsidRPr="00CB363C" w14:paraId="3BDCD425" w14:textId="77777777" w:rsidTr="007C1311">
        <w:trPr>
          <w:cantSplit/>
          <w:trHeight w:val="405"/>
        </w:trPr>
        <w:tc>
          <w:tcPr>
            <w:tcW w:w="1278" w:type="pct"/>
            <w:vMerge w:val="restart"/>
            <w:tcMar>
              <w:top w:w="0" w:type="dxa"/>
              <w:left w:w="108" w:type="dxa"/>
              <w:bottom w:w="0" w:type="dxa"/>
              <w:right w:w="108" w:type="dxa"/>
            </w:tcMar>
            <w:vAlign w:val="center"/>
            <w:hideMark/>
          </w:tcPr>
          <w:p w14:paraId="5CC762F9" w14:textId="77777777" w:rsidR="0084213C" w:rsidRPr="00CB363C" w:rsidRDefault="0084213C" w:rsidP="007C1311">
            <w:pPr>
              <w:ind w:left="33"/>
              <w:jc w:val="center"/>
              <w:rPr>
                <w:bCs/>
                <w:strike/>
                <w:szCs w:val="24"/>
                <w:lang w:eastAsia="lt-LT"/>
              </w:rPr>
            </w:pPr>
            <w:r w:rsidRPr="00CB363C">
              <w:rPr>
                <w:bCs/>
                <w:strike/>
                <w:color w:val="000000"/>
                <w:szCs w:val="24"/>
                <w:lang w:eastAsia="lt-LT"/>
              </w:rPr>
              <w:t xml:space="preserve">51–200 </w:t>
            </w:r>
          </w:p>
        </w:tc>
        <w:tc>
          <w:tcPr>
            <w:tcW w:w="1666" w:type="pct"/>
            <w:tcMar>
              <w:top w:w="0" w:type="dxa"/>
              <w:left w:w="108" w:type="dxa"/>
              <w:bottom w:w="0" w:type="dxa"/>
              <w:right w:w="108" w:type="dxa"/>
            </w:tcMar>
            <w:vAlign w:val="center"/>
            <w:hideMark/>
          </w:tcPr>
          <w:p w14:paraId="682CCF88" w14:textId="77777777" w:rsidR="0084213C" w:rsidRPr="00CB363C" w:rsidRDefault="0084213C" w:rsidP="007C1311">
            <w:pPr>
              <w:ind w:left="25"/>
              <w:jc w:val="center"/>
              <w:rPr>
                <w:bCs/>
                <w:strike/>
                <w:szCs w:val="24"/>
                <w:lang w:eastAsia="lt-LT"/>
              </w:rPr>
            </w:pPr>
            <w:r w:rsidRPr="00CB363C">
              <w:rPr>
                <w:bCs/>
                <w:strike/>
                <w:color w:val="000000"/>
                <w:szCs w:val="24"/>
                <w:lang w:eastAsia="lt-LT"/>
              </w:rPr>
              <w:t>iki 5</w:t>
            </w:r>
          </w:p>
        </w:tc>
        <w:tc>
          <w:tcPr>
            <w:tcW w:w="2056" w:type="pct"/>
            <w:tcMar>
              <w:top w:w="0" w:type="dxa"/>
              <w:left w:w="108" w:type="dxa"/>
              <w:bottom w:w="0" w:type="dxa"/>
              <w:right w:w="108" w:type="dxa"/>
            </w:tcMar>
            <w:vAlign w:val="center"/>
            <w:hideMark/>
          </w:tcPr>
          <w:p w14:paraId="1A2295E3" w14:textId="77777777" w:rsidR="0084213C" w:rsidRPr="00CB363C" w:rsidRDefault="0084213C" w:rsidP="007C1311">
            <w:pPr>
              <w:jc w:val="center"/>
              <w:rPr>
                <w:bCs/>
                <w:strike/>
                <w:szCs w:val="24"/>
                <w:lang w:eastAsia="lt-LT"/>
              </w:rPr>
            </w:pPr>
            <w:r w:rsidRPr="00CB363C">
              <w:rPr>
                <w:bCs/>
                <w:strike/>
                <w:color w:val="000000"/>
                <w:szCs w:val="24"/>
                <w:lang w:eastAsia="lt-LT"/>
              </w:rPr>
              <w:t>11,94–13,7</w:t>
            </w:r>
          </w:p>
        </w:tc>
      </w:tr>
      <w:tr w:rsidR="0084213C" w:rsidRPr="00CB363C" w14:paraId="61548AD6" w14:textId="77777777" w:rsidTr="007C1311">
        <w:trPr>
          <w:cantSplit/>
          <w:trHeight w:val="427"/>
        </w:trPr>
        <w:tc>
          <w:tcPr>
            <w:tcW w:w="1278" w:type="pct"/>
            <w:vMerge/>
            <w:vAlign w:val="center"/>
            <w:hideMark/>
          </w:tcPr>
          <w:p w14:paraId="21C36F80" w14:textId="77777777" w:rsidR="0084213C" w:rsidRPr="00CB363C" w:rsidRDefault="0084213C" w:rsidP="007C1311">
            <w:pPr>
              <w:ind w:left="33"/>
              <w:jc w:val="center"/>
              <w:rPr>
                <w:bCs/>
                <w:strike/>
                <w:szCs w:val="24"/>
                <w:lang w:eastAsia="lt-LT"/>
              </w:rPr>
            </w:pPr>
          </w:p>
        </w:tc>
        <w:tc>
          <w:tcPr>
            <w:tcW w:w="1666" w:type="pct"/>
            <w:tcMar>
              <w:top w:w="0" w:type="dxa"/>
              <w:left w:w="108" w:type="dxa"/>
              <w:bottom w:w="0" w:type="dxa"/>
              <w:right w:w="108" w:type="dxa"/>
            </w:tcMar>
            <w:vAlign w:val="center"/>
            <w:hideMark/>
          </w:tcPr>
          <w:p w14:paraId="61995618" w14:textId="77777777" w:rsidR="0084213C" w:rsidRPr="00CB363C" w:rsidRDefault="0084213C" w:rsidP="007C1311">
            <w:pPr>
              <w:ind w:left="25"/>
              <w:jc w:val="center"/>
              <w:rPr>
                <w:bCs/>
                <w:strike/>
                <w:szCs w:val="24"/>
                <w:lang w:eastAsia="lt-LT"/>
              </w:rPr>
            </w:pPr>
            <w:r w:rsidRPr="00CB363C">
              <w:rPr>
                <w:bCs/>
                <w:strike/>
                <w:color w:val="000000"/>
                <w:szCs w:val="24"/>
                <w:lang w:eastAsia="lt-LT"/>
              </w:rPr>
              <w:t>nuo daugiau kaip 5 iki 10</w:t>
            </w:r>
          </w:p>
        </w:tc>
        <w:tc>
          <w:tcPr>
            <w:tcW w:w="2056" w:type="pct"/>
            <w:tcMar>
              <w:top w:w="0" w:type="dxa"/>
              <w:left w:w="108" w:type="dxa"/>
              <w:bottom w:w="0" w:type="dxa"/>
              <w:right w:w="108" w:type="dxa"/>
            </w:tcMar>
            <w:vAlign w:val="center"/>
            <w:hideMark/>
          </w:tcPr>
          <w:p w14:paraId="5288B354" w14:textId="77777777" w:rsidR="0084213C" w:rsidRPr="00CB363C" w:rsidRDefault="0084213C" w:rsidP="007C1311">
            <w:pPr>
              <w:jc w:val="center"/>
              <w:rPr>
                <w:bCs/>
                <w:strike/>
                <w:szCs w:val="24"/>
                <w:lang w:eastAsia="lt-LT"/>
              </w:rPr>
            </w:pPr>
            <w:r w:rsidRPr="00CB363C">
              <w:rPr>
                <w:bCs/>
                <w:strike/>
                <w:color w:val="000000"/>
                <w:szCs w:val="24"/>
                <w:lang w:eastAsia="lt-LT"/>
              </w:rPr>
              <w:t>12,12–13,9</w:t>
            </w:r>
          </w:p>
        </w:tc>
      </w:tr>
      <w:tr w:rsidR="0084213C" w:rsidRPr="00CB363C" w14:paraId="6E8A18ED" w14:textId="77777777" w:rsidTr="007C1311">
        <w:trPr>
          <w:cantSplit/>
          <w:trHeight w:val="449"/>
        </w:trPr>
        <w:tc>
          <w:tcPr>
            <w:tcW w:w="1278" w:type="pct"/>
            <w:vMerge/>
            <w:vAlign w:val="center"/>
            <w:hideMark/>
          </w:tcPr>
          <w:p w14:paraId="035F0E1C" w14:textId="77777777" w:rsidR="0084213C" w:rsidRPr="00CB363C" w:rsidRDefault="0084213C" w:rsidP="007C1311">
            <w:pPr>
              <w:ind w:left="33"/>
              <w:jc w:val="center"/>
              <w:rPr>
                <w:bCs/>
                <w:strike/>
                <w:szCs w:val="24"/>
                <w:lang w:eastAsia="lt-LT"/>
              </w:rPr>
            </w:pPr>
          </w:p>
        </w:tc>
        <w:tc>
          <w:tcPr>
            <w:tcW w:w="1666" w:type="pct"/>
            <w:tcMar>
              <w:top w:w="0" w:type="dxa"/>
              <w:left w:w="108" w:type="dxa"/>
              <w:bottom w:w="0" w:type="dxa"/>
              <w:right w:w="108" w:type="dxa"/>
            </w:tcMar>
            <w:vAlign w:val="center"/>
            <w:hideMark/>
          </w:tcPr>
          <w:p w14:paraId="70ACFDE5" w14:textId="77777777" w:rsidR="0084213C" w:rsidRPr="00CB363C" w:rsidRDefault="0084213C" w:rsidP="007C1311">
            <w:pPr>
              <w:ind w:left="25"/>
              <w:jc w:val="center"/>
              <w:rPr>
                <w:bCs/>
                <w:strike/>
                <w:szCs w:val="24"/>
                <w:lang w:eastAsia="lt-LT"/>
              </w:rPr>
            </w:pPr>
            <w:r w:rsidRPr="00CB363C">
              <w:rPr>
                <w:bCs/>
                <w:strike/>
                <w:color w:val="000000"/>
                <w:szCs w:val="24"/>
                <w:lang w:eastAsia="lt-LT"/>
              </w:rPr>
              <w:t>daugiau kaip 10</w:t>
            </w:r>
          </w:p>
        </w:tc>
        <w:tc>
          <w:tcPr>
            <w:tcW w:w="2056" w:type="pct"/>
            <w:tcMar>
              <w:top w:w="0" w:type="dxa"/>
              <w:left w:w="108" w:type="dxa"/>
              <w:bottom w:w="0" w:type="dxa"/>
              <w:right w:w="108" w:type="dxa"/>
            </w:tcMar>
            <w:vAlign w:val="center"/>
            <w:hideMark/>
          </w:tcPr>
          <w:p w14:paraId="37951D19" w14:textId="77777777" w:rsidR="0084213C" w:rsidRPr="00CB363C" w:rsidRDefault="0084213C" w:rsidP="007C1311">
            <w:pPr>
              <w:jc w:val="center"/>
              <w:rPr>
                <w:bCs/>
                <w:strike/>
                <w:szCs w:val="24"/>
                <w:lang w:eastAsia="lt-LT"/>
              </w:rPr>
            </w:pPr>
            <w:r w:rsidRPr="00CB363C">
              <w:rPr>
                <w:bCs/>
                <w:strike/>
                <w:color w:val="000000"/>
                <w:szCs w:val="24"/>
              </w:rPr>
              <w:t>12,3</w:t>
            </w:r>
            <w:r w:rsidRPr="00CB363C">
              <w:rPr>
                <w:bCs/>
                <w:strike/>
                <w:szCs w:val="24"/>
                <w:lang w:eastAsia="lt-LT"/>
              </w:rPr>
              <w:t>–14,1</w:t>
            </w:r>
          </w:p>
        </w:tc>
      </w:tr>
      <w:tr w:rsidR="0084213C" w:rsidRPr="00CB363C" w14:paraId="0767D3E0" w14:textId="77777777" w:rsidTr="007C1311">
        <w:trPr>
          <w:cantSplit/>
          <w:trHeight w:val="485"/>
        </w:trPr>
        <w:tc>
          <w:tcPr>
            <w:tcW w:w="1278" w:type="pct"/>
            <w:vMerge w:val="restart"/>
            <w:tcMar>
              <w:top w:w="0" w:type="dxa"/>
              <w:left w:w="108" w:type="dxa"/>
              <w:bottom w:w="0" w:type="dxa"/>
              <w:right w:w="108" w:type="dxa"/>
            </w:tcMar>
            <w:vAlign w:val="center"/>
            <w:hideMark/>
          </w:tcPr>
          <w:p w14:paraId="42EB3BED" w14:textId="77777777" w:rsidR="0084213C" w:rsidRPr="00CB363C" w:rsidRDefault="0084213C" w:rsidP="007C1311">
            <w:pPr>
              <w:ind w:left="33"/>
              <w:jc w:val="center"/>
              <w:rPr>
                <w:bCs/>
                <w:strike/>
                <w:szCs w:val="24"/>
                <w:lang w:eastAsia="lt-LT"/>
              </w:rPr>
            </w:pPr>
            <w:r w:rsidRPr="00CB363C">
              <w:rPr>
                <w:bCs/>
                <w:strike/>
                <w:color w:val="000000"/>
                <w:szCs w:val="24"/>
                <w:lang w:eastAsia="lt-LT"/>
              </w:rPr>
              <w:t xml:space="preserve">50 ir mažiau </w:t>
            </w:r>
          </w:p>
        </w:tc>
        <w:tc>
          <w:tcPr>
            <w:tcW w:w="1666" w:type="pct"/>
            <w:tcMar>
              <w:top w:w="0" w:type="dxa"/>
              <w:left w:w="108" w:type="dxa"/>
              <w:bottom w:w="0" w:type="dxa"/>
              <w:right w:w="108" w:type="dxa"/>
            </w:tcMar>
            <w:vAlign w:val="center"/>
            <w:hideMark/>
          </w:tcPr>
          <w:p w14:paraId="5566C871" w14:textId="77777777" w:rsidR="0084213C" w:rsidRPr="00CB363C" w:rsidRDefault="0084213C" w:rsidP="007C1311">
            <w:pPr>
              <w:ind w:left="25"/>
              <w:jc w:val="center"/>
              <w:rPr>
                <w:bCs/>
                <w:strike/>
                <w:szCs w:val="24"/>
                <w:lang w:eastAsia="lt-LT"/>
              </w:rPr>
            </w:pPr>
            <w:r w:rsidRPr="00CB363C">
              <w:rPr>
                <w:bCs/>
                <w:strike/>
                <w:color w:val="000000"/>
                <w:szCs w:val="24"/>
                <w:lang w:eastAsia="lt-LT"/>
              </w:rPr>
              <w:t>iki 5</w:t>
            </w:r>
          </w:p>
        </w:tc>
        <w:tc>
          <w:tcPr>
            <w:tcW w:w="2056" w:type="pct"/>
            <w:tcMar>
              <w:top w:w="0" w:type="dxa"/>
              <w:left w:w="108" w:type="dxa"/>
              <w:bottom w:w="0" w:type="dxa"/>
              <w:right w:w="108" w:type="dxa"/>
            </w:tcMar>
            <w:vAlign w:val="center"/>
            <w:hideMark/>
          </w:tcPr>
          <w:p w14:paraId="63246C9E" w14:textId="77777777" w:rsidR="0084213C" w:rsidRPr="00CB363C" w:rsidRDefault="0084213C" w:rsidP="007C1311">
            <w:pPr>
              <w:jc w:val="center"/>
              <w:rPr>
                <w:bCs/>
                <w:strike/>
                <w:szCs w:val="24"/>
                <w:lang w:eastAsia="lt-LT"/>
              </w:rPr>
            </w:pPr>
            <w:r w:rsidRPr="00CB363C">
              <w:rPr>
                <w:bCs/>
                <w:strike/>
                <w:color w:val="000000"/>
                <w:szCs w:val="24"/>
              </w:rPr>
              <w:t>11,42</w:t>
            </w:r>
            <w:r w:rsidRPr="00CB363C">
              <w:rPr>
                <w:bCs/>
                <w:strike/>
                <w:szCs w:val="24"/>
                <w:lang w:eastAsia="lt-LT"/>
              </w:rPr>
              <w:t>–13,3</w:t>
            </w:r>
          </w:p>
        </w:tc>
      </w:tr>
      <w:tr w:rsidR="0084213C" w:rsidRPr="00CB363C" w14:paraId="6933026A" w14:textId="77777777" w:rsidTr="007C1311">
        <w:trPr>
          <w:cantSplit/>
          <w:trHeight w:val="507"/>
        </w:trPr>
        <w:tc>
          <w:tcPr>
            <w:tcW w:w="1278" w:type="pct"/>
            <w:vMerge/>
            <w:vAlign w:val="center"/>
            <w:hideMark/>
          </w:tcPr>
          <w:p w14:paraId="3537F01F" w14:textId="77777777" w:rsidR="0084213C" w:rsidRPr="00CB363C" w:rsidRDefault="0084213C" w:rsidP="007C1311">
            <w:pPr>
              <w:ind w:left="360" w:hanging="360"/>
              <w:rPr>
                <w:bCs/>
                <w:strike/>
                <w:szCs w:val="24"/>
                <w:lang w:eastAsia="lt-LT"/>
              </w:rPr>
            </w:pPr>
          </w:p>
        </w:tc>
        <w:tc>
          <w:tcPr>
            <w:tcW w:w="1666" w:type="pct"/>
            <w:tcMar>
              <w:top w:w="0" w:type="dxa"/>
              <w:left w:w="108" w:type="dxa"/>
              <w:bottom w:w="0" w:type="dxa"/>
              <w:right w:w="108" w:type="dxa"/>
            </w:tcMar>
            <w:vAlign w:val="center"/>
            <w:hideMark/>
          </w:tcPr>
          <w:p w14:paraId="3E03B47F" w14:textId="77777777" w:rsidR="0084213C" w:rsidRPr="00CB363C" w:rsidRDefault="0084213C" w:rsidP="007C1311">
            <w:pPr>
              <w:ind w:left="25"/>
              <w:jc w:val="center"/>
              <w:rPr>
                <w:bCs/>
                <w:strike/>
                <w:szCs w:val="24"/>
                <w:lang w:eastAsia="lt-LT"/>
              </w:rPr>
            </w:pPr>
            <w:r w:rsidRPr="00CB363C">
              <w:rPr>
                <w:bCs/>
                <w:strike/>
                <w:color w:val="000000"/>
                <w:szCs w:val="24"/>
                <w:lang w:eastAsia="lt-LT"/>
              </w:rPr>
              <w:t>nuo daugiau kaip 5 iki 10</w:t>
            </w:r>
          </w:p>
        </w:tc>
        <w:tc>
          <w:tcPr>
            <w:tcW w:w="2056" w:type="pct"/>
            <w:tcMar>
              <w:top w:w="0" w:type="dxa"/>
              <w:left w:w="108" w:type="dxa"/>
              <w:bottom w:w="0" w:type="dxa"/>
              <w:right w:w="108" w:type="dxa"/>
            </w:tcMar>
            <w:vAlign w:val="center"/>
            <w:hideMark/>
          </w:tcPr>
          <w:p w14:paraId="2F3040CF" w14:textId="77777777" w:rsidR="0084213C" w:rsidRPr="00CB363C" w:rsidRDefault="0084213C" w:rsidP="007C1311">
            <w:pPr>
              <w:jc w:val="center"/>
              <w:rPr>
                <w:bCs/>
                <w:strike/>
                <w:szCs w:val="24"/>
                <w:lang w:eastAsia="lt-LT"/>
              </w:rPr>
            </w:pPr>
            <w:r w:rsidRPr="00CB363C">
              <w:rPr>
                <w:bCs/>
                <w:strike/>
                <w:color w:val="000000"/>
                <w:szCs w:val="24"/>
              </w:rPr>
              <w:t>11,59</w:t>
            </w:r>
            <w:r w:rsidRPr="00CB363C">
              <w:rPr>
                <w:bCs/>
                <w:strike/>
                <w:color w:val="000000"/>
                <w:szCs w:val="24"/>
                <w:lang w:eastAsia="lt-LT"/>
              </w:rPr>
              <w:t>–13,5</w:t>
            </w:r>
          </w:p>
        </w:tc>
      </w:tr>
      <w:tr w:rsidR="0084213C" w:rsidRPr="00CB363C" w14:paraId="06CC4D0F" w14:textId="77777777" w:rsidTr="007C1311">
        <w:trPr>
          <w:cantSplit/>
          <w:trHeight w:val="428"/>
        </w:trPr>
        <w:tc>
          <w:tcPr>
            <w:tcW w:w="1278" w:type="pct"/>
            <w:vMerge/>
            <w:vAlign w:val="center"/>
            <w:hideMark/>
          </w:tcPr>
          <w:p w14:paraId="64F085B5" w14:textId="77777777" w:rsidR="0084213C" w:rsidRPr="00CB363C" w:rsidRDefault="0084213C" w:rsidP="007C1311">
            <w:pPr>
              <w:ind w:left="360" w:hanging="360"/>
              <w:rPr>
                <w:bCs/>
                <w:strike/>
                <w:szCs w:val="24"/>
                <w:lang w:eastAsia="lt-LT"/>
              </w:rPr>
            </w:pPr>
          </w:p>
        </w:tc>
        <w:tc>
          <w:tcPr>
            <w:tcW w:w="1666" w:type="pct"/>
            <w:tcMar>
              <w:top w:w="0" w:type="dxa"/>
              <w:left w:w="108" w:type="dxa"/>
              <w:bottom w:w="0" w:type="dxa"/>
              <w:right w:w="108" w:type="dxa"/>
            </w:tcMar>
            <w:vAlign w:val="center"/>
            <w:hideMark/>
          </w:tcPr>
          <w:p w14:paraId="7A464B7D" w14:textId="77777777" w:rsidR="0084213C" w:rsidRPr="00CB363C" w:rsidRDefault="0084213C" w:rsidP="007C1311">
            <w:pPr>
              <w:ind w:left="25"/>
              <w:jc w:val="center"/>
              <w:rPr>
                <w:bCs/>
                <w:strike/>
                <w:szCs w:val="24"/>
                <w:lang w:eastAsia="lt-LT"/>
              </w:rPr>
            </w:pPr>
            <w:r w:rsidRPr="00CB363C">
              <w:rPr>
                <w:bCs/>
                <w:strike/>
                <w:color w:val="000000"/>
                <w:szCs w:val="24"/>
                <w:lang w:eastAsia="lt-LT"/>
              </w:rPr>
              <w:t>daugiau kaip 10</w:t>
            </w:r>
          </w:p>
        </w:tc>
        <w:tc>
          <w:tcPr>
            <w:tcW w:w="2056" w:type="pct"/>
            <w:tcMar>
              <w:top w:w="0" w:type="dxa"/>
              <w:left w:w="108" w:type="dxa"/>
              <w:bottom w:w="0" w:type="dxa"/>
              <w:right w:w="108" w:type="dxa"/>
            </w:tcMar>
            <w:vAlign w:val="center"/>
            <w:hideMark/>
          </w:tcPr>
          <w:p w14:paraId="75CAF956" w14:textId="77777777" w:rsidR="0084213C" w:rsidRPr="00CB363C" w:rsidRDefault="0084213C" w:rsidP="007C1311">
            <w:pPr>
              <w:ind w:firstLine="124"/>
              <w:jc w:val="center"/>
              <w:rPr>
                <w:bCs/>
                <w:strike/>
                <w:color w:val="000000"/>
                <w:szCs w:val="24"/>
                <w:lang w:eastAsia="lt-LT"/>
              </w:rPr>
            </w:pPr>
            <w:r w:rsidRPr="00CB363C">
              <w:rPr>
                <w:bCs/>
                <w:strike/>
                <w:color w:val="000000"/>
                <w:szCs w:val="24"/>
              </w:rPr>
              <w:t>11,77</w:t>
            </w:r>
            <w:r w:rsidRPr="00CB363C">
              <w:rPr>
                <w:bCs/>
                <w:strike/>
                <w:color w:val="000000"/>
                <w:szCs w:val="24"/>
                <w:lang w:eastAsia="lt-LT"/>
              </w:rPr>
              <w:t>–13,7</w:t>
            </w:r>
          </w:p>
        </w:tc>
      </w:tr>
    </w:tbl>
    <w:p w14:paraId="558D756A" w14:textId="77777777" w:rsidR="0084213C" w:rsidRDefault="0084213C" w:rsidP="0042643E">
      <w:pPr>
        <w:tabs>
          <w:tab w:val="left" w:pos="1134"/>
        </w:tabs>
        <w:spacing w:line="360" w:lineRule="auto"/>
        <w:ind w:firstLine="851"/>
        <w:jc w:val="both"/>
        <w:rPr>
          <w:rFonts w:eastAsia="Calibri"/>
          <w:szCs w:val="24"/>
        </w:rPr>
      </w:pPr>
    </w:p>
    <w:p w14:paraId="569B951B" w14:textId="77777777" w:rsidR="00D76815" w:rsidRPr="00BC159A" w:rsidRDefault="00D76815" w:rsidP="00D76815">
      <w:pPr>
        <w:ind w:firstLine="851"/>
        <w:jc w:val="both"/>
        <w:rPr>
          <w:szCs w:val="24"/>
        </w:rPr>
      </w:pPr>
      <w:r w:rsidRPr="00BC159A">
        <w:rPr>
          <w:szCs w:val="24"/>
        </w:rPr>
        <w:t>2. Nustatyti, kad sprendimas įsigalioja 2023 m. sausio 1 d.</w:t>
      </w:r>
    </w:p>
    <w:p w14:paraId="43553A1D" w14:textId="77777777" w:rsidR="00A035DB" w:rsidRDefault="00A035DB" w:rsidP="008656BB">
      <w:pPr>
        <w:spacing w:line="360" w:lineRule="auto"/>
        <w:ind w:firstLine="720"/>
        <w:jc w:val="both"/>
        <w:rPr>
          <w:szCs w:val="24"/>
        </w:rPr>
      </w:pPr>
    </w:p>
    <w:p w14:paraId="0F2C96F1" w14:textId="77777777" w:rsidR="009B38CA" w:rsidRDefault="009B38CA" w:rsidP="009B17EB">
      <w:pPr>
        <w:spacing w:line="360" w:lineRule="auto"/>
        <w:jc w:val="both"/>
        <w:rPr>
          <w:szCs w:val="24"/>
        </w:rPr>
      </w:pPr>
    </w:p>
    <w:p w14:paraId="0F2C96F2" w14:textId="77777777" w:rsidR="009B38CA" w:rsidRDefault="009B38CA" w:rsidP="00C37E69">
      <w:pPr>
        <w:spacing w:line="360" w:lineRule="auto"/>
        <w:jc w:val="both"/>
        <w:rPr>
          <w:szCs w:val="24"/>
        </w:rPr>
      </w:pPr>
    </w:p>
    <w:p w14:paraId="0F2C96F4" w14:textId="14790C23" w:rsidR="00B314D8" w:rsidRDefault="00FC6C75" w:rsidP="00A80FF2">
      <w:pPr>
        <w:jc w:val="both"/>
        <w:rPr>
          <w:szCs w:val="24"/>
        </w:rPr>
      </w:pPr>
      <w:r>
        <w:rPr>
          <w:szCs w:val="24"/>
        </w:rPr>
        <w:t xml:space="preserve">Savivaldybės </w:t>
      </w:r>
      <w:r w:rsidR="00A80FF2">
        <w:rPr>
          <w:szCs w:val="24"/>
        </w:rPr>
        <w:t>meras</w:t>
      </w:r>
      <w:r w:rsidR="00A80FF2">
        <w:rPr>
          <w:szCs w:val="24"/>
        </w:rPr>
        <w:tab/>
      </w:r>
      <w:r w:rsidR="00A80FF2">
        <w:rPr>
          <w:szCs w:val="24"/>
        </w:rPr>
        <w:tab/>
      </w:r>
      <w:r w:rsidR="00A80FF2">
        <w:rPr>
          <w:szCs w:val="24"/>
        </w:rPr>
        <w:tab/>
      </w:r>
      <w:r w:rsidR="00A80FF2">
        <w:rPr>
          <w:szCs w:val="24"/>
        </w:rPr>
        <w:tab/>
        <w:t xml:space="preserve">       Rytis Mykolas Račkauskas</w:t>
      </w:r>
    </w:p>
    <w:p w14:paraId="0F2C97FC" w14:textId="1FE1E441" w:rsidR="009B17EB" w:rsidRDefault="009B17EB" w:rsidP="00A035DB">
      <w:pPr>
        <w:spacing w:line="360" w:lineRule="auto"/>
        <w:ind w:firstLine="720"/>
        <w:jc w:val="center"/>
      </w:pPr>
    </w:p>
    <w:sectPr w:rsidR="009B17EB" w:rsidSect="0058097F">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2E53" w14:textId="77777777" w:rsidR="00D242DB" w:rsidRDefault="00D242DB" w:rsidP="002B290D">
      <w:r>
        <w:separator/>
      </w:r>
    </w:p>
  </w:endnote>
  <w:endnote w:type="continuationSeparator" w:id="0">
    <w:p w14:paraId="20EE2166" w14:textId="77777777" w:rsidR="00D242DB" w:rsidRDefault="00D242DB"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7" w14:textId="77777777" w:rsidR="0058097F" w:rsidRDefault="0058097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F2C9808" w14:textId="77777777" w:rsidR="0058097F" w:rsidRDefault="0058097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70EC9" w14:textId="77777777" w:rsidR="00D242DB" w:rsidRDefault="00D242DB" w:rsidP="002B290D">
      <w:r>
        <w:separator/>
      </w:r>
    </w:p>
  </w:footnote>
  <w:footnote w:type="continuationSeparator" w:id="0">
    <w:p w14:paraId="23B06856" w14:textId="77777777" w:rsidR="00D242DB" w:rsidRDefault="00D242DB"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3" w14:textId="77777777" w:rsidR="0058097F" w:rsidRDefault="0058097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C9804" w14:textId="77777777" w:rsidR="0058097F" w:rsidRDefault="0058097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5" w14:textId="77777777" w:rsidR="0058097F" w:rsidRPr="002B4129" w:rsidRDefault="0058097F" w:rsidP="0058097F">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281B9A">
      <w:rPr>
        <w:rStyle w:val="Puslapionumeris"/>
        <w:noProof/>
        <w:szCs w:val="24"/>
      </w:rPr>
      <w:t>7</w:t>
    </w:r>
    <w:r w:rsidRPr="002B4129">
      <w:rPr>
        <w:rStyle w:val="Puslapionumeris"/>
        <w:szCs w:val="24"/>
      </w:rPr>
      <w:fldChar w:fldCharType="end"/>
    </w:r>
  </w:p>
  <w:p w14:paraId="0F2C9806" w14:textId="77777777" w:rsidR="0058097F" w:rsidRDefault="0058097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9" w14:textId="77777777" w:rsidR="0058097F" w:rsidRDefault="0058097F">
    <w:pPr>
      <w:pStyle w:val="Antrats"/>
    </w:pPr>
  </w:p>
  <w:p w14:paraId="0F2C980A" w14:textId="77777777" w:rsidR="0058097F" w:rsidRDefault="005809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026A3"/>
    <w:multiLevelType w:val="hybridMultilevel"/>
    <w:tmpl w:val="C9520D86"/>
    <w:lvl w:ilvl="0" w:tplc="226E3B44">
      <w:start w:val="1"/>
      <w:numFmt w:val="decimal"/>
      <w:lvlText w:val="%1."/>
      <w:lvlJc w:val="left"/>
      <w:pPr>
        <w:ind w:left="1440" w:hanging="360"/>
      </w:pPr>
      <w:rPr>
        <w:rFonts w:hint="default"/>
        <w:u w:color="FFFFFF" w:themeColor="background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5"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AF63DD"/>
    <w:multiLevelType w:val="hybridMultilevel"/>
    <w:tmpl w:val="1B0AC05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D6B8B"/>
    <w:multiLevelType w:val="hybridMultilevel"/>
    <w:tmpl w:val="EA5EA5D6"/>
    <w:lvl w:ilvl="0" w:tplc="078CFF9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033463"/>
    <w:multiLevelType w:val="hybridMultilevel"/>
    <w:tmpl w:val="E1E6D9B6"/>
    <w:lvl w:ilvl="0" w:tplc="078CFF9E">
      <w:start w:val="1"/>
      <w:numFmt w:val="decimal"/>
      <w:lvlText w:val="%1."/>
      <w:lvlJc w:val="left"/>
      <w:pPr>
        <w:ind w:left="1637" w:hanging="360"/>
      </w:pPr>
      <w:rPr>
        <w:rFonts w:hint="default"/>
      </w:rPr>
    </w:lvl>
    <w:lvl w:ilvl="1" w:tplc="04270019" w:tentative="1">
      <w:start w:val="1"/>
      <w:numFmt w:val="lowerLetter"/>
      <w:lvlText w:val="%2."/>
      <w:lvlJc w:val="left"/>
      <w:pPr>
        <w:ind w:left="1997" w:hanging="360"/>
      </w:pPr>
    </w:lvl>
    <w:lvl w:ilvl="2" w:tplc="0427001B" w:tentative="1">
      <w:start w:val="1"/>
      <w:numFmt w:val="lowerRoman"/>
      <w:lvlText w:val="%3."/>
      <w:lvlJc w:val="right"/>
      <w:pPr>
        <w:ind w:left="2717" w:hanging="180"/>
      </w:pPr>
    </w:lvl>
    <w:lvl w:ilvl="3" w:tplc="0427000F" w:tentative="1">
      <w:start w:val="1"/>
      <w:numFmt w:val="decimal"/>
      <w:lvlText w:val="%4."/>
      <w:lvlJc w:val="left"/>
      <w:pPr>
        <w:ind w:left="3437" w:hanging="360"/>
      </w:pPr>
    </w:lvl>
    <w:lvl w:ilvl="4" w:tplc="04270019" w:tentative="1">
      <w:start w:val="1"/>
      <w:numFmt w:val="lowerLetter"/>
      <w:lvlText w:val="%5."/>
      <w:lvlJc w:val="left"/>
      <w:pPr>
        <w:ind w:left="4157" w:hanging="360"/>
      </w:pPr>
    </w:lvl>
    <w:lvl w:ilvl="5" w:tplc="0427001B" w:tentative="1">
      <w:start w:val="1"/>
      <w:numFmt w:val="lowerRoman"/>
      <w:lvlText w:val="%6."/>
      <w:lvlJc w:val="right"/>
      <w:pPr>
        <w:ind w:left="4877" w:hanging="180"/>
      </w:pPr>
    </w:lvl>
    <w:lvl w:ilvl="6" w:tplc="0427000F" w:tentative="1">
      <w:start w:val="1"/>
      <w:numFmt w:val="decimal"/>
      <w:lvlText w:val="%7."/>
      <w:lvlJc w:val="left"/>
      <w:pPr>
        <w:ind w:left="5597" w:hanging="360"/>
      </w:pPr>
    </w:lvl>
    <w:lvl w:ilvl="7" w:tplc="04270019">
      <w:start w:val="1"/>
      <w:numFmt w:val="lowerLetter"/>
      <w:lvlText w:val="%8."/>
      <w:lvlJc w:val="left"/>
      <w:pPr>
        <w:ind w:left="6317" w:hanging="360"/>
      </w:pPr>
    </w:lvl>
    <w:lvl w:ilvl="8" w:tplc="0427001B" w:tentative="1">
      <w:start w:val="1"/>
      <w:numFmt w:val="lowerRoman"/>
      <w:lvlText w:val="%9."/>
      <w:lvlJc w:val="right"/>
      <w:pPr>
        <w:ind w:left="7037" w:hanging="180"/>
      </w:pPr>
    </w:lvl>
  </w:abstractNum>
  <w:abstractNum w:abstractNumId="16"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3"/>
  </w:num>
  <w:num w:numId="5">
    <w:abstractNumId w:val="4"/>
  </w:num>
  <w:num w:numId="6">
    <w:abstractNumId w:val="5"/>
  </w:num>
  <w:num w:numId="7">
    <w:abstractNumId w:val="9"/>
  </w:num>
  <w:num w:numId="8">
    <w:abstractNumId w:val="17"/>
  </w:num>
  <w:num w:numId="9">
    <w:abstractNumId w:val="0"/>
  </w:num>
  <w:num w:numId="10">
    <w:abstractNumId w:val="16"/>
  </w:num>
  <w:num w:numId="11">
    <w:abstractNumId w:val="8"/>
  </w:num>
  <w:num w:numId="12">
    <w:abstractNumId w:val="18"/>
  </w:num>
  <w:num w:numId="13">
    <w:abstractNumId w:val="10"/>
  </w:num>
  <w:num w:numId="14">
    <w:abstractNumId w:val="1"/>
  </w:num>
  <w:num w:numId="15">
    <w:abstractNumId w:val="6"/>
  </w:num>
  <w:num w:numId="16">
    <w:abstractNumId w:val="2"/>
  </w:num>
  <w:num w:numId="17">
    <w:abstractNumId w:val="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0731A7"/>
    <w:rsid w:val="000815B5"/>
    <w:rsid w:val="000C49AD"/>
    <w:rsid w:val="000D65C7"/>
    <w:rsid w:val="00132DAF"/>
    <w:rsid w:val="00175CC8"/>
    <w:rsid w:val="001B5167"/>
    <w:rsid w:val="00214C52"/>
    <w:rsid w:val="0021556D"/>
    <w:rsid w:val="00220546"/>
    <w:rsid w:val="00244AD0"/>
    <w:rsid w:val="00255489"/>
    <w:rsid w:val="002567D3"/>
    <w:rsid w:val="00276690"/>
    <w:rsid w:val="0028159D"/>
    <w:rsid w:val="00281B9A"/>
    <w:rsid w:val="002875FB"/>
    <w:rsid w:val="002A0DA4"/>
    <w:rsid w:val="002B290D"/>
    <w:rsid w:val="002C4598"/>
    <w:rsid w:val="002D00BD"/>
    <w:rsid w:val="003107F9"/>
    <w:rsid w:val="00316D77"/>
    <w:rsid w:val="0033287D"/>
    <w:rsid w:val="0034645D"/>
    <w:rsid w:val="0037357A"/>
    <w:rsid w:val="003741C2"/>
    <w:rsid w:val="003755E5"/>
    <w:rsid w:val="00377191"/>
    <w:rsid w:val="0038072F"/>
    <w:rsid w:val="00383F6D"/>
    <w:rsid w:val="0038517A"/>
    <w:rsid w:val="00387EAF"/>
    <w:rsid w:val="003D2C9F"/>
    <w:rsid w:val="003E59D9"/>
    <w:rsid w:val="00411B15"/>
    <w:rsid w:val="004242AB"/>
    <w:rsid w:val="0042643E"/>
    <w:rsid w:val="00465E20"/>
    <w:rsid w:val="00467A2F"/>
    <w:rsid w:val="00476F91"/>
    <w:rsid w:val="00496164"/>
    <w:rsid w:val="004D3CD4"/>
    <w:rsid w:val="004F2006"/>
    <w:rsid w:val="00506DE1"/>
    <w:rsid w:val="005078E0"/>
    <w:rsid w:val="0057791C"/>
    <w:rsid w:val="0058097F"/>
    <w:rsid w:val="00596BCD"/>
    <w:rsid w:val="005F2589"/>
    <w:rsid w:val="00615BED"/>
    <w:rsid w:val="00650C6B"/>
    <w:rsid w:val="006538EE"/>
    <w:rsid w:val="00654BBB"/>
    <w:rsid w:val="00680828"/>
    <w:rsid w:val="00681008"/>
    <w:rsid w:val="006E3F82"/>
    <w:rsid w:val="006E3FD2"/>
    <w:rsid w:val="006F3004"/>
    <w:rsid w:val="006F3FA6"/>
    <w:rsid w:val="00734686"/>
    <w:rsid w:val="00734FCA"/>
    <w:rsid w:val="0076401C"/>
    <w:rsid w:val="0078013C"/>
    <w:rsid w:val="0078710F"/>
    <w:rsid w:val="007D032A"/>
    <w:rsid w:val="0084213C"/>
    <w:rsid w:val="00842FF9"/>
    <w:rsid w:val="008458C4"/>
    <w:rsid w:val="008656BB"/>
    <w:rsid w:val="00871DBC"/>
    <w:rsid w:val="00880BF2"/>
    <w:rsid w:val="00882479"/>
    <w:rsid w:val="00882E66"/>
    <w:rsid w:val="00897953"/>
    <w:rsid w:val="008C2E30"/>
    <w:rsid w:val="008C7F69"/>
    <w:rsid w:val="008F1B35"/>
    <w:rsid w:val="009A2736"/>
    <w:rsid w:val="009B17EB"/>
    <w:rsid w:val="009B302B"/>
    <w:rsid w:val="009B38CA"/>
    <w:rsid w:val="009D040C"/>
    <w:rsid w:val="00A035DB"/>
    <w:rsid w:val="00A80FF2"/>
    <w:rsid w:val="00A960CA"/>
    <w:rsid w:val="00AF04AC"/>
    <w:rsid w:val="00B314D8"/>
    <w:rsid w:val="00B327E5"/>
    <w:rsid w:val="00B5326D"/>
    <w:rsid w:val="00BF1260"/>
    <w:rsid w:val="00C00DCF"/>
    <w:rsid w:val="00C262A1"/>
    <w:rsid w:val="00C352CC"/>
    <w:rsid w:val="00C37E69"/>
    <w:rsid w:val="00C45C8F"/>
    <w:rsid w:val="00C70512"/>
    <w:rsid w:val="00C84DAD"/>
    <w:rsid w:val="00C855A7"/>
    <w:rsid w:val="00C855E1"/>
    <w:rsid w:val="00CA1F50"/>
    <w:rsid w:val="00CB05B5"/>
    <w:rsid w:val="00CE5469"/>
    <w:rsid w:val="00CE7904"/>
    <w:rsid w:val="00CF4E6C"/>
    <w:rsid w:val="00CF7789"/>
    <w:rsid w:val="00D04721"/>
    <w:rsid w:val="00D22354"/>
    <w:rsid w:val="00D242DB"/>
    <w:rsid w:val="00D71937"/>
    <w:rsid w:val="00D76815"/>
    <w:rsid w:val="00D908C3"/>
    <w:rsid w:val="00D91485"/>
    <w:rsid w:val="00DA24F6"/>
    <w:rsid w:val="00DB7FA9"/>
    <w:rsid w:val="00DC74B4"/>
    <w:rsid w:val="00DE7FFC"/>
    <w:rsid w:val="00DF60BC"/>
    <w:rsid w:val="00E43F53"/>
    <w:rsid w:val="00E77559"/>
    <w:rsid w:val="00E83149"/>
    <w:rsid w:val="00EB0908"/>
    <w:rsid w:val="00EF561A"/>
    <w:rsid w:val="00EF7F9E"/>
    <w:rsid w:val="00F23D91"/>
    <w:rsid w:val="00FB0927"/>
    <w:rsid w:val="00FC6C75"/>
    <w:rsid w:val="00FC7111"/>
    <w:rsid w:val="00FD6D87"/>
    <w:rsid w:val="00FE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E1"/>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FA6"/>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9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AB5B-8F95-49F8-8B7B-D7800DFC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10702</Words>
  <Characters>6101</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Rimšienė</dc:creator>
  <cp:lastModifiedBy>Diana Brazdžiunienė</cp:lastModifiedBy>
  <cp:revision>2</cp:revision>
  <cp:lastPrinted>2018-07-11T13:28:00Z</cp:lastPrinted>
  <dcterms:created xsi:type="dcterms:W3CDTF">2022-12-13T14:53:00Z</dcterms:created>
  <dcterms:modified xsi:type="dcterms:W3CDTF">2022-12-13T14:53:00Z</dcterms:modified>
</cp:coreProperties>
</file>