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4EA43" w14:textId="77777777" w:rsidR="006539FD" w:rsidRPr="00B332F8" w:rsidRDefault="006539FD" w:rsidP="00CC0DF0">
      <w:pPr>
        <w:tabs>
          <w:tab w:val="left" w:pos="0"/>
        </w:tabs>
        <w:jc w:val="center"/>
        <w:rPr>
          <w:b/>
        </w:rPr>
      </w:pPr>
      <w:bookmarkStart w:id="0" w:name="_GoBack"/>
      <w:bookmarkEnd w:id="0"/>
      <w:r w:rsidRPr="00B332F8">
        <w:rPr>
          <w:b/>
        </w:rPr>
        <w:t>AIŠKINAMASIS RAŠTAS</w:t>
      </w:r>
    </w:p>
    <w:p w14:paraId="36681DD8" w14:textId="4188E552" w:rsidR="00C000DF" w:rsidRDefault="00C000DF" w:rsidP="00C000DF">
      <w:pPr>
        <w:jc w:val="center"/>
        <w:rPr>
          <w:b/>
        </w:rPr>
      </w:pPr>
      <w:r w:rsidRPr="0075656C">
        <w:rPr>
          <w:b/>
        </w:rPr>
        <w:t>DĖL PANEVĖŽIO MIESTO SAVIVALDYBĖS ADMINISTRACIJOS STRUKTŪROS</w:t>
      </w:r>
      <w:r>
        <w:rPr>
          <w:b/>
        </w:rPr>
        <w:t>,</w:t>
      </w:r>
      <w:r w:rsidRPr="0075656C">
        <w:rPr>
          <w:b/>
        </w:rPr>
        <w:t xml:space="preserve"> DIDŽIAUSIO LEISTINO VALSTYBĖS TARNAUTOJŲ IR DARBUOTOJŲ, DIRBANČIŲ PAGAL DARBO SUTARTIS, PAREIGYBIŲ SKAIČIAUS </w:t>
      </w:r>
      <w:r w:rsidR="003E3032">
        <w:rPr>
          <w:b/>
        </w:rPr>
        <w:t>PATVIRTINIMO</w:t>
      </w:r>
      <w:r>
        <w:rPr>
          <w:b/>
        </w:rPr>
        <w:t xml:space="preserve"> IR </w:t>
      </w:r>
      <w:r w:rsidRPr="0075656C">
        <w:rPr>
          <w:b/>
        </w:rPr>
        <w:t>SAVIVALDYBĖS TARYBOS 2015 M. LAPKRIČIO 26 D. SPRENDIMO NR. 1-296 PRIPAŽINIMO NETEKUSI</w:t>
      </w:r>
      <w:r>
        <w:rPr>
          <w:b/>
        </w:rPr>
        <w:t>U GALIOS</w:t>
      </w:r>
    </w:p>
    <w:p w14:paraId="77C4EA45" w14:textId="77777777" w:rsidR="00B42A26" w:rsidRDefault="00B42A26" w:rsidP="00B42A26">
      <w:pPr>
        <w:jc w:val="center"/>
        <w:rPr>
          <w:b/>
        </w:rPr>
      </w:pPr>
    </w:p>
    <w:p w14:paraId="77C4EA46" w14:textId="3AD79460" w:rsidR="006539FD" w:rsidRPr="00B332F8" w:rsidRDefault="00F56BB8" w:rsidP="001352EF">
      <w:pPr>
        <w:tabs>
          <w:tab w:val="left" w:pos="0"/>
        </w:tabs>
        <w:jc w:val="center"/>
      </w:pPr>
      <w:r w:rsidRPr="00B332F8">
        <w:t>20</w:t>
      </w:r>
      <w:r w:rsidR="0078280A">
        <w:t>2</w:t>
      </w:r>
      <w:r w:rsidR="00782050">
        <w:t>3</w:t>
      </w:r>
      <w:r w:rsidRPr="00B332F8">
        <w:t xml:space="preserve"> m. </w:t>
      </w:r>
      <w:r w:rsidR="00782050">
        <w:t>vasario</w:t>
      </w:r>
      <w:r w:rsidR="00626CE6">
        <w:t xml:space="preserve"> </w:t>
      </w:r>
      <w:r w:rsidR="00782050">
        <w:t>2</w:t>
      </w:r>
      <w:r w:rsidR="0059465A">
        <w:t xml:space="preserve"> </w:t>
      </w:r>
      <w:r w:rsidRPr="00B332F8">
        <w:t>d.</w:t>
      </w:r>
    </w:p>
    <w:p w14:paraId="77C4EA47" w14:textId="77777777" w:rsidR="006539FD" w:rsidRPr="00B332F8" w:rsidRDefault="006539FD" w:rsidP="001352EF">
      <w:pPr>
        <w:tabs>
          <w:tab w:val="left" w:pos="0"/>
        </w:tabs>
        <w:jc w:val="center"/>
      </w:pPr>
      <w:r w:rsidRPr="00B332F8">
        <w:t>Panevėžys</w:t>
      </w:r>
    </w:p>
    <w:p w14:paraId="77C4EA48" w14:textId="77777777" w:rsidR="00B06BEE" w:rsidRPr="00B332F8" w:rsidRDefault="00B06BEE" w:rsidP="001352EF">
      <w:pPr>
        <w:tabs>
          <w:tab w:val="left" w:pos="0"/>
        </w:tabs>
        <w:jc w:val="center"/>
      </w:pPr>
    </w:p>
    <w:p w14:paraId="77C4EA49" w14:textId="77777777" w:rsidR="0059465A" w:rsidRDefault="00D83A57" w:rsidP="00D83A57">
      <w:pPr>
        <w:tabs>
          <w:tab w:val="left" w:pos="0"/>
        </w:tabs>
        <w:spacing w:line="360" w:lineRule="auto"/>
        <w:ind w:firstLine="720"/>
        <w:jc w:val="both"/>
      </w:pPr>
      <w:r w:rsidRPr="00B332F8">
        <w:rPr>
          <w:b/>
        </w:rPr>
        <w:t>1.</w:t>
      </w:r>
      <w:r w:rsidR="00A00395" w:rsidRPr="00B332F8">
        <w:rPr>
          <w:b/>
        </w:rPr>
        <w:t xml:space="preserve"> </w:t>
      </w:r>
      <w:r w:rsidRPr="00B332F8">
        <w:rPr>
          <w:b/>
        </w:rPr>
        <w:t>Problemos esmė</w:t>
      </w:r>
      <w:r w:rsidR="00E53864" w:rsidRPr="00B332F8">
        <w:t xml:space="preserve">: </w:t>
      </w:r>
    </w:p>
    <w:p w14:paraId="3702890C" w14:textId="0E9600CA" w:rsidR="00265C97" w:rsidRDefault="00C000DF" w:rsidP="00FA082B">
      <w:pPr>
        <w:spacing w:line="360" w:lineRule="auto"/>
        <w:ind w:firstLine="709"/>
        <w:jc w:val="both"/>
        <w:rPr>
          <w:color w:val="000000"/>
        </w:rPr>
      </w:pPr>
      <w:r>
        <w:rPr>
          <w:color w:val="000000"/>
        </w:rPr>
        <w:t>2022 m. birželio 30 d. priimtas Vietos savivaldos įstatymo Nr. I-533 pakeitimo įstatymas</w:t>
      </w:r>
      <w:r w:rsidR="00C906DE">
        <w:rPr>
          <w:color w:val="000000"/>
        </w:rPr>
        <w:t xml:space="preserve"> (toliau – Įstatymas)</w:t>
      </w:r>
      <w:r>
        <w:rPr>
          <w:color w:val="000000"/>
        </w:rPr>
        <w:t>, kurio nuostatos įsigalioja, kai naujai išrinktos savivaldybių tarybos susirenka į pirmąjį posėdį.</w:t>
      </w:r>
      <w:r w:rsidR="009B4236">
        <w:rPr>
          <w:color w:val="000000"/>
        </w:rPr>
        <w:t xml:space="preserve"> Atsižvelgiant į Įstatymo reglamentavimą, nebelieka struktūrinio padalinio – Tarybos ir mero sekretoriato. Siūloma patvirtinti naują Panevėžio miesto savivaldybės administracijos struktūrą, steigiant Savivaldybės administracijoje naują struktūrinį padalinį – Tarybos veiklos administravimo skyrių</w:t>
      </w:r>
      <w:r w:rsidR="00AF58BA">
        <w:rPr>
          <w:color w:val="000000"/>
        </w:rPr>
        <w:t xml:space="preserve">. </w:t>
      </w:r>
    </w:p>
    <w:p w14:paraId="77C4EA4A" w14:textId="345B85BF" w:rsidR="00B42A26" w:rsidRDefault="00AF58BA" w:rsidP="00FA082B">
      <w:pPr>
        <w:spacing w:line="360" w:lineRule="auto"/>
        <w:ind w:firstLine="709"/>
        <w:jc w:val="both"/>
        <w:rPr>
          <w:color w:val="000000"/>
        </w:rPr>
      </w:pPr>
      <w:r>
        <w:rPr>
          <w:color w:val="000000"/>
        </w:rPr>
        <w:t>Įsteigus Tarybos veiklos administravimo skyrių, atitinkamai numatomas pareigybių steigimas Savivaldybės administracijoje.</w:t>
      </w:r>
      <w:r w:rsidR="005B707F">
        <w:rPr>
          <w:color w:val="000000"/>
        </w:rPr>
        <w:t xml:space="preserve"> Be to,</w:t>
      </w:r>
      <w:r>
        <w:rPr>
          <w:color w:val="000000"/>
        </w:rPr>
        <w:t xml:space="preserve"> įvertinus padidėjusias</w:t>
      </w:r>
      <w:r w:rsidR="00C11539">
        <w:t xml:space="preserve"> socialinių išmokų </w:t>
      </w:r>
      <w:r w:rsidR="00C11539">
        <w:rPr>
          <w:noProof/>
          <w:color w:val="222222"/>
          <w:shd w:val="clear" w:color="auto" w:fill="FFFFFF"/>
        </w:rPr>
        <w:t>ir piniginės socialinės paramos teikimo Panevėžio miesto gyventojams apimtis</w:t>
      </w:r>
      <w:r>
        <w:rPr>
          <w:noProof/>
          <w:color w:val="222222"/>
          <w:shd w:val="clear" w:color="auto" w:fill="FFFFFF"/>
        </w:rPr>
        <w:t xml:space="preserve">, taip pat </w:t>
      </w:r>
      <w:r w:rsidR="00C11539">
        <w:rPr>
          <w:noProof/>
          <w:color w:val="222222"/>
          <w:shd w:val="clear" w:color="auto" w:fill="FFFFFF"/>
        </w:rPr>
        <w:t xml:space="preserve"> </w:t>
      </w:r>
      <w:r>
        <w:rPr>
          <w:noProof/>
          <w:color w:val="222222"/>
          <w:shd w:val="clear" w:color="auto" w:fill="FFFFFF"/>
        </w:rPr>
        <w:t xml:space="preserve">planuojant </w:t>
      </w:r>
      <w:r w:rsidR="003762B9">
        <w:rPr>
          <w:noProof/>
          <w:color w:val="222222"/>
          <w:shd w:val="clear" w:color="auto" w:fill="FFFFFF"/>
        </w:rPr>
        <w:t>investicijas naujuoju 2021-2027 m. ES struktūrinių fondų paramos laikotarpiu</w:t>
      </w:r>
      <w:r w:rsidR="00C11539">
        <w:rPr>
          <w:color w:val="000000"/>
        </w:rPr>
        <w:t xml:space="preserve">, siūloma naujai </w:t>
      </w:r>
      <w:r w:rsidR="0029446D">
        <w:rPr>
          <w:color w:val="000000"/>
        </w:rPr>
        <w:t>nustatyti didžiausią leistiną valstybės tarnautojų ir darbuotojų, dirbančių pagal darbo sutartis, skaičių</w:t>
      </w:r>
      <w:r w:rsidR="00C11539">
        <w:rPr>
          <w:color w:val="000000"/>
        </w:rPr>
        <w:t xml:space="preserve"> Savivaldybės administracijoje</w:t>
      </w:r>
      <w:r w:rsidR="0029446D">
        <w:rPr>
          <w:color w:val="000000"/>
        </w:rPr>
        <w:t>.</w:t>
      </w:r>
    </w:p>
    <w:p w14:paraId="77C4EA4B" w14:textId="77777777" w:rsidR="0059465A" w:rsidRDefault="00D83A57" w:rsidP="00FA082B">
      <w:pPr>
        <w:spacing w:line="360" w:lineRule="auto"/>
        <w:ind w:firstLine="709"/>
        <w:jc w:val="both"/>
      </w:pPr>
      <w:r w:rsidRPr="00B332F8">
        <w:rPr>
          <w:b/>
        </w:rPr>
        <w:t>2.</w:t>
      </w:r>
      <w:r w:rsidR="001D2243" w:rsidRPr="00B332F8">
        <w:rPr>
          <w:b/>
        </w:rPr>
        <w:t xml:space="preserve"> </w:t>
      </w:r>
      <w:r w:rsidRPr="00B332F8">
        <w:rPr>
          <w:b/>
        </w:rPr>
        <w:t>Kaip šiuo metu sprendžiami sprendimo projekte aptarti klausimai</w:t>
      </w:r>
      <w:r w:rsidRPr="00B332F8">
        <w:t xml:space="preserve">: </w:t>
      </w:r>
    </w:p>
    <w:p w14:paraId="5D213770" w14:textId="77777777" w:rsidR="009A020D" w:rsidRPr="00B332F8" w:rsidRDefault="009A020D" w:rsidP="009A020D">
      <w:pPr>
        <w:spacing w:line="360" w:lineRule="auto"/>
        <w:ind w:firstLine="709"/>
        <w:jc w:val="both"/>
      </w:pPr>
      <w:r w:rsidRPr="00B332F8">
        <w:t xml:space="preserve">Vadovaujantis Lietuvos Respublikos vietos savivaldos įstatymo 16 straipsnio 2 dalies </w:t>
      </w:r>
      <w:r>
        <w:t>10</w:t>
      </w:r>
      <w:r w:rsidRPr="00B332F8">
        <w:t xml:space="preserve"> punkt</w:t>
      </w:r>
      <w:r>
        <w:t>u, administracijos struktūros ir</w:t>
      </w:r>
      <w:r w:rsidRPr="00B332F8">
        <w:t xml:space="preserve"> </w:t>
      </w:r>
      <w:r>
        <w:t>didžiausio leistino valstybės tarnautojų ir darbuotojų, dirbančių pagal darbo sutartis, pareigybių skaičiaus savivaldybės administracijoje nustatymas</w:t>
      </w:r>
      <w:r w:rsidRPr="00B332F8">
        <w:t xml:space="preserve"> yra išimtinė Savivaldybės tarybos kompetencija.</w:t>
      </w:r>
    </w:p>
    <w:p w14:paraId="2118E40F" w14:textId="5E58AD8F" w:rsidR="00C000DF" w:rsidRDefault="00C000DF" w:rsidP="00FA082B">
      <w:pPr>
        <w:spacing w:line="360" w:lineRule="auto"/>
        <w:ind w:firstLine="709"/>
        <w:jc w:val="both"/>
      </w:pPr>
      <w:r w:rsidRPr="0075656C">
        <w:rPr>
          <w:color w:val="000000"/>
        </w:rPr>
        <w:t>Panevėžio miesto savivaldybės taryb</w:t>
      </w:r>
      <w:r>
        <w:rPr>
          <w:color w:val="000000"/>
        </w:rPr>
        <w:t>a</w:t>
      </w:r>
      <w:r w:rsidRPr="0075656C">
        <w:rPr>
          <w:color w:val="000000"/>
        </w:rPr>
        <w:t xml:space="preserve"> 2015 m. lapkričio 26 d. sprendim</w:t>
      </w:r>
      <w:r>
        <w:rPr>
          <w:color w:val="000000"/>
        </w:rPr>
        <w:t>u</w:t>
      </w:r>
      <w:r w:rsidRPr="0075656C">
        <w:rPr>
          <w:color w:val="000000"/>
        </w:rPr>
        <w:t xml:space="preserve"> Nr. 1-296 „D</w:t>
      </w:r>
      <w:r w:rsidRPr="0075656C">
        <w:rPr>
          <w:color w:val="000000"/>
          <w:shd w:val="clear" w:color="auto" w:fill="FFFFFF"/>
        </w:rPr>
        <w:t>ėl Panevėžio miesto savivaldybės administracijos didžiausio leistino valstybės tarnautojų ir darbuotojų, dirbančių pagal darbo sutartis, pareigybių skaičiaus ir struktūros patvirtinimo, Savivaldybės tarybos 2015 m. rugpjūčio 27 d. sprendimo Nr. 1-225 2 punkto ir 2007 m. birželio 28 d. sprendimo Nr. 1-5-13 pripažinimo netekusiais galios</w:t>
      </w:r>
      <w:r w:rsidRPr="0075656C">
        <w:rPr>
          <w:color w:val="000000"/>
        </w:rPr>
        <w:t>“</w:t>
      </w:r>
      <w:r>
        <w:rPr>
          <w:color w:val="000000"/>
        </w:rPr>
        <w:t xml:space="preserve"> su vėlesniais pakeitimais patvirtino </w:t>
      </w:r>
      <w:r w:rsidR="0017148A">
        <w:rPr>
          <w:color w:val="000000"/>
        </w:rPr>
        <w:t xml:space="preserve">Savivaldybės administracijos struktūrą ir </w:t>
      </w:r>
      <w:r>
        <w:rPr>
          <w:color w:val="000000"/>
        </w:rPr>
        <w:t>didžiausią leistiną Panevėžio miesto savivaldybės administracijos valstybės tarnautojų ir darbuotojų, dirbančių pagal darbo sutartis, pareigybių skaičių</w:t>
      </w:r>
      <w:r w:rsidR="009A020D">
        <w:rPr>
          <w:color w:val="000000"/>
        </w:rPr>
        <w:t>.</w:t>
      </w:r>
      <w:r>
        <w:rPr>
          <w:color w:val="000000"/>
        </w:rPr>
        <w:t xml:space="preserve"> </w:t>
      </w:r>
    </w:p>
    <w:p w14:paraId="77C4EA4D" w14:textId="77777777" w:rsidR="00D83A57" w:rsidRDefault="00D83A57" w:rsidP="00FA082B">
      <w:pPr>
        <w:tabs>
          <w:tab w:val="left" w:pos="0"/>
        </w:tabs>
        <w:spacing w:line="360" w:lineRule="auto"/>
        <w:ind w:firstLine="720"/>
        <w:jc w:val="both"/>
      </w:pPr>
      <w:r w:rsidRPr="00B332F8">
        <w:rPr>
          <w:b/>
        </w:rPr>
        <w:t>3.</w:t>
      </w:r>
      <w:r w:rsidR="001D2243" w:rsidRPr="00B332F8">
        <w:rPr>
          <w:b/>
        </w:rPr>
        <w:t xml:space="preserve"> </w:t>
      </w:r>
      <w:r w:rsidRPr="00B332F8">
        <w:rPr>
          <w:b/>
        </w:rPr>
        <w:t>Sprendimo priėmimo būtinumo pagrindimas, kokių pozityvių rezultatų laukiama</w:t>
      </w:r>
      <w:r w:rsidRPr="00B332F8">
        <w:t xml:space="preserve">: </w:t>
      </w:r>
    </w:p>
    <w:p w14:paraId="5E1F9B40" w14:textId="04E83FDC" w:rsidR="0017148A" w:rsidRDefault="00C906DE" w:rsidP="00FA082B">
      <w:pPr>
        <w:tabs>
          <w:tab w:val="left" w:pos="0"/>
        </w:tabs>
        <w:spacing w:line="360" w:lineRule="auto"/>
        <w:ind w:firstLine="720"/>
        <w:jc w:val="both"/>
      </w:pPr>
      <w:r>
        <w:t xml:space="preserve">Naujos Įstatymo redakcijos nuostatos nenumato iki šiol Savivaldybės tarybos administravimo ir aptarnavimo funkcijas atlikusio padalinio prie Savivaldybės tarybos  – Tarybos ir mero sekretoriato. </w:t>
      </w:r>
      <w:r>
        <w:lastRenderedPageBreak/>
        <w:t xml:space="preserve">Įstatymo 33 straipsnio 2 dalyje nustatyta, kad savivaldybės tarybos posėdžius, komitetus, merą, kiek mero veikla susijusi su </w:t>
      </w:r>
      <w:r w:rsidR="00CA0EF1">
        <w:t>savivaldybės tarybos posėdžiais, aptarnauja, taip pat savivaldybės tarybos sprendimus rengia, nagrinėja ir išvadas dėl savivaldybės tarybos sprendimų projektų rengia savivaldybės tarybos posėdžių sekretorius. Padėti jam atlikti priskirtas funkcijas jis gali pasitelkti savivaldybės administraciją. Vadovaujantis Įstatymo nuostatomis</w:t>
      </w:r>
      <w:r w:rsidR="000C3941">
        <w:t xml:space="preserve"> ir siekiant užtikrinti savivaldybės tarybos veiklos ir aptarnavimo funkcijas bei išlaikyti darbuotojus</w:t>
      </w:r>
      <w:r w:rsidR="00CA0EF1">
        <w:t>, Savivaldybės admini</w:t>
      </w:r>
      <w:r w:rsidR="000C3941">
        <w:t>stracijoje siūloma įsteigti Tarybos veiklos administravimo skyrių, kuriam būtų pavesta padėti tarybos posėdžių sekretoriui atlikti įstatymu jam pavestas funkcijas. Savivaldybės administracijoje įsteigus Tarybos veiklos administravimo skyrių, Tarybos ir mero sekretoriato darbuotojai, dirbantys pagal darbo sutartis, būtų perkeliami dirbti į Savivaldybės administraciją.</w:t>
      </w:r>
    </w:p>
    <w:p w14:paraId="4E4A14A5" w14:textId="1F37BDC3" w:rsidR="009B4236" w:rsidRDefault="009A020D" w:rsidP="00FA082B">
      <w:pPr>
        <w:tabs>
          <w:tab w:val="left" w:pos="0"/>
        </w:tabs>
        <w:spacing w:line="360" w:lineRule="auto"/>
        <w:ind w:firstLine="720"/>
        <w:jc w:val="both"/>
      </w:pPr>
      <w:r>
        <w:t xml:space="preserve">Šiuo metu galioja Panevėžio miesto savivaldybės tarybos patvirtintas didžiausias leistinas valstybės tarnautojų ir darbuotojų, dirbančių pagal darbo sutartis, pareigybių skaičius – 261. </w:t>
      </w:r>
    </w:p>
    <w:p w14:paraId="00B4BEFB" w14:textId="213B8752" w:rsidR="003B69B1" w:rsidRDefault="003B69B1" w:rsidP="00FA082B">
      <w:pPr>
        <w:tabs>
          <w:tab w:val="left" w:pos="0"/>
        </w:tabs>
        <w:spacing w:line="360" w:lineRule="auto"/>
        <w:ind w:firstLine="720"/>
        <w:jc w:val="both"/>
      </w:pPr>
      <w:r>
        <w:t xml:space="preserve">Patvirtinus Savivaldybės administracijos struktūrą ir įsteigus naują struktūrinį padalinį - Tarybos veiklos administravimo skyrių, </w:t>
      </w:r>
      <w:r w:rsidR="00047414">
        <w:t>būtų steigiamos 4 pareigybės</w:t>
      </w:r>
      <w:r>
        <w:t>.</w:t>
      </w:r>
    </w:p>
    <w:p w14:paraId="02B11B6B" w14:textId="48DEB1EF" w:rsidR="004C20A3" w:rsidRDefault="004C20A3" w:rsidP="004C20A3">
      <w:pPr>
        <w:spacing w:line="360" w:lineRule="auto"/>
        <w:ind w:firstLine="720"/>
        <w:jc w:val="both"/>
      </w:pPr>
      <w:r>
        <w:t xml:space="preserve">Pažymėtina, kad Panevėžio miesto savivaldybės administracija kaip projektų pareiškėja ir vykdytoja yra atsakinga už investicijų projektų planavimą, įgyvendinimą ir kontroliavimą. 2021-2027 m. Europos Sąjungos fondų investicijų programa pradeda naują ES investicijų etapą Lietuvoje. Programos biudžetas - beveik 8 mlrd. Eurų. 2021-2027 m. projektus planuojama įgyvendinti Europos Sąjungos fondų ir Ekonomikos gaivinimo ir atsparumo didinimo priemonės lėšomis. Ženkliai didėja lėšos regioninėms priemonėms. Panevėžio regionas 2014-2020 m. gavo apie 85 mln. Eur, o 2021-2027 m. planuojamos investicijos 169 mln. Eur. </w:t>
      </w:r>
      <w:r w:rsidR="00AA781A">
        <w:t>N</w:t>
      </w:r>
      <w:r>
        <w:t>uo 2022 m. išaugo tarptautinių projektų paraiškų pateikimo ir įgyvendinimo skaičius. Siekiant tinkamai įgyvendinti projektus, Savivaldybės administracijoje planuojama steigti 2 papildomas projektų vadovų pareigybes.</w:t>
      </w:r>
    </w:p>
    <w:p w14:paraId="75931ACD" w14:textId="01001872" w:rsidR="00782050" w:rsidRDefault="00A32CC5" w:rsidP="00782050">
      <w:pPr>
        <w:spacing w:line="360" w:lineRule="auto"/>
        <w:ind w:firstLine="720"/>
        <w:jc w:val="both"/>
      </w:pPr>
      <w:r>
        <w:t xml:space="preserve">Be to, pastaraisiais metais ženkliai didėja socialinių išmokų </w:t>
      </w:r>
      <w:r>
        <w:rPr>
          <w:noProof/>
          <w:color w:val="222222"/>
          <w:shd w:val="clear" w:color="auto" w:fill="FFFFFF"/>
        </w:rPr>
        <w:t>ir  piniginės socialinės paramos teikimo Panevėžio miesto gyventojams apimtys.</w:t>
      </w:r>
      <w:r w:rsidR="00782050">
        <w:rPr>
          <w:noProof/>
          <w:color w:val="222222"/>
          <w:shd w:val="clear" w:color="auto" w:fill="FFFFFF"/>
        </w:rPr>
        <w:t xml:space="preserve"> Socialinių reikalų skyriaus </w:t>
      </w:r>
      <w:r w:rsidR="00782050">
        <w:t xml:space="preserve">Socialinių išmokų poskyrio </w:t>
      </w:r>
      <w:r w:rsidR="00782050">
        <w:rPr>
          <w:noProof/>
          <w:color w:val="222222"/>
          <w:shd w:val="clear" w:color="auto" w:fill="FFFFFF"/>
        </w:rPr>
        <w:t xml:space="preserve">socialinių išmokų specialistai </w:t>
      </w:r>
      <w:r w:rsidR="00782050">
        <w:t xml:space="preserve">teikia informaciją, </w:t>
      </w:r>
      <w:r w:rsidR="00782050">
        <w:rPr>
          <w:bCs/>
        </w:rPr>
        <w:t xml:space="preserve">priima </w:t>
      </w:r>
      <w:r w:rsidR="00782050" w:rsidRPr="00171409">
        <w:rPr>
          <w:bCs/>
        </w:rPr>
        <w:t>prašym</w:t>
      </w:r>
      <w:r w:rsidR="00782050">
        <w:rPr>
          <w:bCs/>
        </w:rPr>
        <w:t xml:space="preserve">us </w:t>
      </w:r>
      <w:bookmarkStart w:id="1" w:name="_Hlk124856168"/>
      <w:r w:rsidR="00782050">
        <w:rPr>
          <w:bCs/>
        </w:rPr>
        <w:t>ir rengia sprendimus</w:t>
      </w:r>
      <w:r w:rsidR="00782050" w:rsidRPr="00171409">
        <w:t xml:space="preserve"> </w:t>
      </w:r>
      <w:bookmarkEnd w:id="1"/>
      <w:r w:rsidR="00782050" w:rsidRPr="00171409">
        <w:t xml:space="preserve">piniginei socialinei paramai, valstybės paramai, kredito, paimto daugiabučiam namui atnaujinti, įmokų ir palūkanų apmokėjimui gauti pagal Lietuvos Respublikos piniginės socialinės paramos nepasiturintiems gyventojams įstatymą, periodinėms pašalpoms pagal Piniginės socialinės paramos nepasiturintiems gyventojams teikimo tvarkos aprašą, išmokoms pagal Lietuvos Respublikos išmokų vaikams įstatymą, socialinei paramai mokiniams pagal Lietuvos Respublikos socialinės paramos mokiniams įstatymą gauti, </w:t>
      </w:r>
      <w:r w:rsidR="00782050" w:rsidRPr="00171409">
        <w:rPr>
          <w:rFonts w:eastAsia="Lucida Sans Unicode"/>
          <w:lang w:eastAsia="ar-SA"/>
        </w:rPr>
        <w:t xml:space="preserve">būsto nuomos mokesčio dalies </w:t>
      </w:r>
      <w:r w:rsidR="00782050" w:rsidRPr="00171409">
        <w:t>kompensacijoms mokėti pagal Lietuvos Respublikos paramos būstui įsigyti ar išsinuomoti įstatymą, 0,2 MGL dydžio išmokai neįgaliajam gauti pagal Išmokų neįgaliesiems mokėjimo tvarkos apraš</w:t>
      </w:r>
      <w:r w:rsidR="00782050">
        <w:t>ą ir atlieka kitas funkcijas (</w:t>
      </w:r>
      <w:r w:rsidR="00782050" w:rsidRPr="00082D0D">
        <w:t>šildymo išlaidų, išlaidų karštam ir geriama</w:t>
      </w:r>
      <w:r w:rsidR="00782050">
        <w:t xml:space="preserve">m vandeniui kompensacijų teikimas, rengia sprendimus Panevėžio mieste </w:t>
      </w:r>
      <w:r w:rsidR="00782050">
        <w:lastRenderedPageBreak/>
        <w:t xml:space="preserve">apsigyvenusiems ukrainiečiams vienkartinei ir periodinei pašalpoms gauti </w:t>
      </w:r>
      <w:r w:rsidR="00782050" w:rsidRPr="00171409">
        <w:t>pagal Piniginės socialinės paramos nepasiturintiems gyventojams teikimo tvarkos aprašą</w:t>
      </w:r>
      <w:r w:rsidR="00782050">
        <w:t>, v</w:t>
      </w:r>
      <w:r w:rsidR="00782050" w:rsidRPr="00BA61B0">
        <w:rPr>
          <w:rFonts w:eastAsiaTheme="minorHAnsi" w:cstheme="minorBidi"/>
        </w:rPr>
        <w:t>ienkartin</w:t>
      </w:r>
      <w:r w:rsidR="00782050">
        <w:rPr>
          <w:rFonts w:eastAsiaTheme="minorHAnsi" w:cstheme="minorBidi"/>
        </w:rPr>
        <w:t>ei</w:t>
      </w:r>
      <w:r w:rsidR="00782050" w:rsidRPr="00BA61B0">
        <w:rPr>
          <w:rFonts w:eastAsiaTheme="minorHAnsi" w:cstheme="minorBidi"/>
        </w:rPr>
        <w:t xml:space="preserve"> išmok</w:t>
      </w:r>
      <w:r w:rsidR="00782050">
        <w:rPr>
          <w:rFonts w:eastAsiaTheme="minorHAnsi" w:cstheme="minorBidi"/>
        </w:rPr>
        <w:t>ai</w:t>
      </w:r>
      <w:r w:rsidR="00782050" w:rsidRPr="00BA61B0">
        <w:rPr>
          <w:rFonts w:eastAsiaTheme="minorHAnsi" w:cstheme="minorBidi"/>
        </w:rPr>
        <w:t xml:space="preserve"> įsikurti</w:t>
      </w:r>
      <w:r w:rsidR="00782050">
        <w:rPr>
          <w:rFonts w:eastAsiaTheme="minorHAnsi" w:cstheme="minorBidi"/>
        </w:rPr>
        <w:t xml:space="preserve"> ir k</w:t>
      </w:r>
      <w:r w:rsidR="00782050" w:rsidRPr="00D5542E">
        <w:rPr>
          <w:color w:val="000000" w:themeColor="text1"/>
        </w:rPr>
        <w:t>ompensacija</w:t>
      </w:r>
      <w:r w:rsidR="00782050">
        <w:rPr>
          <w:color w:val="000000" w:themeColor="text1"/>
        </w:rPr>
        <w:t>i</w:t>
      </w:r>
      <w:r w:rsidR="00782050" w:rsidRPr="00D5542E">
        <w:rPr>
          <w:color w:val="000000" w:themeColor="text1"/>
        </w:rPr>
        <w:t xml:space="preserve"> vaiko ugdymo pagal ikimokyklinio ar priešmokyklinio ugdymo programą išlaidoms apmokėti</w:t>
      </w:r>
      <w:r w:rsidR="00782050">
        <w:rPr>
          <w:rFonts w:eastAsiaTheme="minorHAnsi" w:cstheme="minorBidi"/>
        </w:rPr>
        <w:t xml:space="preserve"> pagal </w:t>
      </w:r>
      <w:r w:rsidR="00782050" w:rsidRPr="00D5542E">
        <w:rPr>
          <w:color w:val="000000"/>
        </w:rPr>
        <w:t>Valstybės paramos prieglobsčio gavėjų, nelydimų nepilnamečių užsieniečių ir laikinąją apsaugą Lietuvos Respublikoje gavusių užsieniečių integracijai teikimo tvarkos apraš</w:t>
      </w:r>
      <w:r w:rsidR="00782050">
        <w:rPr>
          <w:color w:val="000000"/>
        </w:rPr>
        <w:t>ą</w:t>
      </w:r>
      <w:r w:rsidR="00782050">
        <w:rPr>
          <w:rFonts w:eastAsiaTheme="minorHAnsi" w:cstheme="minorBidi"/>
        </w:rPr>
        <w:t>, ir rengiami sprendimai k</w:t>
      </w:r>
      <w:r w:rsidR="00782050" w:rsidRPr="00D5542E">
        <w:rPr>
          <w:color w:val="000000" w:themeColor="text1"/>
        </w:rPr>
        <w:t>ompensacija</w:t>
      </w:r>
      <w:r w:rsidR="00782050">
        <w:rPr>
          <w:color w:val="000000" w:themeColor="text1"/>
        </w:rPr>
        <w:t>i</w:t>
      </w:r>
      <w:r w:rsidR="00782050" w:rsidRPr="00D5542E">
        <w:rPr>
          <w:color w:val="000000" w:themeColor="text1"/>
        </w:rPr>
        <w:t xml:space="preserve"> už </w:t>
      </w:r>
      <w:r w:rsidR="00782050">
        <w:t>būsto suteikimą užsieniečiams ir kt.).</w:t>
      </w:r>
    </w:p>
    <w:p w14:paraId="7689295A" w14:textId="4293DCA2" w:rsidR="00782050" w:rsidRDefault="00782050" w:rsidP="00782050">
      <w:pPr>
        <w:spacing w:line="360" w:lineRule="auto"/>
        <w:ind w:firstLine="720"/>
        <w:jc w:val="both"/>
      </w:pPr>
      <w:r>
        <w:t xml:space="preserve">Vienos </w:t>
      </w:r>
      <w:bookmarkStart w:id="2" w:name="_Hlk124920820"/>
      <w:r>
        <w:t>vyresniosios socialinių išmokų specialistės</w:t>
      </w:r>
      <w:bookmarkEnd w:id="2"/>
      <w:r>
        <w:t xml:space="preserve"> priimamų prašymų skaičius, palyginus 2020, 2021 ir 2022 metus, kas metai didėja. 2022 metais viena vyresn. socialinių išmokų specialistė priėmė 51 proc. prašymų daugiau palyginus su 2020 metais ir 30 proc. daugiau palyginus su 2021 metais.</w:t>
      </w:r>
    </w:p>
    <w:tbl>
      <w:tblPr>
        <w:tblStyle w:val="Lentelstinklelis"/>
        <w:tblW w:w="0" w:type="auto"/>
        <w:tblLook w:val="04A0" w:firstRow="1" w:lastRow="0" w:firstColumn="1" w:lastColumn="0" w:noHBand="0" w:noVBand="1"/>
      </w:tblPr>
      <w:tblGrid>
        <w:gridCol w:w="1830"/>
        <w:gridCol w:w="1184"/>
        <w:gridCol w:w="1283"/>
        <w:gridCol w:w="1447"/>
        <w:gridCol w:w="1283"/>
        <w:gridCol w:w="1297"/>
        <w:gridCol w:w="1304"/>
      </w:tblGrid>
      <w:tr w:rsidR="00782050" w14:paraId="2828B6CF" w14:textId="77777777" w:rsidTr="000D2F46">
        <w:tc>
          <w:tcPr>
            <w:tcW w:w="1830" w:type="dxa"/>
          </w:tcPr>
          <w:p w14:paraId="07044F05" w14:textId="77777777" w:rsidR="00782050" w:rsidRPr="00782050" w:rsidRDefault="00782050" w:rsidP="000D2F46">
            <w:pPr>
              <w:jc w:val="both"/>
              <w:rPr>
                <w:rFonts w:ascii="Times New Roman" w:hAnsi="Times New Roman" w:cs="Times New Roman"/>
              </w:rPr>
            </w:pPr>
          </w:p>
        </w:tc>
        <w:tc>
          <w:tcPr>
            <w:tcW w:w="1184" w:type="dxa"/>
          </w:tcPr>
          <w:p w14:paraId="4B5826E4" w14:textId="77777777" w:rsidR="00782050" w:rsidRPr="00782050" w:rsidRDefault="00782050" w:rsidP="000D2F46">
            <w:pPr>
              <w:jc w:val="both"/>
              <w:rPr>
                <w:rFonts w:ascii="Times New Roman" w:hAnsi="Times New Roman" w:cs="Times New Roman"/>
              </w:rPr>
            </w:pPr>
            <w:r w:rsidRPr="00782050">
              <w:rPr>
                <w:rFonts w:ascii="Times New Roman" w:hAnsi="Times New Roman" w:cs="Times New Roman"/>
              </w:rPr>
              <w:t>2020 m.</w:t>
            </w:r>
          </w:p>
        </w:tc>
        <w:tc>
          <w:tcPr>
            <w:tcW w:w="1283" w:type="dxa"/>
          </w:tcPr>
          <w:p w14:paraId="0FD8DBE3" w14:textId="77777777" w:rsidR="00782050" w:rsidRPr="00782050" w:rsidRDefault="00782050" w:rsidP="000D2F46">
            <w:pPr>
              <w:jc w:val="both"/>
              <w:rPr>
                <w:rFonts w:ascii="Times New Roman" w:hAnsi="Times New Roman" w:cs="Times New Roman"/>
              </w:rPr>
            </w:pPr>
            <w:r w:rsidRPr="00782050">
              <w:rPr>
                <w:rFonts w:ascii="Times New Roman" w:hAnsi="Times New Roman" w:cs="Times New Roman"/>
              </w:rPr>
              <w:t xml:space="preserve">Vienai specialistei </w:t>
            </w:r>
          </w:p>
        </w:tc>
        <w:tc>
          <w:tcPr>
            <w:tcW w:w="1447" w:type="dxa"/>
          </w:tcPr>
          <w:p w14:paraId="0D784BE4" w14:textId="77777777" w:rsidR="00782050" w:rsidRPr="00782050" w:rsidRDefault="00782050" w:rsidP="000D2F46">
            <w:pPr>
              <w:jc w:val="both"/>
              <w:rPr>
                <w:rFonts w:ascii="Times New Roman" w:hAnsi="Times New Roman" w:cs="Times New Roman"/>
              </w:rPr>
            </w:pPr>
            <w:r w:rsidRPr="00782050">
              <w:rPr>
                <w:rFonts w:ascii="Times New Roman" w:hAnsi="Times New Roman" w:cs="Times New Roman"/>
              </w:rPr>
              <w:t>2021 m.</w:t>
            </w:r>
          </w:p>
        </w:tc>
        <w:tc>
          <w:tcPr>
            <w:tcW w:w="1283" w:type="dxa"/>
          </w:tcPr>
          <w:p w14:paraId="5B0414B0" w14:textId="77777777" w:rsidR="00782050" w:rsidRPr="00782050" w:rsidRDefault="00782050" w:rsidP="000D2F46">
            <w:pPr>
              <w:jc w:val="both"/>
              <w:rPr>
                <w:rFonts w:ascii="Times New Roman" w:hAnsi="Times New Roman" w:cs="Times New Roman"/>
              </w:rPr>
            </w:pPr>
            <w:r w:rsidRPr="00782050">
              <w:rPr>
                <w:rFonts w:ascii="Times New Roman" w:hAnsi="Times New Roman" w:cs="Times New Roman"/>
              </w:rPr>
              <w:t>Vienai specialistei</w:t>
            </w:r>
          </w:p>
        </w:tc>
        <w:tc>
          <w:tcPr>
            <w:tcW w:w="1297" w:type="dxa"/>
          </w:tcPr>
          <w:p w14:paraId="469A79E1" w14:textId="77777777" w:rsidR="00782050" w:rsidRPr="00782050" w:rsidRDefault="00782050" w:rsidP="000D2F46">
            <w:pPr>
              <w:jc w:val="both"/>
              <w:rPr>
                <w:rFonts w:ascii="Times New Roman" w:hAnsi="Times New Roman" w:cs="Times New Roman"/>
              </w:rPr>
            </w:pPr>
            <w:r w:rsidRPr="00782050">
              <w:rPr>
                <w:rFonts w:ascii="Times New Roman" w:hAnsi="Times New Roman" w:cs="Times New Roman"/>
              </w:rPr>
              <w:t>2022 m.</w:t>
            </w:r>
          </w:p>
        </w:tc>
        <w:tc>
          <w:tcPr>
            <w:tcW w:w="1304" w:type="dxa"/>
          </w:tcPr>
          <w:p w14:paraId="2F4293B1" w14:textId="77777777" w:rsidR="00782050" w:rsidRPr="00782050" w:rsidRDefault="00782050" w:rsidP="000D2F46">
            <w:pPr>
              <w:jc w:val="both"/>
              <w:rPr>
                <w:rFonts w:ascii="Times New Roman" w:hAnsi="Times New Roman" w:cs="Times New Roman"/>
              </w:rPr>
            </w:pPr>
            <w:r w:rsidRPr="00782050">
              <w:rPr>
                <w:rFonts w:ascii="Times New Roman" w:hAnsi="Times New Roman" w:cs="Times New Roman"/>
              </w:rPr>
              <w:t>Vienai specialistei</w:t>
            </w:r>
          </w:p>
        </w:tc>
      </w:tr>
      <w:tr w:rsidR="00782050" w14:paraId="76DD7AA3" w14:textId="77777777" w:rsidTr="000D2F46">
        <w:tc>
          <w:tcPr>
            <w:tcW w:w="1830" w:type="dxa"/>
          </w:tcPr>
          <w:p w14:paraId="3CF9DDF2" w14:textId="77777777" w:rsidR="00782050" w:rsidRPr="00782050" w:rsidRDefault="00782050" w:rsidP="000D2F46">
            <w:pPr>
              <w:jc w:val="both"/>
              <w:rPr>
                <w:rFonts w:ascii="Times New Roman" w:hAnsi="Times New Roman" w:cs="Times New Roman"/>
              </w:rPr>
            </w:pPr>
            <w:r w:rsidRPr="00782050">
              <w:rPr>
                <w:rFonts w:ascii="Times New Roman" w:hAnsi="Times New Roman" w:cs="Times New Roman"/>
              </w:rPr>
              <w:t>Bendras prašymų skaičius</w:t>
            </w:r>
          </w:p>
        </w:tc>
        <w:tc>
          <w:tcPr>
            <w:tcW w:w="1184" w:type="dxa"/>
          </w:tcPr>
          <w:p w14:paraId="58C44FF9" w14:textId="77777777" w:rsidR="00782050" w:rsidRPr="00782050" w:rsidRDefault="00782050" w:rsidP="000D2F46">
            <w:pPr>
              <w:jc w:val="both"/>
              <w:rPr>
                <w:rFonts w:ascii="Times New Roman" w:hAnsi="Times New Roman" w:cs="Times New Roman"/>
              </w:rPr>
            </w:pPr>
            <w:r w:rsidRPr="00782050">
              <w:rPr>
                <w:rFonts w:ascii="Times New Roman" w:hAnsi="Times New Roman" w:cs="Times New Roman"/>
              </w:rPr>
              <w:t>21881</w:t>
            </w:r>
          </w:p>
        </w:tc>
        <w:tc>
          <w:tcPr>
            <w:tcW w:w="1283" w:type="dxa"/>
          </w:tcPr>
          <w:p w14:paraId="7E3CF319" w14:textId="77777777" w:rsidR="00782050" w:rsidRPr="00782050" w:rsidRDefault="00782050" w:rsidP="000D2F46">
            <w:pPr>
              <w:jc w:val="both"/>
              <w:rPr>
                <w:rFonts w:ascii="Times New Roman" w:hAnsi="Times New Roman" w:cs="Times New Roman"/>
                <w:b/>
                <w:bCs/>
              </w:rPr>
            </w:pPr>
            <w:r w:rsidRPr="00782050">
              <w:rPr>
                <w:rFonts w:ascii="Times New Roman" w:hAnsi="Times New Roman" w:cs="Times New Roman"/>
                <w:b/>
                <w:bCs/>
              </w:rPr>
              <w:t>1287</w:t>
            </w:r>
          </w:p>
        </w:tc>
        <w:tc>
          <w:tcPr>
            <w:tcW w:w="1447" w:type="dxa"/>
          </w:tcPr>
          <w:p w14:paraId="0346F8A7" w14:textId="77777777" w:rsidR="00782050" w:rsidRPr="00782050" w:rsidRDefault="00782050" w:rsidP="000D2F46">
            <w:pPr>
              <w:jc w:val="both"/>
              <w:rPr>
                <w:rFonts w:ascii="Times New Roman" w:hAnsi="Times New Roman" w:cs="Times New Roman"/>
              </w:rPr>
            </w:pPr>
            <w:r w:rsidRPr="00782050">
              <w:rPr>
                <w:rFonts w:ascii="Times New Roman" w:hAnsi="Times New Roman" w:cs="Times New Roman"/>
              </w:rPr>
              <w:t>26816</w:t>
            </w:r>
          </w:p>
        </w:tc>
        <w:tc>
          <w:tcPr>
            <w:tcW w:w="1283" w:type="dxa"/>
          </w:tcPr>
          <w:p w14:paraId="54BDC7CD" w14:textId="77777777" w:rsidR="00782050" w:rsidRPr="00782050" w:rsidRDefault="00782050" w:rsidP="000D2F46">
            <w:pPr>
              <w:jc w:val="both"/>
              <w:rPr>
                <w:rFonts w:ascii="Times New Roman" w:hAnsi="Times New Roman" w:cs="Times New Roman"/>
                <w:b/>
                <w:bCs/>
              </w:rPr>
            </w:pPr>
            <w:r w:rsidRPr="00782050">
              <w:rPr>
                <w:rFonts w:ascii="Times New Roman" w:hAnsi="Times New Roman" w:cs="Times New Roman"/>
                <w:b/>
                <w:bCs/>
              </w:rPr>
              <w:t>1577</w:t>
            </w:r>
          </w:p>
        </w:tc>
        <w:tc>
          <w:tcPr>
            <w:tcW w:w="1297" w:type="dxa"/>
          </w:tcPr>
          <w:p w14:paraId="0FA6F8F7" w14:textId="77777777" w:rsidR="00782050" w:rsidRPr="00782050" w:rsidRDefault="00782050" w:rsidP="000D2F46">
            <w:pPr>
              <w:jc w:val="both"/>
              <w:rPr>
                <w:rFonts w:ascii="Times New Roman" w:hAnsi="Times New Roman" w:cs="Times New Roman"/>
              </w:rPr>
            </w:pPr>
            <w:r w:rsidRPr="00782050">
              <w:rPr>
                <w:rFonts w:ascii="Times New Roman" w:hAnsi="Times New Roman" w:cs="Times New Roman"/>
              </w:rPr>
              <w:t>33207</w:t>
            </w:r>
          </w:p>
        </w:tc>
        <w:tc>
          <w:tcPr>
            <w:tcW w:w="1304" w:type="dxa"/>
          </w:tcPr>
          <w:p w14:paraId="13A9DF05" w14:textId="77777777" w:rsidR="00782050" w:rsidRPr="00782050" w:rsidRDefault="00782050" w:rsidP="000D2F46">
            <w:pPr>
              <w:jc w:val="both"/>
              <w:rPr>
                <w:rFonts w:ascii="Times New Roman" w:hAnsi="Times New Roman" w:cs="Times New Roman"/>
                <w:b/>
                <w:bCs/>
              </w:rPr>
            </w:pPr>
            <w:r w:rsidRPr="00782050">
              <w:rPr>
                <w:rFonts w:ascii="Times New Roman" w:hAnsi="Times New Roman" w:cs="Times New Roman"/>
                <w:b/>
                <w:bCs/>
              </w:rPr>
              <w:t>1953</w:t>
            </w:r>
          </w:p>
        </w:tc>
      </w:tr>
      <w:tr w:rsidR="00782050" w14:paraId="488CD212" w14:textId="77777777" w:rsidTr="000D2F46">
        <w:tc>
          <w:tcPr>
            <w:tcW w:w="1830" w:type="dxa"/>
          </w:tcPr>
          <w:p w14:paraId="29B6A56B" w14:textId="77777777" w:rsidR="00782050" w:rsidRPr="00782050" w:rsidRDefault="00782050" w:rsidP="000D2F46">
            <w:pPr>
              <w:jc w:val="both"/>
              <w:rPr>
                <w:rFonts w:ascii="Times New Roman" w:hAnsi="Times New Roman" w:cs="Times New Roman"/>
              </w:rPr>
            </w:pPr>
            <w:r w:rsidRPr="00782050">
              <w:rPr>
                <w:rFonts w:ascii="Times New Roman" w:hAnsi="Times New Roman" w:cs="Times New Roman"/>
              </w:rPr>
              <w:t>Prašymų šildymo kompensacijoms skaičius</w:t>
            </w:r>
          </w:p>
        </w:tc>
        <w:tc>
          <w:tcPr>
            <w:tcW w:w="1184" w:type="dxa"/>
          </w:tcPr>
          <w:p w14:paraId="5EF4CA6B" w14:textId="77777777" w:rsidR="00782050" w:rsidRPr="00782050" w:rsidRDefault="00782050" w:rsidP="000D2F46">
            <w:pPr>
              <w:jc w:val="both"/>
              <w:rPr>
                <w:rFonts w:ascii="Times New Roman" w:hAnsi="Times New Roman" w:cs="Times New Roman"/>
              </w:rPr>
            </w:pPr>
            <w:r w:rsidRPr="00782050">
              <w:rPr>
                <w:rFonts w:ascii="Times New Roman" w:hAnsi="Times New Roman" w:cs="Times New Roman"/>
              </w:rPr>
              <w:t>11186</w:t>
            </w:r>
          </w:p>
        </w:tc>
        <w:tc>
          <w:tcPr>
            <w:tcW w:w="1283" w:type="dxa"/>
          </w:tcPr>
          <w:p w14:paraId="70064ED3" w14:textId="77777777" w:rsidR="00782050" w:rsidRPr="00782050" w:rsidRDefault="00782050" w:rsidP="000D2F46">
            <w:pPr>
              <w:jc w:val="both"/>
              <w:rPr>
                <w:rFonts w:ascii="Times New Roman" w:hAnsi="Times New Roman" w:cs="Times New Roman"/>
                <w:b/>
                <w:bCs/>
              </w:rPr>
            </w:pPr>
            <w:r w:rsidRPr="00782050">
              <w:rPr>
                <w:rFonts w:ascii="Times New Roman" w:hAnsi="Times New Roman" w:cs="Times New Roman"/>
                <w:b/>
                <w:bCs/>
              </w:rPr>
              <w:t>658</w:t>
            </w:r>
          </w:p>
        </w:tc>
        <w:tc>
          <w:tcPr>
            <w:tcW w:w="1447" w:type="dxa"/>
          </w:tcPr>
          <w:p w14:paraId="3D0ADA55" w14:textId="77777777" w:rsidR="00782050" w:rsidRPr="00782050" w:rsidRDefault="00782050" w:rsidP="000D2F46">
            <w:pPr>
              <w:jc w:val="both"/>
              <w:rPr>
                <w:rFonts w:ascii="Times New Roman" w:hAnsi="Times New Roman" w:cs="Times New Roman"/>
              </w:rPr>
            </w:pPr>
            <w:r w:rsidRPr="00782050">
              <w:rPr>
                <w:rFonts w:ascii="Times New Roman" w:hAnsi="Times New Roman" w:cs="Times New Roman"/>
              </w:rPr>
              <w:t>12620</w:t>
            </w:r>
          </w:p>
        </w:tc>
        <w:tc>
          <w:tcPr>
            <w:tcW w:w="1283" w:type="dxa"/>
          </w:tcPr>
          <w:p w14:paraId="6466B516" w14:textId="77777777" w:rsidR="00782050" w:rsidRPr="00782050" w:rsidRDefault="00782050" w:rsidP="000D2F46">
            <w:pPr>
              <w:jc w:val="both"/>
              <w:rPr>
                <w:rFonts w:ascii="Times New Roman" w:hAnsi="Times New Roman" w:cs="Times New Roman"/>
                <w:b/>
                <w:bCs/>
              </w:rPr>
            </w:pPr>
            <w:r w:rsidRPr="00782050">
              <w:rPr>
                <w:rFonts w:ascii="Times New Roman" w:hAnsi="Times New Roman" w:cs="Times New Roman"/>
                <w:b/>
                <w:bCs/>
              </w:rPr>
              <w:t>742</w:t>
            </w:r>
          </w:p>
        </w:tc>
        <w:tc>
          <w:tcPr>
            <w:tcW w:w="1297" w:type="dxa"/>
          </w:tcPr>
          <w:p w14:paraId="533DEE66" w14:textId="77777777" w:rsidR="00782050" w:rsidRPr="00782050" w:rsidRDefault="00782050" w:rsidP="000D2F46">
            <w:pPr>
              <w:jc w:val="both"/>
              <w:rPr>
                <w:rFonts w:ascii="Times New Roman" w:hAnsi="Times New Roman" w:cs="Times New Roman"/>
              </w:rPr>
            </w:pPr>
            <w:r w:rsidRPr="00782050">
              <w:rPr>
                <w:rFonts w:ascii="Times New Roman" w:hAnsi="Times New Roman" w:cs="Times New Roman"/>
              </w:rPr>
              <w:t>16773</w:t>
            </w:r>
          </w:p>
        </w:tc>
        <w:tc>
          <w:tcPr>
            <w:tcW w:w="1304" w:type="dxa"/>
          </w:tcPr>
          <w:p w14:paraId="09EF9DFE" w14:textId="77777777" w:rsidR="00782050" w:rsidRPr="00782050" w:rsidRDefault="00782050" w:rsidP="000D2F46">
            <w:pPr>
              <w:jc w:val="both"/>
              <w:rPr>
                <w:rFonts w:ascii="Times New Roman" w:hAnsi="Times New Roman" w:cs="Times New Roman"/>
                <w:b/>
                <w:bCs/>
              </w:rPr>
            </w:pPr>
            <w:r w:rsidRPr="00782050">
              <w:rPr>
                <w:rFonts w:ascii="Times New Roman" w:hAnsi="Times New Roman" w:cs="Times New Roman"/>
                <w:b/>
                <w:bCs/>
              </w:rPr>
              <w:t>987</w:t>
            </w:r>
          </w:p>
        </w:tc>
      </w:tr>
      <w:tr w:rsidR="00782050" w14:paraId="127BA4F8" w14:textId="77777777" w:rsidTr="000D2F46">
        <w:tc>
          <w:tcPr>
            <w:tcW w:w="1830" w:type="dxa"/>
          </w:tcPr>
          <w:p w14:paraId="5D63CA3D" w14:textId="77777777" w:rsidR="00782050" w:rsidRPr="00782050" w:rsidRDefault="00782050" w:rsidP="000D2F46">
            <w:pPr>
              <w:jc w:val="both"/>
              <w:rPr>
                <w:rFonts w:ascii="Times New Roman" w:hAnsi="Times New Roman" w:cs="Times New Roman"/>
              </w:rPr>
            </w:pPr>
            <w:r w:rsidRPr="00782050">
              <w:rPr>
                <w:rFonts w:ascii="Times New Roman" w:hAnsi="Times New Roman" w:cs="Times New Roman"/>
              </w:rPr>
              <w:t>Prašymai socialinėms išmokoms</w:t>
            </w:r>
          </w:p>
        </w:tc>
        <w:tc>
          <w:tcPr>
            <w:tcW w:w="1184" w:type="dxa"/>
          </w:tcPr>
          <w:p w14:paraId="58526DDC" w14:textId="77777777" w:rsidR="00782050" w:rsidRPr="00782050" w:rsidRDefault="00782050" w:rsidP="000D2F46">
            <w:pPr>
              <w:jc w:val="both"/>
              <w:rPr>
                <w:rFonts w:ascii="Times New Roman" w:hAnsi="Times New Roman" w:cs="Times New Roman"/>
              </w:rPr>
            </w:pPr>
            <w:r w:rsidRPr="00782050">
              <w:rPr>
                <w:rFonts w:ascii="Times New Roman" w:hAnsi="Times New Roman" w:cs="Times New Roman"/>
              </w:rPr>
              <w:t>10695</w:t>
            </w:r>
          </w:p>
        </w:tc>
        <w:tc>
          <w:tcPr>
            <w:tcW w:w="1283" w:type="dxa"/>
          </w:tcPr>
          <w:p w14:paraId="6D4D79BE" w14:textId="77777777" w:rsidR="00782050" w:rsidRPr="00782050" w:rsidRDefault="00782050" w:rsidP="000D2F46">
            <w:pPr>
              <w:jc w:val="both"/>
              <w:rPr>
                <w:rFonts w:ascii="Times New Roman" w:hAnsi="Times New Roman" w:cs="Times New Roman"/>
                <w:b/>
                <w:bCs/>
              </w:rPr>
            </w:pPr>
            <w:r w:rsidRPr="00782050">
              <w:rPr>
                <w:rFonts w:ascii="Times New Roman" w:hAnsi="Times New Roman" w:cs="Times New Roman"/>
                <w:b/>
                <w:bCs/>
              </w:rPr>
              <w:t>629</w:t>
            </w:r>
          </w:p>
        </w:tc>
        <w:tc>
          <w:tcPr>
            <w:tcW w:w="1447" w:type="dxa"/>
          </w:tcPr>
          <w:p w14:paraId="504472A5" w14:textId="77777777" w:rsidR="00782050" w:rsidRPr="00782050" w:rsidRDefault="00782050" w:rsidP="000D2F46">
            <w:pPr>
              <w:jc w:val="both"/>
              <w:rPr>
                <w:rFonts w:ascii="Times New Roman" w:hAnsi="Times New Roman" w:cs="Times New Roman"/>
              </w:rPr>
            </w:pPr>
            <w:r w:rsidRPr="00782050">
              <w:rPr>
                <w:rFonts w:ascii="Times New Roman" w:hAnsi="Times New Roman" w:cs="Times New Roman"/>
              </w:rPr>
              <w:t>14196</w:t>
            </w:r>
          </w:p>
        </w:tc>
        <w:tc>
          <w:tcPr>
            <w:tcW w:w="1283" w:type="dxa"/>
          </w:tcPr>
          <w:p w14:paraId="6CEF1142" w14:textId="77777777" w:rsidR="00782050" w:rsidRPr="00782050" w:rsidRDefault="00782050" w:rsidP="000D2F46">
            <w:pPr>
              <w:jc w:val="both"/>
              <w:rPr>
                <w:rFonts w:ascii="Times New Roman" w:hAnsi="Times New Roman" w:cs="Times New Roman"/>
                <w:b/>
                <w:bCs/>
              </w:rPr>
            </w:pPr>
            <w:r w:rsidRPr="00782050">
              <w:rPr>
                <w:rFonts w:ascii="Times New Roman" w:hAnsi="Times New Roman" w:cs="Times New Roman"/>
                <w:b/>
                <w:bCs/>
              </w:rPr>
              <w:t>835</w:t>
            </w:r>
          </w:p>
        </w:tc>
        <w:tc>
          <w:tcPr>
            <w:tcW w:w="1297" w:type="dxa"/>
          </w:tcPr>
          <w:p w14:paraId="2A7611B4" w14:textId="77777777" w:rsidR="00782050" w:rsidRPr="00782050" w:rsidRDefault="00782050" w:rsidP="000D2F46">
            <w:pPr>
              <w:jc w:val="both"/>
              <w:rPr>
                <w:rFonts w:ascii="Times New Roman" w:hAnsi="Times New Roman" w:cs="Times New Roman"/>
              </w:rPr>
            </w:pPr>
            <w:r w:rsidRPr="00782050">
              <w:rPr>
                <w:rFonts w:ascii="Times New Roman" w:hAnsi="Times New Roman" w:cs="Times New Roman"/>
              </w:rPr>
              <w:t>14134</w:t>
            </w:r>
          </w:p>
        </w:tc>
        <w:tc>
          <w:tcPr>
            <w:tcW w:w="1304" w:type="dxa"/>
          </w:tcPr>
          <w:p w14:paraId="0E9202A1" w14:textId="77777777" w:rsidR="00782050" w:rsidRPr="00782050" w:rsidRDefault="00782050" w:rsidP="000D2F46">
            <w:pPr>
              <w:jc w:val="both"/>
              <w:rPr>
                <w:rFonts w:ascii="Times New Roman" w:hAnsi="Times New Roman" w:cs="Times New Roman"/>
                <w:b/>
                <w:bCs/>
              </w:rPr>
            </w:pPr>
            <w:r w:rsidRPr="00782050">
              <w:rPr>
                <w:rFonts w:ascii="Times New Roman" w:hAnsi="Times New Roman" w:cs="Times New Roman"/>
                <w:b/>
                <w:bCs/>
              </w:rPr>
              <w:t>831</w:t>
            </w:r>
          </w:p>
        </w:tc>
      </w:tr>
    </w:tbl>
    <w:p w14:paraId="693377D6" w14:textId="77777777" w:rsidR="00782050" w:rsidRDefault="00782050" w:rsidP="00FA082B">
      <w:pPr>
        <w:tabs>
          <w:tab w:val="left" w:pos="0"/>
        </w:tabs>
        <w:spacing w:line="360" w:lineRule="auto"/>
        <w:ind w:firstLine="720"/>
        <w:jc w:val="both"/>
      </w:pPr>
    </w:p>
    <w:p w14:paraId="7FCB3DF0" w14:textId="6AE73244" w:rsidR="00047414" w:rsidRDefault="00782050" w:rsidP="004C20A3">
      <w:pPr>
        <w:tabs>
          <w:tab w:val="left" w:pos="0"/>
        </w:tabs>
        <w:spacing w:line="360" w:lineRule="auto"/>
        <w:ind w:firstLine="720"/>
        <w:jc w:val="both"/>
      </w:pPr>
      <w:r>
        <w:t xml:space="preserve">Šiuo metu Socialinių išmokų poskyrio </w:t>
      </w:r>
      <w:bookmarkStart w:id="3" w:name="_Hlk124866075"/>
      <w:r>
        <w:t>vyresniųjų socialinių išmokų specialisto</w:t>
      </w:r>
      <w:bookmarkEnd w:id="3"/>
      <w:r>
        <w:t xml:space="preserve"> pareigybių skaičius</w:t>
      </w:r>
      <w:r w:rsidR="007D0623">
        <w:t xml:space="preserve"> </w:t>
      </w:r>
      <w:r>
        <w:t>yra 17. S</w:t>
      </w:r>
      <w:r w:rsidRPr="00102BFC">
        <w:t xml:space="preserve">iekiant </w:t>
      </w:r>
      <w:r w:rsidRPr="00102BFC">
        <w:rPr>
          <w:noProof/>
          <w:color w:val="222222"/>
          <w:shd w:val="clear" w:color="auto" w:fill="FFFFFF"/>
        </w:rPr>
        <w:t>užtikrinti socialinių išmokų ir piniginės socialinės paramos teikimą Panevėžio miesto gyventojams</w:t>
      </w:r>
      <w:r w:rsidRPr="00102BFC">
        <w:t xml:space="preserve"> teisės </w:t>
      </w:r>
      <w:r w:rsidR="004C20A3">
        <w:t>aktų</w:t>
      </w:r>
      <w:r w:rsidRPr="00102BFC">
        <w:t xml:space="preserve"> nustatytais terminais</w:t>
      </w:r>
      <w:r w:rsidR="00047414">
        <w:t>,</w:t>
      </w:r>
      <w:r>
        <w:t xml:space="preserve"> steigi</w:t>
      </w:r>
      <w:r w:rsidR="00047414">
        <w:t>amos</w:t>
      </w:r>
      <w:r>
        <w:t xml:space="preserve"> </w:t>
      </w:r>
      <w:r w:rsidR="00047414">
        <w:t>2</w:t>
      </w:r>
      <w:r>
        <w:t xml:space="preserve"> papildom</w:t>
      </w:r>
      <w:r w:rsidR="00047414">
        <w:t>os</w:t>
      </w:r>
      <w:r w:rsidRPr="00102BFC">
        <w:t xml:space="preserve"> socialinių išmokų specialisto pareigyb</w:t>
      </w:r>
      <w:r w:rsidR="004C20A3">
        <w:t>ės</w:t>
      </w:r>
      <w:r>
        <w:t>.</w:t>
      </w:r>
    </w:p>
    <w:p w14:paraId="2BB58DE2" w14:textId="4D5AF400" w:rsidR="00DE6688" w:rsidRPr="00B332F8" w:rsidRDefault="007D0623" w:rsidP="007D0623">
      <w:pPr>
        <w:tabs>
          <w:tab w:val="left" w:pos="0"/>
        </w:tabs>
        <w:spacing w:line="360" w:lineRule="auto"/>
        <w:ind w:firstLine="720"/>
        <w:jc w:val="both"/>
      </w:pPr>
      <w:r>
        <w:t xml:space="preserve">Atsižvelgiant į tai, kas išdėstyta, siūloma </w:t>
      </w:r>
      <w:r w:rsidR="004C20A3">
        <w:t xml:space="preserve">padidinti pareigybių skaičių 8 pareigybėmis ir </w:t>
      </w:r>
      <w:r>
        <w:t xml:space="preserve">patvirtinti didžiausią leistiną Panevėžio miesto savivaldybės administracijos valstybės tarnautojų ir darbuotojų, dirbančių pagal darbo sutartis, </w:t>
      </w:r>
      <w:r w:rsidR="004C20A3">
        <w:t xml:space="preserve">pareigybių </w:t>
      </w:r>
      <w:r>
        <w:t>skaičių 269.</w:t>
      </w:r>
    </w:p>
    <w:p w14:paraId="444AEEDD" w14:textId="77777777" w:rsidR="00DE6F9B" w:rsidRDefault="00D83A57" w:rsidP="00DE6F9B">
      <w:pPr>
        <w:tabs>
          <w:tab w:val="left" w:pos="0"/>
        </w:tabs>
        <w:spacing w:line="360" w:lineRule="auto"/>
        <w:ind w:firstLine="720"/>
        <w:jc w:val="both"/>
        <w:rPr>
          <w:b/>
        </w:rPr>
      </w:pPr>
      <w:r w:rsidRPr="00B332F8">
        <w:rPr>
          <w:b/>
        </w:rPr>
        <w:t>4.</w:t>
      </w:r>
      <w:r w:rsidR="00E86C4C" w:rsidRPr="00B332F8">
        <w:rPr>
          <w:b/>
        </w:rPr>
        <w:t xml:space="preserve"> </w:t>
      </w:r>
      <w:r w:rsidRPr="00B332F8">
        <w:rPr>
          <w:b/>
        </w:rPr>
        <w:t xml:space="preserve">Skaičiavimai, išlaidų sąmatos, finansavimo šaltiniai: </w:t>
      </w:r>
    </w:p>
    <w:p w14:paraId="4C4156D6" w14:textId="3062F9EC" w:rsidR="007D0623" w:rsidRPr="007D0623" w:rsidRDefault="007D0623" w:rsidP="00DE6F9B">
      <w:pPr>
        <w:tabs>
          <w:tab w:val="left" w:pos="0"/>
        </w:tabs>
        <w:spacing w:line="360" w:lineRule="auto"/>
        <w:ind w:firstLine="720"/>
        <w:jc w:val="both"/>
      </w:pPr>
      <w:r w:rsidRPr="007D0623">
        <w:t xml:space="preserve">Tarybos veiklos administravimo </w:t>
      </w:r>
      <w:r>
        <w:t>skyriaus pareigybės būtų finansuojamos, perskirstant Savivaldybės biudžeto lėšas tarp priemonių: iš priemonės „organizuoti Savivaldybės tarybos ir mero sekretoriato darbą“ dalis lėšų būtų perkeliama į priemonę „organizuoti Savivaldybės administracijos darbą“.</w:t>
      </w:r>
    </w:p>
    <w:p w14:paraId="01AD393F" w14:textId="75B1C596" w:rsidR="007D0623" w:rsidRDefault="007D0623" w:rsidP="00DE6F9B">
      <w:pPr>
        <w:tabs>
          <w:tab w:val="left" w:pos="0"/>
        </w:tabs>
        <w:spacing w:line="360" w:lineRule="auto"/>
        <w:ind w:firstLine="720"/>
        <w:jc w:val="both"/>
      </w:pPr>
      <w:r w:rsidRPr="007D0623">
        <w:t>Socialinių išmokų specialistų pareigybės būtų finansuojamos valstybės biudžeto  išmokų vaikams, socialinei paramai mokiniams, tikslinių kompensacijų  ir savivaldybės biudžeto  piniginei socialinei paramos pagal LR Piniginės socialinės paramos nepasiturintiems gyventojams įstatymą gaunamomis lėšomis</w:t>
      </w:r>
      <w:r>
        <w:t>.</w:t>
      </w:r>
    </w:p>
    <w:p w14:paraId="354F7214" w14:textId="04E3A730" w:rsidR="004C20A3" w:rsidRPr="007D0623" w:rsidRDefault="004C20A3" w:rsidP="004D3C2F">
      <w:pPr>
        <w:tabs>
          <w:tab w:val="left" w:pos="0"/>
        </w:tabs>
        <w:spacing w:line="360" w:lineRule="auto"/>
        <w:ind w:firstLine="720"/>
        <w:jc w:val="both"/>
      </w:pPr>
      <w:r>
        <w:lastRenderedPageBreak/>
        <w:t xml:space="preserve">Projektų vadovų </w:t>
      </w:r>
      <w:r w:rsidR="001C4A37">
        <w:t xml:space="preserve">pareiginių algų koeficientus nustatys Savivaldybės administracijos direktorius </w:t>
      </w:r>
      <w:r w:rsidR="001C4A37">
        <w:rPr>
          <w:color w:val="000000"/>
          <w:spacing w:val="2"/>
        </w:rPr>
        <w:t>pagal Valstybės ir savivaldybių įstaigų darbuotojų darbo apmokėjimo ir komisijų narių atlygio už darbą įstatymo nuostatas, atsižvelgiant į darbuotojo pareigybės lygį ir profesinio darbo patirtį (6–13).</w:t>
      </w:r>
    </w:p>
    <w:p w14:paraId="77C4EA54" w14:textId="77777777" w:rsidR="00D83A57" w:rsidRPr="00B332F8" w:rsidRDefault="0026732C" w:rsidP="0026732C">
      <w:pPr>
        <w:tabs>
          <w:tab w:val="left" w:pos="0"/>
        </w:tabs>
        <w:spacing w:line="360" w:lineRule="auto"/>
        <w:ind w:firstLine="720"/>
        <w:jc w:val="both"/>
      </w:pPr>
      <w:r w:rsidRPr="00B332F8">
        <w:rPr>
          <w:b/>
        </w:rPr>
        <w:t xml:space="preserve">5. Galimos neigiamos pasekmės priėmus sprendimą, kokių priemonių reikėtų imtis, </w:t>
      </w:r>
      <w:r w:rsidR="00D83A57" w:rsidRPr="00B332F8">
        <w:rPr>
          <w:b/>
        </w:rPr>
        <w:t>išvengta</w:t>
      </w:r>
      <w:r w:rsidR="002A3891" w:rsidRPr="00B332F8">
        <w:t xml:space="preserve">: </w:t>
      </w:r>
      <w:r w:rsidR="00D83A57" w:rsidRPr="00B332F8">
        <w:t>nėra.</w:t>
      </w:r>
    </w:p>
    <w:p w14:paraId="77C4EA55" w14:textId="77777777" w:rsidR="00D83A57" w:rsidRPr="00B332F8" w:rsidRDefault="00D83A57" w:rsidP="00D83A57">
      <w:pPr>
        <w:tabs>
          <w:tab w:val="left" w:pos="0"/>
        </w:tabs>
        <w:spacing w:line="360" w:lineRule="auto"/>
        <w:ind w:firstLine="720"/>
        <w:jc w:val="both"/>
      </w:pPr>
      <w:r w:rsidRPr="00B332F8">
        <w:rPr>
          <w:b/>
        </w:rPr>
        <w:t>6.</w:t>
      </w:r>
      <w:r w:rsidR="008F7A51" w:rsidRPr="00B332F8">
        <w:rPr>
          <w:b/>
        </w:rPr>
        <w:t xml:space="preserve"> </w:t>
      </w:r>
      <w:r w:rsidRPr="00B332F8">
        <w:rPr>
          <w:b/>
        </w:rPr>
        <w:t>Kieno iniciatyva parengtas sprendimo projektas:</w:t>
      </w:r>
      <w:r w:rsidRPr="00B332F8">
        <w:t xml:space="preserve"> </w:t>
      </w:r>
      <w:r w:rsidR="00BB7698" w:rsidRPr="00B332F8">
        <w:t>Savivaldybės administracijos.</w:t>
      </w:r>
    </w:p>
    <w:p w14:paraId="77C4EA57" w14:textId="77777777" w:rsidR="00434584" w:rsidRDefault="00434584" w:rsidP="00434584">
      <w:pPr>
        <w:spacing w:line="360" w:lineRule="auto"/>
        <w:jc w:val="both"/>
      </w:pPr>
    </w:p>
    <w:p w14:paraId="77C4EA58" w14:textId="77777777" w:rsidR="00434584" w:rsidRPr="00B332F8" w:rsidRDefault="00434584" w:rsidP="00434584">
      <w:pPr>
        <w:spacing w:line="360" w:lineRule="auto"/>
        <w:jc w:val="both"/>
      </w:pPr>
      <w:r>
        <w:t>Vidaus administravimo</w:t>
      </w:r>
      <w:r w:rsidRPr="00B332F8">
        <w:t xml:space="preserve"> skyriaus </w:t>
      </w:r>
      <w:r w:rsidR="00536F4F">
        <w:t>vedėja</w:t>
      </w:r>
      <w:r w:rsidR="00536F4F">
        <w:tab/>
      </w:r>
      <w:r w:rsidR="00536F4F">
        <w:tab/>
      </w:r>
      <w:r w:rsidR="00536F4F">
        <w:tab/>
      </w:r>
      <w:r w:rsidR="00536F4F">
        <w:tab/>
        <w:t>Sonata Vizorienė</w:t>
      </w:r>
    </w:p>
    <w:p w14:paraId="77C4EA59" w14:textId="77777777" w:rsidR="0076256E" w:rsidRPr="00B332F8" w:rsidRDefault="0076256E" w:rsidP="00434584">
      <w:pPr>
        <w:tabs>
          <w:tab w:val="left" w:pos="0"/>
        </w:tabs>
        <w:spacing w:line="360" w:lineRule="auto"/>
        <w:ind w:firstLine="720"/>
        <w:jc w:val="both"/>
      </w:pPr>
    </w:p>
    <w:sectPr w:rsidR="0076256E" w:rsidRPr="00B332F8" w:rsidSect="00A5252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058A24" w14:textId="77777777" w:rsidR="00D56D4E" w:rsidRDefault="00D56D4E" w:rsidP="00A52524">
      <w:r>
        <w:separator/>
      </w:r>
    </w:p>
  </w:endnote>
  <w:endnote w:type="continuationSeparator" w:id="0">
    <w:p w14:paraId="53B235D4" w14:textId="77777777" w:rsidR="00D56D4E" w:rsidRDefault="00D56D4E"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B46543" w14:textId="77777777" w:rsidR="00D56D4E" w:rsidRDefault="00D56D4E" w:rsidP="00A52524">
      <w:r>
        <w:separator/>
      </w:r>
    </w:p>
  </w:footnote>
  <w:footnote w:type="continuationSeparator" w:id="0">
    <w:p w14:paraId="45CFDEA0" w14:textId="77777777" w:rsidR="00D56D4E" w:rsidRDefault="00D56D4E" w:rsidP="00A52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4EA5E" w14:textId="77777777" w:rsidR="00A52524" w:rsidRDefault="00A52524">
    <w:pPr>
      <w:pStyle w:val="Antrats"/>
      <w:jc w:val="center"/>
    </w:pPr>
    <w:r>
      <w:fldChar w:fldCharType="begin"/>
    </w:r>
    <w:r>
      <w:instrText>PAGE   \* MERGEFORMAT</w:instrText>
    </w:r>
    <w:r>
      <w:fldChar w:fldCharType="separate"/>
    </w:r>
    <w:r w:rsidR="00DE0B1F">
      <w:rPr>
        <w:noProof/>
      </w:rPr>
      <w:t>3</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6DD"/>
    <w:rsid w:val="00000792"/>
    <w:rsid w:val="00000D58"/>
    <w:rsid w:val="0001413A"/>
    <w:rsid w:val="00014C86"/>
    <w:rsid w:val="0003001F"/>
    <w:rsid w:val="0004567B"/>
    <w:rsid w:val="00047414"/>
    <w:rsid w:val="0006183E"/>
    <w:rsid w:val="00066E6B"/>
    <w:rsid w:val="00066EF6"/>
    <w:rsid w:val="00081D67"/>
    <w:rsid w:val="000913B9"/>
    <w:rsid w:val="000C3941"/>
    <w:rsid w:val="000D4A32"/>
    <w:rsid w:val="000E2F3E"/>
    <w:rsid w:val="000F47FD"/>
    <w:rsid w:val="00104049"/>
    <w:rsid w:val="00114AEB"/>
    <w:rsid w:val="00117E43"/>
    <w:rsid w:val="00133661"/>
    <w:rsid w:val="001352EF"/>
    <w:rsid w:val="001453E9"/>
    <w:rsid w:val="0014744F"/>
    <w:rsid w:val="00155035"/>
    <w:rsid w:val="00155DE4"/>
    <w:rsid w:val="00163CB6"/>
    <w:rsid w:val="0017148A"/>
    <w:rsid w:val="001744F5"/>
    <w:rsid w:val="00185F27"/>
    <w:rsid w:val="001868E5"/>
    <w:rsid w:val="00192CD8"/>
    <w:rsid w:val="001A3516"/>
    <w:rsid w:val="001B1B5A"/>
    <w:rsid w:val="001B7CE4"/>
    <w:rsid w:val="001C4A37"/>
    <w:rsid w:val="001C7E22"/>
    <w:rsid w:val="001D0CFA"/>
    <w:rsid w:val="001D2243"/>
    <w:rsid w:val="001D340A"/>
    <w:rsid w:val="001D610D"/>
    <w:rsid w:val="001D7D66"/>
    <w:rsid w:val="001E2E0C"/>
    <w:rsid w:val="001F6739"/>
    <w:rsid w:val="00201025"/>
    <w:rsid w:val="00207563"/>
    <w:rsid w:val="002078F7"/>
    <w:rsid w:val="00210927"/>
    <w:rsid w:val="00213AB9"/>
    <w:rsid w:val="002225AF"/>
    <w:rsid w:val="00224D53"/>
    <w:rsid w:val="002265FB"/>
    <w:rsid w:val="00250B20"/>
    <w:rsid w:val="00252546"/>
    <w:rsid w:val="00265C97"/>
    <w:rsid w:val="0026732C"/>
    <w:rsid w:val="00267684"/>
    <w:rsid w:val="00272359"/>
    <w:rsid w:val="00283C28"/>
    <w:rsid w:val="002872EB"/>
    <w:rsid w:val="002914C2"/>
    <w:rsid w:val="0029446D"/>
    <w:rsid w:val="00294868"/>
    <w:rsid w:val="002A3891"/>
    <w:rsid w:val="002A73A9"/>
    <w:rsid w:val="002B3A6A"/>
    <w:rsid w:val="002B502F"/>
    <w:rsid w:val="002B772E"/>
    <w:rsid w:val="002D7495"/>
    <w:rsid w:val="002E1C63"/>
    <w:rsid w:val="002F02BD"/>
    <w:rsid w:val="002F294E"/>
    <w:rsid w:val="003167E2"/>
    <w:rsid w:val="003301AE"/>
    <w:rsid w:val="0037426A"/>
    <w:rsid w:val="003762B9"/>
    <w:rsid w:val="003854E9"/>
    <w:rsid w:val="003B3161"/>
    <w:rsid w:val="003B3767"/>
    <w:rsid w:val="003B6813"/>
    <w:rsid w:val="003B69B1"/>
    <w:rsid w:val="003C36C1"/>
    <w:rsid w:val="003D3883"/>
    <w:rsid w:val="003D3B6D"/>
    <w:rsid w:val="003D6483"/>
    <w:rsid w:val="003E23AE"/>
    <w:rsid w:val="003E3032"/>
    <w:rsid w:val="004022A3"/>
    <w:rsid w:val="00404560"/>
    <w:rsid w:val="00413ACE"/>
    <w:rsid w:val="00421857"/>
    <w:rsid w:val="00434584"/>
    <w:rsid w:val="00441287"/>
    <w:rsid w:val="00450256"/>
    <w:rsid w:val="00462829"/>
    <w:rsid w:val="004A5AF0"/>
    <w:rsid w:val="004B1BA5"/>
    <w:rsid w:val="004B7BC3"/>
    <w:rsid w:val="004C20A3"/>
    <w:rsid w:val="004D3C2F"/>
    <w:rsid w:val="004E51DD"/>
    <w:rsid w:val="004E5D2B"/>
    <w:rsid w:val="004F24E2"/>
    <w:rsid w:val="00520C5A"/>
    <w:rsid w:val="00531FD1"/>
    <w:rsid w:val="005336FE"/>
    <w:rsid w:val="00536F4F"/>
    <w:rsid w:val="00573BD9"/>
    <w:rsid w:val="00576615"/>
    <w:rsid w:val="0059465A"/>
    <w:rsid w:val="005A2B5B"/>
    <w:rsid w:val="005B0280"/>
    <w:rsid w:val="005B5240"/>
    <w:rsid w:val="005B707F"/>
    <w:rsid w:val="005C0E53"/>
    <w:rsid w:val="005C4A05"/>
    <w:rsid w:val="005E3704"/>
    <w:rsid w:val="00616B3D"/>
    <w:rsid w:val="0061776C"/>
    <w:rsid w:val="00624480"/>
    <w:rsid w:val="00626CE6"/>
    <w:rsid w:val="00644363"/>
    <w:rsid w:val="00647385"/>
    <w:rsid w:val="006539FD"/>
    <w:rsid w:val="00670701"/>
    <w:rsid w:val="00683C22"/>
    <w:rsid w:val="006961FD"/>
    <w:rsid w:val="006A041A"/>
    <w:rsid w:val="006A5BC0"/>
    <w:rsid w:val="006A7494"/>
    <w:rsid w:val="006B18C5"/>
    <w:rsid w:val="006D3591"/>
    <w:rsid w:val="006D4D71"/>
    <w:rsid w:val="006D5BC6"/>
    <w:rsid w:val="00712ADB"/>
    <w:rsid w:val="00714A6C"/>
    <w:rsid w:val="00722BA8"/>
    <w:rsid w:val="00740A90"/>
    <w:rsid w:val="00741BFD"/>
    <w:rsid w:val="0074446C"/>
    <w:rsid w:val="0075269D"/>
    <w:rsid w:val="0076256E"/>
    <w:rsid w:val="00771CC1"/>
    <w:rsid w:val="00782050"/>
    <w:rsid w:val="0078280A"/>
    <w:rsid w:val="00783235"/>
    <w:rsid w:val="00786E45"/>
    <w:rsid w:val="0079663E"/>
    <w:rsid w:val="007A163E"/>
    <w:rsid w:val="007A3BDE"/>
    <w:rsid w:val="007C601B"/>
    <w:rsid w:val="007D0623"/>
    <w:rsid w:val="007D7B8A"/>
    <w:rsid w:val="007F60AF"/>
    <w:rsid w:val="00807B2C"/>
    <w:rsid w:val="00812E50"/>
    <w:rsid w:val="00817123"/>
    <w:rsid w:val="00821D84"/>
    <w:rsid w:val="0083069B"/>
    <w:rsid w:val="008310AE"/>
    <w:rsid w:val="008449A7"/>
    <w:rsid w:val="00845E4A"/>
    <w:rsid w:val="008674C1"/>
    <w:rsid w:val="00874356"/>
    <w:rsid w:val="008801C6"/>
    <w:rsid w:val="00883E7D"/>
    <w:rsid w:val="0089215A"/>
    <w:rsid w:val="008C6757"/>
    <w:rsid w:val="008D23DF"/>
    <w:rsid w:val="008D6C97"/>
    <w:rsid w:val="008F3CEE"/>
    <w:rsid w:val="008F7A51"/>
    <w:rsid w:val="009022A5"/>
    <w:rsid w:val="009129F1"/>
    <w:rsid w:val="009177AB"/>
    <w:rsid w:val="0092588B"/>
    <w:rsid w:val="00931AEB"/>
    <w:rsid w:val="00931EE1"/>
    <w:rsid w:val="00964813"/>
    <w:rsid w:val="00965126"/>
    <w:rsid w:val="0097074B"/>
    <w:rsid w:val="00994919"/>
    <w:rsid w:val="009A020D"/>
    <w:rsid w:val="009A5FF0"/>
    <w:rsid w:val="009B0664"/>
    <w:rsid w:val="009B4236"/>
    <w:rsid w:val="009C41D2"/>
    <w:rsid w:val="009D143C"/>
    <w:rsid w:val="009E54C7"/>
    <w:rsid w:val="009E6D9A"/>
    <w:rsid w:val="009F21B3"/>
    <w:rsid w:val="009F21F7"/>
    <w:rsid w:val="00A00395"/>
    <w:rsid w:val="00A202DC"/>
    <w:rsid w:val="00A26F16"/>
    <w:rsid w:val="00A30713"/>
    <w:rsid w:val="00A32CC5"/>
    <w:rsid w:val="00A52524"/>
    <w:rsid w:val="00A712F3"/>
    <w:rsid w:val="00A719D0"/>
    <w:rsid w:val="00A8785C"/>
    <w:rsid w:val="00A87C7C"/>
    <w:rsid w:val="00A901A7"/>
    <w:rsid w:val="00A94900"/>
    <w:rsid w:val="00AA18CF"/>
    <w:rsid w:val="00AA781A"/>
    <w:rsid w:val="00AB796F"/>
    <w:rsid w:val="00AC1F11"/>
    <w:rsid w:val="00AC2FFA"/>
    <w:rsid w:val="00AD5374"/>
    <w:rsid w:val="00AF58BA"/>
    <w:rsid w:val="00B0021B"/>
    <w:rsid w:val="00B03B39"/>
    <w:rsid w:val="00B068B5"/>
    <w:rsid w:val="00B06BEE"/>
    <w:rsid w:val="00B15200"/>
    <w:rsid w:val="00B332F8"/>
    <w:rsid w:val="00B3422D"/>
    <w:rsid w:val="00B42A26"/>
    <w:rsid w:val="00B503AA"/>
    <w:rsid w:val="00B72FC6"/>
    <w:rsid w:val="00B7349A"/>
    <w:rsid w:val="00B813E5"/>
    <w:rsid w:val="00B86A53"/>
    <w:rsid w:val="00BA1BE5"/>
    <w:rsid w:val="00BB1560"/>
    <w:rsid w:val="00BB7453"/>
    <w:rsid w:val="00BB7698"/>
    <w:rsid w:val="00BD1257"/>
    <w:rsid w:val="00BD74AC"/>
    <w:rsid w:val="00BF2481"/>
    <w:rsid w:val="00BF268C"/>
    <w:rsid w:val="00BF739D"/>
    <w:rsid w:val="00C000DF"/>
    <w:rsid w:val="00C04247"/>
    <w:rsid w:val="00C06F03"/>
    <w:rsid w:val="00C11539"/>
    <w:rsid w:val="00C23689"/>
    <w:rsid w:val="00C25760"/>
    <w:rsid w:val="00C41AA1"/>
    <w:rsid w:val="00C5176B"/>
    <w:rsid w:val="00C6045F"/>
    <w:rsid w:val="00C661EB"/>
    <w:rsid w:val="00C83D58"/>
    <w:rsid w:val="00C906DE"/>
    <w:rsid w:val="00CA0399"/>
    <w:rsid w:val="00CA0EF1"/>
    <w:rsid w:val="00CA47D8"/>
    <w:rsid w:val="00CA5474"/>
    <w:rsid w:val="00CB02C9"/>
    <w:rsid w:val="00CC0DF0"/>
    <w:rsid w:val="00CC3385"/>
    <w:rsid w:val="00CE0993"/>
    <w:rsid w:val="00CE217C"/>
    <w:rsid w:val="00CE7152"/>
    <w:rsid w:val="00CE7CE2"/>
    <w:rsid w:val="00CF451D"/>
    <w:rsid w:val="00D174C7"/>
    <w:rsid w:val="00D21554"/>
    <w:rsid w:val="00D25E94"/>
    <w:rsid w:val="00D26D28"/>
    <w:rsid w:val="00D27DAE"/>
    <w:rsid w:val="00D432A9"/>
    <w:rsid w:val="00D536E3"/>
    <w:rsid w:val="00D56D4E"/>
    <w:rsid w:val="00D627C1"/>
    <w:rsid w:val="00D767EA"/>
    <w:rsid w:val="00D82483"/>
    <w:rsid w:val="00D83A57"/>
    <w:rsid w:val="00D872F8"/>
    <w:rsid w:val="00D93128"/>
    <w:rsid w:val="00D96B8F"/>
    <w:rsid w:val="00DA31DC"/>
    <w:rsid w:val="00DA4550"/>
    <w:rsid w:val="00DB1804"/>
    <w:rsid w:val="00DC1E3B"/>
    <w:rsid w:val="00DE0B1F"/>
    <w:rsid w:val="00DE6688"/>
    <w:rsid w:val="00DE6F9B"/>
    <w:rsid w:val="00E01918"/>
    <w:rsid w:val="00E129C4"/>
    <w:rsid w:val="00E34311"/>
    <w:rsid w:val="00E350BE"/>
    <w:rsid w:val="00E53864"/>
    <w:rsid w:val="00E53CC3"/>
    <w:rsid w:val="00E54BAF"/>
    <w:rsid w:val="00E57C7E"/>
    <w:rsid w:val="00E61173"/>
    <w:rsid w:val="00E74C4A"/>
    <w:rsid w:val="00E86C4C"/>
    <w:rsid w:val="00E909FE"/>
    <w:rsid w:val="00E936DD"/>
    <w:rsid w:val="00EA2E59"/>
    <w:rsid w:val="00EA6E14"/>
    <w:rsid w:val="00EB3D70"/>
    <w:rsid w:val="00ED0D98"/>
    <w:rsid w:val="00ED441B"/>
    <w:rsid w:val="00ED54EC"/>
    <w:rsid w:val="00ED7CF4"/>
    <w:rsid w:val="00EE06A7"/>
    <w:rsid w:val="00F56BB8"/>
    <w:rsid w:val="00F86497"/>
    <w:rsid w:val="00F86A79"/>
    <w:rsid w:val="00F86A89"/>
    <w:rsid w:val="00F903A6"/>
    <w:rsid w:val="00FA082B"/>
    <w:rsid w:val="00FA6480"/>
    <w:rsid w:val="00FA67D5"/>
    <w:rsid w:val="00FA7A31"/>
    <w:rsid w:val="00FB0925"/>
    <w:rsid w:val="00FC2218"/>
    <w:rsid w:val="00FC3D61"/>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1025</Words>
  <Characters>7814</Characters>
  <Application>Microsoft Office Word</Application>
  <DocSecurity>4</DocSecurity>
  <Lines>65</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8822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2023-02-06T06:17:00Z</dcterms:created>
  <dcterms:modified xsi:type="dcterms:W3CDTF">2023-02-06T06:17:00Z</dcterms:modified>
</cp:coreProperties>
</file>