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D9BA2" w14:textId="77777777" w:rsidR="00F73509" w:rsidRDefault="009F251C">
      <w:pPr>
        <w:pStyle w:val="Antrats1"/>
        <w:jc w:val="center"/>
        <w:rPr>
          <w:sz w:val="16"/>
          <w:szCs w:val="16"/>
        </w:rPr>
      </w:pPr>
      <w:bookmarkStart w:id="0" w:name="_GoBack"/>
      <w:bookmarkEnd w:id="0"/>
      <w:r>
        <w:rPr>
          <w:noProof/>
        </w:rPr>
        <w:drawing>
          <wp:inline distT="0" distB="0" distL="0" distR="0" wp14:anchorId="266D9BE3" wp14:editId="266D9BE4">
            <wp:extent cx="1314450" cy="552450"/>
            <wp:effectExtent l="0" t="0" r="0" b="0"/>
            <wp:docPr id="1" name="Picture 4" descr="PKM 2017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PKM 2017 logo jpg"/>
                    <pic:cNvPicPr>
                      <a:picLocks noChangeAspect="1" noChangeArrowheads="1"/>
                    </pic:cNvPicPr>
                  </pic:nvPicPr>
                  <pic:blipFill>
                    <a:blip r:embed="rId6"/>
                    <a:stretch>
                      <a:fillRect/>
                    </a:stretch>
                  </pic:blipFill>
                  <pic:spPr bwMode="auto">
                    <a:xfrm>
                      <a:off x="0" y="0"/>
                      <a:ext cx="1314450" cy="552450"/>
                    </a:xfrm>
                    <a:prstGeom prst="rect">
                      <a:avLst/>
                    </a:prstGeom>
                  </pic:spPr>
                </pic:pic>
              </a:graphicData>
            </a:graphic>
          </wp:inline>
        </w:drawing>
      </w:r>
    </w:p>
    <w:p w14:paraId="266D9BA3" w14:textId="77777777" w:rsidR="00F73509" w:rsidRDefault="009F251C">
      <w:pPr>
        <w:jc w:val="center"/>
        <w:rPr>
          <w:b/>
          <w:sz w:val="28"/>
          <w:szCs w:val="28"/>
        </w:rPr>
      </w:pPr>
      <w:r>
        <w:rPr>
          <w:b/>
          <w:sz w:val="28"/>
          <w:szCs w:val="28"/>
        </w:rPr>
        <w:t>PANEVĖŽIO KRAŠTOTYROS MUZIEJUS</w:t>
      </w:r>
    </w:p>
    <w:p w14:paraId="266D9BA4" w14:textId="77777777" w:rsidR="00F73509" w:rsidRDefault="00F73509">
      <w:pPr>
        <w:jc w:val="center"/>
        <w:rPr>
          <w:b/>
          <w:sz w:val="10"/>
          <w:szCs w:val="10"/>
        </w:rPr>
      </w:pPr>
    </w:p>
    <w:p w14:paraId="266D9BA5" w14:textId="77777777" w:rsidR="00F73509" w:rsidRDefault="009F251C">
      <w:pPr>
        <w:jc w:val="center"/>
        <w:rPr>
          <w:sz w:val="20"/>
          <w:szCs w:val="20"/>
        </w:rPr>
      </w:pPr>
      <w:r>
        <w:rPr>
          <w:sz w:val="20"/>
          <w:szCs w:val="20"/>
        </w:rPr>
        <w:t xml:space="preserve">Biudžetinė įstaiga, Vasario 16-osios g. 23, LT-35185 Panevėžys, </w:t>
      </w:r>
    </w:p>
    <w:p w14:paraId="266D9BA6" w14:textId="77777777" w:rsidR="00F73509" w:rsidRDefault="009F251C">
      <w:pPr>
        <w:jc w:val="center"/>
        <w:rPr>
          <w:sz w:val="20"/>
          <w:szCs w:val="20"/>
        </w:rPr>
      </w:pPr>
      <w:r>
        <w:rPr>
          <w:sz w:val="20"/>
          <w:szCs w:val="20"/>
        </w:rPr>
        <w:t xml:space="preserve">tel. (8 45) 46 19 73, (8 45) 46 23 31, el. p. </w:t>
      </w:r>
      <w:proofErr w:type="spellStart"/>
      <w:r>
        <w:rPr>
          <w:sz w:val="20"/>
          <w:szCs w:val="20"/>
        </w:rPr>
        <w:t>administracija@paneveziomuziejus.lt</w:t>
      </w:r>
      <w:proofErr w:type="spellEnd"/>
      <w:r>
        <w:rPr>
          <w:sz w:val="20"/>
          <w:szCs w:val="20"/>
        </w:rPr>
        <w:t>, www.paneveziomuziejus.lt</w:t>
      </w:r>
    </w:p>
    <w:p w14:paraId="266D9BA7" w14:textId="77777777" w:rsidR="00F73509" w:rsidRDefault="009F251C">
      <w:pPr>
        <w:jc w:val="center"/>
        <w:rPr>
          <w:sz w:val="20"/>
          <w:szCs w:val="20"/>
        </w:rPr>
      </w:pPr>
      <w:r>
        <w:rPr>
          <w:sz w:val="20"/>
          <w:szCs w:val="20"/>
        </w:rPr>
        <w:t xml:space="preserve">Duomenys kaupiami ir saugomi Juridinių asmenų </w:t>
      </w:r>
      <w:r>
        <w:rPr>
          <w:sz w:val="20"/>
          <w:szCs w:val="20"/>
        </w:rPr>
        <w:t>registre, kodas 190431446</w:t>
      </w:r>
    </w:p>
    <w:p w14:paraId="266D9BA8" w14:textId="77777777" w:rsidR="00F73509" w:rsidRDefault="009F251C">
      <w:r>
        <w:rPr>
          <w:noProof/>
        </w:rPr>
        <mc:AlternateContent>
          <mc:Choice Requires="wps">
            <w:drawing>
              <wp:anchor distT="635" distB="635" distL="635" distR="635" simplePos="0" relativeHeight="3" behindDoc="0" locked="0" layoutInCell="0" allowOverlap="1" wp14:anchorId="266D9BE5" wp14:editId="266D9BE6">
                <wp:simplePos x="0" y="0"/>
                <wp:positionH relativeFrom="column">
                  <wp:posOffset>180975</wp:posOffset>
                </wp:positionH>
                <wp:positionV relativeFrom="paragraph">
                  <wp:posOffset>28575</wp:posOffset>
                </wp:positionV>
                <wp:extent cx="5593715" cy="0"/>
                <wp:effectExtent l="635" t="635" r="635" b="635"/>
                <wp:wrapNone/>
                <wp:docPr id="2" name="shape_0"/>
                <wp:cNvGraphicFramePr/>
                <a:graphic xmlns:a="http://schemas.openxmlformats.org/drawingml/2006/main">
                  <a:graphicData uri="http://schemas.microsoft.com/office/word/2010/wordprocessingShape">
                    <wps:wsp>
                      <wps:cNvCnPr/>
                      <wps:spPr>
                        <a:xfrm>
                          <a:off x="0" y="0"/>
                          <a:ext cx="5593680" cy="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17EBF806" id="shape_0" o:spid="_x0000_s1026" style="position:absolute;z-index:3;visibility:visible;mso-wrap-style:square;mso-wrap-distance-left:.05pt;mso-wrap-distance-top:.05pt;mso-wrap-distance-right:.05pt;mso-wrap-distance-bottom:.05pt;mso-position-horizontal:absolute;mso-position-horizontal-relative:text;mso-position-vertical:absolute;mso-position-vertical-relative:text" from="14.25pt,2.25pt" to="454.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" o:allowincell="f" strokeweight="0"/>
            </w:pict>
          </mc:Fallback>
        </mc:AlternateContent>
      </w:r>
    </w:p>
    <w:p w14:paraId="266D9BA9" w14:textId="77777777" w:rsidR="00F73509" w:rsidRDefault="00F73509">
      <w:pPr>
        <w:rPr>
          <w:sz w:val="20"/>
          <w:szCs w:val="20"/>
        </w:rPr>
      </w:pPr>
    </w:p>
    <w:tbl>
      <w:tblPr>
        <w:tblW w:w="10298" w:type="dxa"/>
        <w:tblInd w:w="109" w:type="dxa"/>
        <w:tblLayout w:type="fixed"/>
        <w:tblLook w:val="0000" w:firstRow="0" w:lastRow="0" w:firstColumn="0" w:lastColumn="0" w:noHBand="0" w:noVBand="0"/>
      </w:tblPr>
      <w:tblGrid>
        <w:gridCol w:w="3655"/>
        <w:gridCol w:w="738"/>
        <w:gridCol w:w="428"/>
        <w:gridCol w:w="539"/>
        <w:gridCol w:w="27"/>
        <w:gridCol w:w="1703"/>
        <w:gridCol w:w="565"/>
        <w:gridCol w:w="852"/>
        <w:gridCol w:w="1082"/>
        <w:gridCol w:w="709"/>
      </w:tblGrid>
      <w:tr w:rsidR="00F73509" w14:paraId="266D9BB1" w14:textId="77777777">
        <w:trPr>
          <w:cantSplit/>
          <w:trHeight w:val="76"/>
        </w:trPr>
        <w:tc>
          <w:tcPr>
            <w:tcW w:w="4392" w:type="dxa"/>
            <w:gridSpan w:val="2"/>
            <w:vMerge w:val="restart"/>
            <w:shd w:val="clear" w:color="auto" w:fill="auto"/>
          </w:tcPr>
          <w:p w14:paraId="266D9BAA" w14:textId="77777777" w:rsidR="00F73509" w:rsidRDefault="009F251C">
            <w:pPr>
              <w:widowControl w:val="0"/>
            </w:pPr>
            <w:r>
              <w:t>Panevėžio miesto savivaldybės administracijos</w:t>
            </w:r>
          </w:p>
          <w:p w14:paraId="266D9BAB" w14:textId="77777777" w:rsidR="00F73509" w:rsidRDefault="009F251C">
            <w:pPr>
              <w:widowControl w:val="0"/>
            </w:pPr>
            <w:r>
              <w:t>Kultūros ir meno skyriui</w:t>
            </w:r>
          </w:p>
        </w:tc>
        <w:tc>
          <w:tcPr>
            <w:tcW w:w="428" w:type="dxa"/>
            <w:vMerge w:val="restart"/>
            <w:shd w:val="clear" w:color="auto" w:fill="auto"/>
          </w:tcPr>
          <w:p w14:paraId="266D9BAC" w14:textId="77777777" w:rsidR="00F73509" w:rsidRDefault="00F73509">
            <w:pPr>
              <w:widowControl w:val="0"/>
              <w:jc w:val="center"/>
            </w:pPr>
          </w:p>
        </w:tc>
        <w:tc>
          <w:tcPr>
            <w:tcW w:w="566" w:type="dxa"/>
            <w:gridSpan w:val="2"/>
            <w:shd w:val="clear" w:color="auto" w:fill="auto"/>
          </w:tcPr>
          <w:p w14:paraId="266D9BAD" w14:textId="77777777" w:rsidR="00F73509" w:rsidRDefault="00F73509">
            <w:pPr>
              <w:widowControl w:val="0"/>
            </w:pPr>
          </w:p>
        </w:tc>
        <w:tc>
          <w:tcPr>
            <w:tcW w:w="1703" w:type="dxa"/>
            <w:shd w:val="clear" w:color="auto" w:fill="auto"/>
          </w:tcPr>
          <w:p w14:paraId="266D9BAE" w14:textId="77777777" w:rsidR="00F73509" w:rsidRDefault="009F251C">
            <w:pPr>
              <w:widowControl w:val="0"/>
              <w:ind w:left="21"/>
            </w:pPr>
            <w:r>
              <w:t xml:space="preserve">   2023-</w:t>
            </w:r>
          </w:p>
        </w:tc>
        <w:tc>
          <w:tcPr>
            <w:tcW w:w="1417" w:type="dxa"/>
            <w:gridSpan w:val="2"/>
            <w:shd w:val="clear" w:color="auto" w:fill="auto"/>
          </w:tcPr>
          <w:p w14:paraId="266D9BAF" w14:textId="77777777" w:rsidR="00F73509" w:rsidRDefault="009F251C">
            <w:pPr>
              <w:widowControl w:val="0"/>
              <w:ind w:left="-112" w:right="-534"/>
            </w:pPr>
            <w:r>
              <w:t>Nr. S-</w:t>
            </w:r>
          </w:p>
        </w:tc>
        <w:tc>
          <w:tcPr>
            <w:tcW w:w="1791" w:type="dxa"/>
            <w:gridSpan w:val="2"/>
            <w:shd w:val="clear" w:color="auto" w:fill="auto"/>
          </w:tcPr>
          <w:p w14:paraId="266D9BB0" w14:textId="77777777" w:rsidR="00F73509" w:rsidRDefault="00F73509">
            <w:pPr>
              <w:widowControl w:val="0"/>
            </w:pPr>
          </w:p>
        </w:tc>
      </w:tr>
      <w:tr w:rsidR="00F73509" w14:paraId="266D9BB9" w14:textId="77777777">
        <w:trPr>
          <w:cantSplit/>
          <w:trHeight w:val="172"/>
        </w:trPr>
        <w:tc>
          <w:tcPr>
            <w:tcW w:w="4392" w:type="dxa"/>
            <w:gridSpan w:val="2"/>
            <w:vMerge/>
            <w:shd w:val="clear" w:color="auto" w:fill="auto"/>
          </w:tcPr>
          <w:p w14:paraId="266D9BB2" w14:textId="77777777" w:rsidR="00F73509" w:rsidRDefault="00F73509">
            <w:pPr>
              <w:widowControl w:val="0"/>
            </w:pPr>
          </w:p>
        </w:tc>
        <w:tc>
          <w:tcPr>
            <w:tcW w:w="428" w:type="dxa"/>
            <w:vMerge/>
            <w:shd w:val="clear" w:color="auto" w:fill="auto"/>
          </w:tcPr>
          <w:p w14:paraId="266D9BB3" w14:textId="77777777" w:rsidR="00F73509" w:rsidRDefault="00F73509">
            <w:pPr>
              <w:widowControl w:val="0"/>
              <w:jc w:val="center"/>
            </w:pPr>
          </w:p>
        </w:tc>
        <w:tc>
          <w:tcPr>
            <w:tcW w:w="566" w:type="dxa"/>
            <w:gridSpan w:val="2"/>
            <w:vMerge w:val="restart"/>
            <w:shd w:val="clear" w:color="auto" w:fill="auto"/>
          </w:tcPr>
          <w:p w14:paraId="266D9BB4" w14:textId="77777777" w:rsidR="00F73509" w:rsidRDefault="00F73509">
            <w:pPr>
              <w:widowControl w:val="0"/>
              <w:ind w:left="176"/>
              <w:jc w:val="both"/>
            </w:pPr>
          </w:p>
        </w:tc>
        <w:tc>
          <w:tcPr>
            <w:tcW w:w="1703" w:type="dxa"/>
            <w:shd w:val="clear" w:color="auto" w:fill="auto"/>
          </w:tcPr>
          <w:p w14:paraId="266D9BB5" w14:textId="77777777" w:rsidR="00F73509" w:rsidRDefault="00F73509">
            <w:pPr>
              <w:widowControl w:val="0"/>
              <w:jc w:val="both"/>
            </w:pPr>
          </w:p>
        </w:tc>
        <w:tc>
          <w:tcPr>
            <w:tcW w:w="565" w:type="dxa"/>
            <w:shd w:val="clear" w:color="auto" w:fill="auto"/>
          </w:tcPr>
          <w:p w14:paraId="266D9BB6" w14:textId="77777777" w:rsidR="00F73509" w:rsidRDefault="00F73509">
            <w:pPr>
              <w:widowControl w:val="0"/>
              <w:jc w:val="both"/>
            </w:pPr>
          </w:p>
        </w:tc>
        <w:tc>
          <w:tcPr>
            <w:tcW w:w="1934" w:type="dxa"/>
            <w:gridSpan w:val="2"/>
            <w:shd w:val="clear" w:color="auto" w:fill="auto"/>
          </w:tcPr>
          <w:p w14:paraId="266D9BB7" w14:textId="77777777" w:rsidR="00F73509" w:rsidRDefault="00F73509">
            <w:pPr>
              <w:widowControl w:val="0"/>
              <w:jc w:val="both"/>
            </w:pPr>
          </w:p>
        </w:tc>
        <w:tc>
          <w:tcPr>
            <w:tcW w:w="709" w:type="dxa"/>
          </w:tcPr>
          <w:p w14:paraId="266D9BB8" w14:textId="77777777" w:rsidR="00F73509" w:rsidRDefault="00F73509">
            <w:pPr>
              <w:widowControl w:val="0"/>
            </w:pPr>
          </w:p>
        </w:tc>
      </w:tr>
      <w:tr w:rsidR="00F73509" w14:paraId="266D9BC1" w14:textId="77777777">
        <w:trPr>
          <w:cantSplit/>
          <w:trHeight w:val="70"/>
        </w:trPr>
        <w:tc>
          <w:tcPr>
            <w:tcW w:w="4392" w:type="dxa"/>
            <w:gridSpan w:val="2"/>
            <w:vMerge/>
            <w:shd w:val="clear" w:color="auto" w:fill="auto"/>
          </w:tcPr>
          <w:p w14:paraId="266D9BBA" w14:textId="77777777" w:rsidR="00F73509" w:rsidRDefault="00F73509">
            <w:pPr>
              <w:widowControl w:val="0"/>
            </w:pPr>
          </w:p>
        </w:tc>
        <w:tc>
          <w:tcPr>
            <w:tcW w:w="428" w:type="dxa"/>
            <w:vMerge/>
            <w:shd w:val="clear" w:color="auto" w:fill="auto"/>
          </w:tcPr>
          <w:p w14:paraId="266D9BBB" w14:textId="77777777" w:rsidR="00F73509" w:rsidRDefault="00F73509">
            <w:pPr>
              <w:widowControl w:val="0"/>
              <w:jc w:val="center"/>
            </w:pPr>
          </w:p>
        </w:tc>
        <w:tc>
          <w:tcPr>
            <w:tcW w:w="566" w:type="dxa"/>
            <w:gridSpan w:val="2"/>
            <w:vMerge/>
            <w:shd w:val="clear" w:color="auto" w:fill="auto"/>
          </w:tcPr>
          <w:p w14:paraId="266D9BBC" w14:textId="77777777" w:rsidR="00F73509" w:rsidRDefault="00F73509">
            <w:pPr>
              <w:widowControl w:val="0"/>
              <w:ind w:left="176"/>
              <w:jc w:val="both"/>
            </w:pPr>
          </w:p>
        </w:tc>
        <w:tc>
          <w:tcPr>
            <w:tcW w:w="1703" w:type="dxa"/>
            <w:shd w:val="clear" w:color="auto" w:fill="auto"/>
          </w:tcPr>
          <w:p w14:paraId="266D9BBD" w14:textId="77777777" w:rsidR="00F73509" w:rsidRDefault="00F73509">
            <w:pPr>
              <w:widowControl w:val="0"/>
              <w:jc w:val="both"/>
            </w:pPr>
          </w:p>
        </w:tc>
        <w:tc>
          <w:tcPr>
            <w:tcW w:w="565" w:type="dxa"/>
            <w:shd w:val="clear" w:color="auto" w:fill="auto"/>
          </w:tcPr>
          <w:p w14:paraId="266D9BBE" w14:textId="77777777" w:rsidR="00F73509" w:rsidRDefault="00F73509">
            <w:pPr>
              <w:widowControl w:val="0"/>
              <w:jc w:val="both"/>
            </w:pPr>
          </w:p>
        </w:tc>
        <w:tc>
          <w:tcPr>
            <w:tcW w:w="1934" w:type="dxa"/>
            <w:gridSpan w:val="2"/>
            <w:shd w:val="clear" w:color="auto" w:fill="auto"/>
          </w:tcPr>
          <w:p w14:paraId="266D9BBF" w14:textId="77777777" w:rsidR="00F73509" w:rsidRDefault="00F73509">
            <w:pPr>
              <w:widowControl w:val="0"/>
              <w:jc w:val="both"/>
            </w:pPr>
          </w:p>
        </w:tc>
        <w:tc>
          <w:tcPr>
            <w:tcW w:w="709" w:type="dxa"/>
          </w:tcPr>
          <w:p w14:paraId="266D9BC0" w14:textId="77777777" w:rsidR="00F73509" w:rsidRDefault="00F73509">
            <w:pPr>
              <w:widowControl w:val="0"/>
            </w:pPr>
          </w:p>
        </w:tc>
      </w:tr>
      <w:tr w:rsidR="00F73509" w14:paraId="266D9BD3" w14:textId="77777777">
        <w:trPr>
          <w:trHeight w:val="401"/>
        </w:trPr>
        <w:tc>
          <w:tcPr>
            <w:tcW w:w="9588" w:type="dxa"/>
            <w:gridSpan w:val="9"/>
            <w:shd w:val="clear" w:color="auto" w:fill="auto"/>
          </w:tcPr>
          <w:p w14:paraId="266D9BC2" w14:textId="77777777" w:rsidR="00F73509" w:rsidRDefault="00F73509">
            <w:pPr>
              <w:widowControl w:val="0"/>
              <w:spacing w:line="276" w:lineRule="auto"/>
              <w:ind w:firstLine="1296"/>
              <w:jc w:val="both"/>
              <w:rPr>
                <w:lang w:eastAsia="zh-CN"/>
              </w:rPr>
            </w:pPr>
          </w:p>
          <w:p w14:paraId="266D9BC3" w14:textId="77777777" w:rsidR="00F73509" w:rsidRDefault="00F73509">
            <w:pPr>
              <w:widowControl w:val="0"/>
              <w:spacing w:line="276" w:lineRule="auto"/>
              <w:jc w:val="both"/>
              <w:rPr>
                <w:lang w:eastAsia="zh-CN"/>
              </w:rPr>
            </w:pPr>
          </w:p>
          <w:p w14:paraId="266D9BC4" w14:textId="77777777" w:rsidR="00F73509" w:rsidRDefault="009F251C">
            <w:pPr>
              <w:widowControl w:val="0"/>
              <w:spacing w:line="276" w:lineRule="auto"/>
              <w:rPr>
                <w:b/>
                <w:bCs/>
                <w:lang w:eastAsia="zh-CN"/>
              </w:rPr>
            </w:pPr>
            <w:r>
              <w:rPr>
                <w:b/>
                <w:bCs/>
                <w:lang w:eastAsia="zh-CN"/>
              </w:rPr>
              <w:t>DĖL PANEVĖŽIO KRAŠTOTYROS MUZIEJAUS 2022 M. VEIKLOS PLANO VYKDYMO ATASKAITOS</w:t>
            </w:r>
          </w:p>
          <w:p w14:paraId="266D9BC5" w14:textId="77777777" w:rsidR="00F73509" w:rsidRDefault="00F73509">
            <w:pPr>
              <w:widowControl w:val="0"/>
              <w:spacing w:line="276" w:lineRule="auto"/>
              <w:jc w:val="both"/>
              <w:rPr>
                <w:lang w:eastAsia="zh-CN"/>
              </w:rPr>
            </w:pPr>
          </w:p>
          <w:p w14:paraId="266D9BC6" w14:textId="77777777" w:rsidR="00F73509" w:rsidRDefault="00F73509">
            <w:pPr>
              <w:widowControl w:val="0"/>
              <w:spacing w:line="276" w:lineRule="auto"/>
              <w:jc w:val="both"/>
              <w:rPr>
                <w:lang w:eastAsia="zh-CN"/>
              </w:rPr>
            </w:pPr>
          </w:p>
          <w:p w14:paraId="266D9BC7" w14:textId="77777777" w:rsidR="00F73509" w:rsidRDefault="009F251C">
            <w:pPr>
              <w:widowControl w:val="0"/>
              <w:spacing w:line="276" w:lineRule="auto"/>
              <w:jc w:val="both"/>
              <w:rPr>
                <w:lang w:eastAsia="zh-CN"/>
              </w:rPr>
            </w:pPr>
            <w:r>
              <w:rPr>
                <w:lang w:eastAsia="zh-CN"/>
              </w:rPr>
              <w:t xml:space="preserve">                    Siunčiame Panevėžio</w:t>
            </w:r>
            <w:r>
              <w:rPr>
                <w:lang w:eastAsia="zh-CN"/>
              </w:rPr>
              <w:t xml:space="preserve"> kraštotyros muziejaus 2022 m. veiklos plano įgyvendinimo ataskaitą. Žemiau šiame dokumente aptariame 2022 m. plano įgyvendinimo rezultatus.</w:t>
            </w:r>
          </w:p>
          <w:p w14:paraId="266D9BC8" w14:textId="77777777" w:rsidR="00F73509" w:rsidRDefault="009F251C">
            <w:pPr>
              <w:widowControl w:val="0"/>
              <w:spacing w:line="276" w:lineRule="auto"/>
              <w:jc w:val="both"/>
              <w:rPr>
                <w:lang w:eastAsia="zh-CN"/>
              </w:rPr>
            </w:pPr>
            <w:r>
              <w:rPr>
                <w:lang w:eastAsia="zh-CN"/>
              </w:rPr>
              <w:t xml:space="preserve">                    Panevėžio kraštotyros muziejus 2022 m. vykdė muziejinę veiklą, numatytą įstaigos nuostatuose be</w:t>
            </w:r>
            <w:r>
              <w:rPr>
                <w:lang w:eastAsia="zh-CN"/>
              </w:rPr>
              <w:t>i  kituose muziejų veiklą reglamentuojančiuose teisės aktuose, Panevėžio miesto savivaldybės sprendimuose, bei laikydamasis planavimo dokumentų. Kaip ir kasmet, turime pasiekimų, kuriais galime didžiuotis, turime ir nebaigtų projektų, tik iš dalies pasiekt</w:t>
            </w:r>
            <w:r>
              <w:rPr>
                <w:lang w:eastAsia="zh-CN"/>
              </w:rPr>
              <w:t>ų rodiklių.</w:t>
            </w:r>
          </w:p>
          <w:p w14:paraId="266D9BC9" w14:textId="77777777" w:rsidR="00F73509" w:rsidRDefault="009F251C">
            <w:pPr>
              <w:widowControl w:val="0"/>
              <w:spacing w:line="276" w:lineRule="auto"/>
              <w:jc w:val="both"/>
              <w:rPr>
                <w:lang w:eastAsia="zh-CN"/>
              </w:rPr>
            </w:pPr>
            <w:r>
              <w:rPr>
                <w:lang w:eastAsia="zh-CN"/>
              </w:rPr>
              <w:t xml:space="preserve">                    Mūsų misija yra praeities artefaktų (materialių ir nematerialių) kaupimas ir saugojimas bei miesto istorinio pasakojimo kūrimas/perkūrimas bei sklaida jų (ir kitų praeities šaltinių) pagrindu. Šio tikslo siekiama įvairiais m</w:t>
            </w:r>
            <w:r>
              <w:rPr>
                <w:lang w:eastAsia="zh-CN"/>
              </w:rPr>
              <w:t>uziejiniais metodais. Pernai metais įsigijome 2413 naujų eksponatų, planą viršijome. Suinventorinta 2853 eksponatai, paskelbta 635 jų skaitmeninės kopijos (LIMIS platformoje, planas viršytas).  2022 m. pagrindinis muziejaus veiklos prioritetas buvo ekspona</w:t>
            </w:r>
            <w:r>
              <w:rPr>
                <w:lang w:eastAsia="zh-CN"/>
              </w:rPr>
              <w:t>tų pervertinimas „tikrąja verte“ pagal Kultūros ministerijos parengtą metodiką. Planavome pervertinti 19700 vnt. ankščiau priimtų eksponatų, pervertinome 21568 vnt.</w:t>
            </w:r>
          </w:p>
          <w:p w14:paraId="266D9BCA" w14:textId="77777777" w:rsidR="00F73509" w:rsidRDefault="009F251C">
            <w:pPr>
              <w:widowControl w:val="0"/>
              <w:spacing w:line="276" w:lineRule="auto"/>
              <w:jc w:val="both"/>
              <w:rPr>
                <w:lang w:eastAsia="zh-CN"/>
              </w:rPr>
            </w:pPr>
            <w:r>
              <w:rPr>
                <w:lang w:eastAsia="zh-CN"/>
              </w:rPr>
              <w:t xml:space="preserve">                    Vykdytos tradicinės ir </w:t>
            </w:r>
            <w:proofErr w:type="spellStart"/>
            <w:r>
              <w:rPr>
                <w:lang w:eastAsia="zh-CN"/>
              </w:rPr>
              <w:t>inovatyvios</w:t>
            </w:r>
            <w:proofErr w:type="spellEnd"/>
            <w:r>
              <w:rPr>
                <w:lang w:eastAsia="zh-CN"/>
              </w:rPr>
              <w:t xml:space="preserve"> komunikacijos priemonės. Prie </w:t>
            </w:r>
            <w:r>
              <w:rPr>
                <w:lang w:eastAsia="zh-CN"/>
              </w:rPr>
              <w:t xml:space="preserve">tradicinių priskirtinos ekspozicijos, kurios po renovacijos yra geros būklės ir palankiai vertinamos lankytojų. Deja, pernai dėl organizacinių problemų bei lėšų trūkumo nepavyko įrengti </w:t>
            </w:r>
            <w:proofErr w:type="spellStart"/>
            <w:r>
              <w:rPr>
                <w:lang w:eastAsia="zh-CN"/>
              </w:rPr>
              <w:t>inovatyvios</w:t>
            </w:r>
            <w:proofErr w:type="spellEnd"/>
            <w:r>
              <w:rPr>
                <w:lang w:eastAsia="zh-CN"/>
              </w:rPr>
              <w:t xml:space="preserve"> ekspozicijos „Tautų katilas“, įgyvendinamos vykdant tarpta</w:t>
            </w:r>
            <w:r>
              <w:rPr>
                <w:lang w:eastAsia="zh-CN"/>
              </w:rPr>
              <w:t xml:space="preserve">utinį projektą „Istorinio ir kultūrinio tarpvalstybinio paveldo populiarinimas pasitelkiant muziejų naujoves“. Tikimės ekspoziciją įrengti šiemet ir baigti šį labai sudėtingą, organizaciniu požiūriu painų ir daug žmogiškųjų resursų reikalaujantį projektą. </w:t>
            </w:r>
            <w:r>
              <w:rPr>
                <w:lang w:eastAsia="zh-CN"/>
              </w:rPr>
              <w:t xml:space="preserve">Tradicinis muziejinis komunikacijos būdas yra parodos, iš kurių svarbiausioji pernai buvo skirta etninei kultūrai – „Juostų pynimo tradicijos: žmonės ir spalvos“ (rengėja L. </w:t>
            </w:r>
            <w:proofErr w:type="spellStart"/>
            <w:r>
              <w:rPr>
                <w:lang w:eastAsia="zh-CN"/>
              </w:rPr>
              <w:t>Vilienė</w:t>
            </w:r>
            <w:proofErr w:type="spellEnd"/>
            <w:r>
              <w:rPr>
                <w:lang w:eastAsia="zh-CN"/>
              </w:rPr>
              <w:t>).</w:t>
            </w:r>
          </w:p>
          <w:p w14:paraId="266D9BCB" w14:textId="77777777" w:rsidR="00F73509" w:rsidRDefault="009F251C">
            <w:pPr>
              <w:widowControl w:val="0"/>
              <w:spacing w:line="276" w:lineRule="auto"/>
              <w:jc w:val="both"/>
              <w:rPr>
                <w:lang w:eastAsia="zh-CN"/>
              </w:rPr>
            </w:pPr>
            <w:r>
              <w:rPr>
                <w:lang w:eastAsia="zh-CN"/>
              </w:rPr>
              <w:t xml:space="preserve">                    Pasibaigus Covid-19 epidemijai sulaukėme žymaus lank</w:t>
            </w:r>
            <w:r>
              <w:rPr>
                <w:lang w:eastAsia="zh-CN"/>
              </w:rPr>
              <w:t xml:space="preserve">ytojų skaičiaus augimo, bendras jų skaičius beveik per pusę viršijo 2021 m. rodiklius. Planavome 15 000 lankytojų, sulaukėme 26 112. Pernykštėje mūsų ataskaitoje buvo išreikšta abejonė dėl lankytojų sugrįžimo, šiemet galime tvirtai pasakyti, kad muziejaus </w:t>
            </w:r>
            <w:r>
              <w:rPr>
                <w:lang w:eastAsia="zh-CN"/>
              </w:rPr>
              <w:t xml:space="preserve">lankytojų srautai atsistatė į </w:t>
            </w:r>
            <w:proofErr w:type="spellStart"/>
            <w:r>
              <w:rPr>
                <w:lang w:eastAsia="zh-CN"/>
              </w:rPr>
              <w:t>priešpandeminį</w:t>
            </w:r>
            <w:proofErr w:type="spellEnd"/>
            <w:r>
              <w:rPr>
                <w:lang w:eastAsia="zh-CN"/>
              </w:rPr>
              <w:t xml:space="preserve"> lygį. Ypač išaugo edukacinių užsiėmimų lankytojų skaičius, jų sulaukėme 423 grupių (visų laikų muziejaus rekordas) ir 7581 dalyvių (planavome 6000). Norėdami pritraukti į muziejų įvairesnę </w:t>
            </w:r>
            <w:r>
              <w:rPr>
                <w:lang w:eastAsia="zh-CN"/>
              </w:rPr>
              <w:lastRenderedPageBreak/>
              <w:t>auditoriją, pernai pir</w:t>
            </w:r>
            <w:r>
              <w:rPr>
                <w:lang w:eastAsia="zh-CN"/>
              </w:rPr>
              <w:t>mą kartą dirbome sekmadieniais (paskutinį mėnesio sekmadienį). Jų metu ekspozicijas aplankė 386 lankytojai, daugiausia šeimos. Pastebime, kad muziejus gausiau lankytas ir šeštadieniais, irgi daugiausia šeimų, sumažėjo savaitgalinių lankytojų amžiaus vidurk</w:t>
            </w:r>
            <w:r>
              <w:rPr>
                <w:lang w:eastAsia="zh-CN"/>
              </w:rPr>
              <w:t>is.</w:t>
            </w:r>
          </w:p>
          <w:p w14:paraId="266D9BCC" w14:textId="77777777" w:rsidR="00F73509" w:rsidRDefault="009F251C">
            <w:pPr>
              <w:widowControl w:val="0"/>
              <w:spacing w:line="276" w:lineRule="auto"/>
              <w:jc w:val="both"/>
              <w:rPr>
                <w:lang w:eastAsia="zh-CN"/>
              </w:rPr>
            </w:pPr>
            <w:r>
              <w:rPr>
                <w:lang w:eastAsia="zh-CN"/>
              </w:rPr>
              <w:t xml:space="preserve">                    Labai svarbus muziejaus komunikacijos kanalas yra muziejininkų publikacijos, jų pernai buvo 69 (dauguma regioninėje spaudoje, čia nepriskaičiuojami pranešimai spaudai), dalis jų paskelbtos skaitmeniniu ar kombinuotu formatu. Muzieji</w:t>
            </w:r>
            <w:r>
              <w:rPr>
                <w:lang w:eastAsia="zh-CN"/>
              </w:rPr>
              <w:t>ninkai davė 78 interviu TV, radijui ir „popierinei“ žiniasklaidai. Taigi, vidutiniškai kas trečią dieną muziejininkai komunikavo ir aktualizavo miesto paveldą spaudos priemonėse.</w:t>
            </w:r>
          </w:p>
          <w:p w14:paraId="266D9BCD" w14:textId="77777777" w:rsidR="00F73509" w:rsidRDefault="00F73509">
            <w:pPr>
              <w:widowControl w:val="0"/>
              <w:spacing w:line="276" w:lineRule="auto"/>
              <w:jc w:val="both"/>
              <w:rPr>
                <w:lang w:eastAsia="zh-CN"/>
              </w:rPr>
            </w:pPr>
          </w:p>
          <w:p w14:paraId="266D9BCE" w14:textId="77777777" w:rsidR="00F73509" w:rsidRDefault="009F251C">
            <w:pPr>
              <w:widowControl w:val="0"/>
              <w:spacing w:line="276" w:lineRule="auto"/>
              <w:jc w:val="both"/>
              <w:rPr>
                <w:lang w:eastAsia="zh-CN"/>
              </w:rPr>
            </w:pPr>
            <w:r>
              <w:rPr>
                <w:lang w:eastAsia="zh-CN"/>
              </w:rPr>
              <w:t xml:space="preserve">                    Šiuo metu didžiausia išlikusi techninė problema yra susi</w:t>
            </w:r>
            <w:r>
              <w:rPr>
                <w:lang w:eastAsia="zh-CN"/>
              </w:rPr>
              <w:t>dėvėjęs pastato Vasario    16-osios g. 23 stogas ir rūsyje besisunkianti drėgmė. Dėl to negalime atkurti gamtos ekspozicijos „Gamtos medija“ trečiajame aukšte, rūsyje naujai įrengtoje ekspozicijoje lupasi dažai, galima situacija, kad ekspoziciją reikės užd</w:t>
            </w:r>
            <w:r>
              <w:rPr>
                <w:lang w:eastAsia="zh-CN"/>
              </w:rPr>
              <w:t>aryti. Savivaldybės nurodymu ir lėšomis 2020 m. parengėme remonto techninį projektą, po to 2021 m. jį keitėme ir skaidėme į dalis, bet  2022 m. darbai nepradėti. Šiuo metu kartu su miesto savivaldybės administracija planuojame teikti paraišką Kultūros mini</w:t>
            </w:r>
            <w:r>
              <w:rPr>
                <w:lang w:eastAsia="zh-CN"/>
              </w:rPr>
              <w:t xml:space="preserve">sterijos paskelbtam  finansavimo konkursui „Kultūros paveldo aktualizavimas ir </w:t>
            </w:r>
            <w:proofErr w:type="spellStart"/>
            <w:r>
              <w:rPr>
                <w:lang w:eastAsia="zh-CN"/>
              </w:rPr>
              <w:t>įveiklinimas</w:t>
            </w:r>
            <w:proofErr w:type="spellEnd"/>
            <w:r>
              <w:rPr>
                <w:lang w:eastAsia="zh-CN"/>
              </w:rPr>
              <w:t>“. Tikimės gauti finansavimą minėtiems darbams, tai pat ekspozicijų interaktyvumo didinimui (virtualių aplinkų kūrimui).</w:t>
            </w:r>
          </w:p>
          <w:p w14:paraId="266D9BCF" w14:textId="77777777" w:rsidR="00F73509" w:rsidRDefault="009F251C">
            <w:pPr>
              <w:widowControl w:val="0"/>
              <w:spacing w:line="276" w:lineRule="auto"/>
              <w:jc w:val="both"/>
              <w:rPr>
                <w:lang w:eastAsia="zh-CN"/>
              </w:rPr>
            </w:pPr>
            <w:r>
              <w:rPr>
                <w:lang w:eastAsia="zh-CN"/>
              </w:rPr>
              <w:t xml:space="preserve">                    Norint plėsti muziejaus </w:t>
            </w:r>
            <w:r>
              <w:rPr>
                <w:lang w:eastAsia="zh-CN"/>
              </w:rPr>
              <w:t xml:space="preserve">paveikumą bendruomenei ir jį toliau vystyti kaip turizmo objektą yra svarbu įgyvendinti </w:t>
            </w:r>
            <w:proofErr w:type="spellStart"/>
            <w:r>
              <w:rPr>
                <w:lang w:eastAsia="zh-CN"/>
              </w:rPr>
              <w:t>Moigių</w:t>
            </w:r>
            <w:proofErr w:type="spellEnd"/>
            <w:r>
              <w:rPr>
                <w:lang w:eastAsia="zh-CN"/>
              </w:rPr>
              <w:t xml:space="preserve"> namų teritorijos sutvarkymo techninį projektą. Tuomet atsirastų galimybė rengti koncertus ir kitus lauko renginius, edukacinius </w:t>
            </w:r>
            <w:proofErr w:type="spellStart"/>
            <w:r>
              <w:rPr>
                <w:lang w:eastAsia="zh-CN"/>
              </w:rPr>
              <w:t>užsiėmimus</w:t>
            </w:r>
            <w:proofErr w:type="spellEnd"/>
            <w:r>
              <w:rPr>
                <w:lang w:eastAsia="zh-CN"/>
              </w:rPr>
              <w:t xml:space="preserve"> lauke. O sukurta XX a.</w:t>
            </w:r>
            <w:r>
              <w:rPr>
                <w:lang w:eastAsia="zh-CN"/>
              </w:rPr>
              <w:t xml:space="preserve"> pirmos pusės aplinka (šviestuvai, lauko baldai, gėlynai ir kt.) būtų patraukli vietos lankytojams ir turistams. Vėlgi, šiam reikalui planuojama paraiška ES finansavimo priemonei „</w:t>
            </w:r>
            <w:proofErr w:type="spellStart"/>
            <w:r>
              <w:rPr>
                <w:lang w:eastAsia="zh-CN"/>
              </w:rPr>
              <w:t>Interreg</w:t>
            </w:r>
            <w:proofErr w:type="spellEnd"/>
            <w:r>
              <w:rPr>
                <w:lang w:eastAsia="zh-CN"/>
              </w:rPr>
              <w:t>“, šiuo metu vyksta partnerių Latvijoje paieška.</w:t>
            </w:r>
          </w:p>
          <w:p w14:paraId="266D9BD0" w14:textId="77777777" w:rsidR="00F73509" w:rsidRDefault="009F251C">
            <w:pPr>
              <w:widowControl w:val="0"/>
              <w:spacing w:line="276" w:lineRule="auto"/>
              <w:jc w:val="both"/>
              <w:rPr>
                <w:lang w:eastAsia="zh-CN"/>
              </w:rPr>
            </w:pPr>
            <w:r>
              <w:rPr>
                <w:lang w:eastAsia="zh-CN"/>
              </w:rPr>
              <w:t xml:space="preserve">                   </w:t>
            </w:r>
            <w:r>
              <w:rPr>
                <w:lang w:eastAsia="zh-CN"/>
              </w:rPr>
              <w:t xml:space="preserve"> Pasirinkti muziejaus veiklos 2023 metais prioritetai yra rinkinių tvarkymas (eksponatų pervertinimą tikrąja verte liks prioritetu, kol bus pasiekti suplanuoti rezultatai) bei ekspozicinės ir parodinės veiklos intensyvinimas (ekspozicijų „Gamtos medija“ at</w:t>
            </w:r>
            <w:r>
              <w:rPr>
                <w:lang w:eastAsia="zh-CN"/>
              </w:rPr>
              <w:t>kūrimo pradžia, ekspozicijos „Tautų katilas“  (preliminarus pavadinimas), parodos „Aukštaičių vestuvės“ įrengimas). Iš tolesnės raidos krypčių paminėtinas tolesnis skaitmeninių produktų, skirtų lankytojams bei vidaus naudojimui (eksponatų apskaitai) kūrima</w:t>
            </w:r>
            <w:r>
              <w:rPr>
                <w:lang w:eastAsia="zh-CN"/>
              </w:rPr>
              <w:t>s. Taip pat svarbiu uždaviniu lieka darbuotojų kvalifikacijos ugdymas.</w:t>
            </w:r>
          </w:p>
          <w:p w14:paraId="266D9BD1" w14:textId="77777777" w:rsidR="00F73509" w:rsidRDefault="009F251C">
            <w:pPr>
              <w:widowControl w:val="0"/>
              <w:spacing w:line="276" w:lineRule="auto"/>
              <w:jc w:val="both"/>
              <w:rPr>
                <w:lang w:eastAsia="zh-CN"/>
              </w:rPr>
            </w:pPr>
            <w:r>
              <w:rPr>
                <w:lang w:eastAsia="zh-CN"/>
              </w:rPr>
              <w:t xml:space="preserve">                    Pridedama. Panevėžio kraštotyros muziejaus 2022 m. veiklos plano vykdymo ataskaita, 14 lapų.</w:t>
            </w:r>
          </w:p>
        </w:tc>
        <w:tc>
          <w:tcPr>
            <w:tcW w:w="709" w:type="dxa"/>
          </w:tcPr>
          <w:p w14:paraId="266D9BD2" w14:textId="77777777" w:rsidR="00F73509" w:rsidRDefault="00F73509">
            <w:pPr>
              <w:widowControl w:val="0"/>
            </w:pPr>
          </w:p>
        </w:tc>
      </w:tr>
      <w:tr w:rsidR="00F73509" w14:paraId="266D9BD8" w14:textId="77777777">
        <w:trPr>
          <w:trHeight w:val="240"/>
        </w:trPr>
        <w:tc>
          <w:tcPr>
            <w:tcW w:w="3654" w:type="dxa"/>
            <w:shd w:val="clear" w:color="auto" w:fill="auto"/>
          </w:tcPr>
          <w:p w14:paraId="266D9BD4" w14:textId="77777777" w:rsidR="00F73509" w:rsidRDefault="009F251C">
            <w:pPr>
              <w:widowControl w:val="0"/>
              <w:spacing w:before="480"/>
            </w:pPr>
            <w:r>
              <w:t>Direktorius</w:t>
            </w:r>
          </w:p>
        </w:tc>
        <w:tc>
          <w:tcPr>
            <w:tcW w:w="1705" w:type="dxa"/>
            <w:gridSpan w:val="3"/>
            <w:shd w:val="clear" w:color="auto" w:fill="auto"/>
          </w:tcPr>
          <w:p w14:paraId="266D9BD5" w14:textId="77777777" w:rsidR="00F73509" w:rsidRDefault="00F73509">
            <w:pPr>
              <w:widowControl w:val="0"/>
              <w:spacing w:before="480"/>
            </w:pPr>
          </w:p>
        </w:tc>
        <w:tc>
          <w:tcPr>
            <w:tcW w:w="4229" w:type="dxa"/>
            <w:gridSpan w:val="5"/>
            <w:shd w:val="clear" w:color="auto" w:fill="auto"/>
          </w:tcPr>
          <w:p w14:paraId="266D9BD6" w14:textId="77777777" w:rsidR="00F73509" w:rsidRDefault="009F251C">
            <w:pPr>
              <w:widowControl w:val="0"/>
              <w:spacing w:before="480"/>
            </w:pPr>
            <w:bookmarkStart w:id="1" w:name="OLE_LINK9"/>
            <w:bookmarkEnd w:id="1"/>
            <w:r>
              <w:t xml:space="preserve">     Arūnas </w:t>
            </w:r>
            <w:proofErr w:type="spellStart"/>
            <w:r>
              <w:t>Astramskas</w:t>
            </w:r>
            <w:proofErr w:type="spellEnd"/>
          </w:p>
        </w:tc>
        <w:tc>
          <w:tcPr>
            <w:tcW w:w="709" w:type="dxa"/>
          </w:tcPr>
          <w:p w14:paraId="266D9BD7" w14:textId="77777777" w:rsidR="00F73509" w:rsidRDefault="00F73509">
            <w:pPr>
              <w:widowControl w:val="0"/>
            </w:pPr>
          </w:p>
        </w:tc>
      </w:tr>
    </w:tbl>
    <w:p w14:paraId="266D9BD9" w14:textId="77777777" w:rsidR="00F73509" w:rsidRDefault="00F73509"/>
    <w:p w14:paraId="266D9BDA" w14:textId="77777777" w:rsidR="00F73509" w:rsidRDefault="00F73509"/>
    <w:p w14:paraId="266D9BDB" w14:textId="77777777" w:rsidR="00F73509" w:rsidRDefault="00F73509"/>
    <w:p w14:paraId="266D9BDC" w14:textId="77777777" w:rsidR="00F73509" w:rsidRDefault="00F73509"/>
    <w:p w14:paraId="266D9BDD" w14:textId="77777777" w:rsidR="00F73509" w:rsidRDefault="00F73509"/>
    <w:p w14:paraId="266D9BDE" w14:textId="77777777" w:rsidR="00F73509" w:rsidRDefault="00F73509"/>
    <w:p w14:paraId="266D9BDF" w14:textId="77777777" w:rsidR="00F73509" w:rsidRDefault="00F73509"/>
    <w:p w14:paraId="266D9BE0" w14:textId="77777777" w:rsidR="00F73509" w:rsidRDefault="00F73509"/>
    <w:p w14:paraId="266D9BE1" w14:textId="77777777" w:rsidR="00F73509" w:rsidRDefault="00F73509"/>
    <w:p w14:paraId="266D9BE2" w14:textId="77777777" w:rsidR="00F73509" w:rsidRDefault="009F251C">
      <w:r>
        <w:t xml:space="preserve">Arūnas </w:t>
      </w:r>
      <w:proofErr w:type="spellStart"/>
      <w:r>
        <w:t>Astramskas</w:t>
      </w:r>
      <w:proofErr w:type="spellEnd"/>
      <w:r>
        <w:t xml:space="preserve">, tel. (8 45) 46 23 31, </w:t>
      </w:r>
      <w:hyperlink r:id="rId7">
        <w:r>
          <w:rPr>
            <w:rStyle w:val="Internetosaitas"/>
          </w:rPr>
          <w:t>arunasastramskas@gmail.com</w:t>
        </w:r>
      </w:hyperlink>
    </w:p>
    <w:sectPr w:rsidR="00F73509">
      <w:headerReference w:type="default" r:id="rId8"/>
      <w:pgSz w:w="11906" w:h="16838"/>
      <w:pgMar w:top="1134" w:right="851"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D9BED" w14:textId="77777777" w:rsidR="00000000" w:rsidRDefault="009F251C">
      <w:r>
        <w:separator/>
      </w:r>
    </w:p>
  </w:endnote>
  <w:endnote w:type="continuationSeparator" w:id="0">
    <w:p w14:paraId="266D9BEF" w14:textId="77777777" w:rsidR="00000000" w:rsidRDefault="009F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D9BE9" w14:textId="77777777" w:rsidR="00000000" w:rsidRDefault="009F251C">
      <w:r>
        <w:separator/>
      </w:r>
    </w:p>
  </w:footnote>
  <w:footnote w:type="continuationSeparator" w:id="0">
    <w:p w14:paraId="266D9BEB" w14:textId="77777777" w:rsidR="00000000" w:rsidRDefault="009F2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171755"/>
      <w:docPartObj>
        <w:docPartGallery w:val="Page Numbers (Top of Page)"/>
        <w:docPartUnique/>
      </w:docPartObj>
    </w:sdtPr>
    <w:sdtEndPr/>
    <w:sdtContent>
      <w:p w14:paraId="266D9BE7" w14:textId="77777777" w:rsidR="00F73509" w:rsidRDefault="009F251C">
        <w:pPr>
          <w:pStyle w:val="Antrats"/>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p>
    </w:sdtContent>
  </w:sdt>
  <w:p w14:paraId="266D9BE8" w14:textId="77777777" w:rsidR="00F73509" w:rsidRDefault="00F73509">
    <w:pPr>
      <w:pStyle w:val="Antrats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09"/>
    <w:rsid w:val="009F251C"/>
    <w:rsid w:val="00F7350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9BA2"/>
  <w15:docId w15:val="{A3028AD2-036F-45E6-89A0-1E586183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0873"/>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6220CD"/>
    <w:rPr>
      <w:color w:val="0000FF" w:themeColor="hyperlink"/>
      <w:u w:val="single"/>
    </w:rPr>
  </w:style>
  <w:style w:type="character" w:styleId="Puslapionumeris">
    <w:name w:val="page number"/>
    <w:basedOn w:val="Numatytasispastraiposriftas"/>
    <w:qFormat/>
    <w:rsid w:val="00B8313E"/>
  </w:style>
  <w:style w:type="character" w:customStyle="1" w:styleId="FooterChar">
    <w:name w:val="Footer Char"/>
    <w:basedOn w:val="Numatytasispastraiposriftas"/>
    <w:link w:val="Porat1"/>
    <w:qFormat/>
    <w:rsid w:val="0065219F"/>
    <w:rPr>
      <w:sz w:val="24"/>
      <w:szCs w:val="24"/>
    </w:rPr>
  </w:style>
  <w:style w:type="character" w:customStyle="1" w:styleId="HeaderChar">
    <w:name w:val="Header Char"/>
    <w:basedOn w:val="Numatytasispastraiposriftas"/>
    <w:link w:val="Antrats1"/>
    <w:qFormat/>
    <w:rsid w:val="0065219F"/>
    <w:rPr>
      <w:sz w:val="24"/>
      <w:szCs w:val="24"/>
    </w:rPr>
  </w:style>
  <w:style w:type="character" w:styleId="Grietas">
    <w:name w:val="Strong"/>
    <w:basedOn w:val="Numatytasispastraiposriftas"/>
    <w:uiPriority w:val="22"/>
    <w:qFormat/>
    <w:rsid w:val="00725647"/>
    <w:rPr>
      <w:b/>
      <w:bCs/>
    </w:rPr>
  </w:style>
  <w:style w:type="character" w:customStyle="1" w:styleId="apple-converted-space">
    <w:name w:val="apple-converted-space"/>
    <w:basedOn w:val="Numatytasispastraiposriftas"/>
    <w:qFormat/>
    <w:rsid w:val="00725647"/>
  </w:style>
  <w:style w:type="character" w:customStyle="1" w:styleId="AntratsDiagrama">
    <w:name w:val="Antraštės Diagrama"/>
    <w:basedOn w:val="Numatytasispastraiposriftas"/>
    <w:link w:val="Antrats"/>
    <w:uiPriority w:val="99"/>
    <w:qFormat/>
    <w:rsid w:val="00E60048"/>
    <w:rPr>
      <w:sz w:val="24"/>
      <w:szCs w:val="24"/>
    </w:rPr>
  </w:style>
  <w:style w:type="character" w:customStyle="1" w:styleId="PoratDiagrama">
    <w:name w:val="Poraštė Diagrama"/>
    <w:basedOn w:val="Numatytasispastraiposriftas"/>
    <w:link w:val="Porat"/>
    <w:qFormat/>
    <w:rsid w:val="00E60048"/>
    <w:rPr>
      <w:sz w:val="24"/>
      <w:szCs w:val="24"/>
    </w:rPr>
  </w:style>
  <w:style w:type="paragraph" w:styleId="Antrat">
    <w:name w:val="caption"/>
    <w:basedOn w:val="prastasis"/>
    <w:next w:val="Pagrindinistekstas"/>
    <w:qFormat/>
    <w:rsid w:val="000A4966"/>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C1026E"/>
    <w:pPr>
      <w:jc w:val="both"/>
    </w:pPr>
    <w:rPr>
      <w:szCs w:val="20"/>
      <w:lang w:val="en-US" w:eastAsia="en-US"/>
    </w:rPr>
  </w:style>
  <w:style w:type="paragraph" w:styleId="Sraas">
    <w:name w:val="List"/>
    <w:basedOn w:val="Pagrindinistekstas"/>
    <w:rsid w:val="000A4966"/>
    <w:rPr>
      <w:rFonts w:cs="Arial"/>
    </w:rPr>
  </w:style>
  <w:style w:type="paragraph" w:customStyle="1" w:styleId="Rodykl">
    <w:name w:val="Rodyklė"/>
    <w:basedOn w:val="prastasis"/>
    <w:qFormat/>
    <w:rsid w:val="000A4966"/>
    <w:pPr>
      <w:suppressLineNumbers/>
    </w:pPr>
    <w:rPr>
      <w:rFonts w:cs="Arial"/>
    </w:rPr>
  </w:style>
  <w:style w:type="paragraph" w:customStyle="1" w:styleId="Antrat11">
    <w:name w:val="Antraštė 11"/>
    <w:basedOn w:val="prastasis"/>
    <w:next w:val="prastasis"/>
    <w:qFormat/>
    <w:rsid w:val="00C60E0E"/>
    <w:pPr>
      <w:keepNext/>
      <w:outlineLvl w:val="0"/>
    </w:pPr>
    <w:rPr>
      <w:rFonts w:ascii="Arial" w:hAnsi="Arial"/>
      <w:szCs w:val="20"/>
      <w:lang w:val="en-US" w:eastAsia="en-US"/>
    </w:rPr>
  </w:style>
  <w:style w:type="paragraph" w:customStyle="1" w:styleId="Antrat1">
    <w:name w:val="Antraštė1"/>
    <w:basedOn w:val="prastasis"/>
    <w:qFormat/>
    <w:rsid w:val="000A4966"/>
    <w:pPr>
      <w:suppressLineNumbers/>
      <w:spacing w:before="120" w:after="120"/>
    </w:pPr>
    <w:rPr>
      <w:rFonts w:cs="Arial"/>
      <w:i/>
      <w:iCs/>
    </w:rPr>
  </w:style>
  <w:style w:type="paragraph" w:styleId="Debesliotekstas">
    <w:name w:val="Balloon Text"/>
    <w:basedOn w:val="prastasis"/>
    <w:semiHidden/>
    <w:qFormat/>
    <w:rsid w:val="004B1FA8"/>
    <w:rPr>
      <w:rFonts w:ascii="Tahoma" w:hAnsi="Tahoma" w:cs="Tahoma"/>
      <w:sz w:val="16"/>
      <w:szCs w:val="16"/>
    </w:rPr>
  </w:style>
  <w:style w:type="paragraph" w:customStyle="1" w:styleId="Antrats1">
    <w:name w:val="Antraštės1"/>
    <w:basedOn w:val="prastasis"/>
    <w:link w:val="HeaderChar"/>
    <w:qFormat/>
    <w:rsid w:val="00B8313E"/>
    <w:pPr>
      <w:tabs>
        <w:tab w:val="center" w:pos="4819"/>
        <w:tab w:val="right" w:pos="9638"/>
      </w:tabs>
    </w:pPr>
  </w:style>
  <w:style w:type="paragraph" w:customStyle="1" w:styleId="Porat1">
    <w:name w:val="Poraštė1"/>
    <w:basedOn w:val="prastasis"/>
    <w:link w:val="FooterChar"/>
    <w:qFormat/>
    <w:rsid w:val="0065219F"/>
    <w:pPr>
      <w:tabs>
        <w:tab w:val="center" w:pos="4819"/>
        <w:tab w:val="right" w:pos="9638"/>
      </w:tabs>
    </w:pPr>
  </w:style>
  <w:style w:type="paragraph" w:customStyle="1" w:styleId="justify">
    <w:name w:val="justify"/>
    <w:basedOn w:val="prastasis"/>
    <w:qFormat/>
    <w:rsid w:val="00725647"/>
    <w:pPr>
      <w:spacing w:beforeAutospacing="1" w:afterAutospacing="1"/>
    </w:pPr>
  </w:style>
  <w:style w:type="paragraph" w:styleId="Sraopastraipa">
    <w:name w:val="List Paragraph"/>
    <w:basedOn w:val="prastasis"/>
    <w:uiPriority w:val="34"/>
    <w:qFormat/>
    <w:rsid w:val="008D336D"/>
    <w:pPr>
      <w:ind w:left="720"/>
      <w:contextualSpacing/>
    </w:pPr>
  </w:style>
  <w:style w:type="paragraph" w:customStyle="1" w:styleId="Kadroturinys">
    <w:name w:val="Kadro turinys"/>
    <w:basedOn w:val="prastasis"/>
    <w:qFormat/>
    <w:rsid w:val="000A4966"/>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E60048"/>
    <w:pPr>
      <w:tabs>
        <w:tab w:val="center" w:pos="4819"/>
        <w:tab w:val="right" w:pos="9638"/>
      </w:tabs>
    </w:pPr>
  </w:style>
  <w:style w:type="paragraph" w:styleId="Porat">
    <w:name w:val="footer"/>
    <w:basedOn w:val="prastasis"/>
    <w:link w:val="PoratDiagrama"/>
    <w:rsid w:val="00E60048"/>
    <w:pPr>
      <w:tabs>
        <w:tab w:val="center" w:pos="4819"/>
        <w:tab w:val="right" w:pos="9638"/>
      </w:tabs>
    </w:pPr>
  </w:style>
  <w:style w:type="paragraph" w:customStyle="1" w:styleId="Standard">
    <w:name w:val="Standard"/>
    <w:qFormat/>
    <w:rsid w:val="00A04A9E"/>
    <w:pPr>
      <w:textAlignment w:val="baseline"/>
    </w:pPr>
    <w:rPr>
      <w:rFonts w:ascii="Liberation Serif" w:eastAsia="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runasastramska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3807</Words>
  <Characters>2170</Characters>
  <Application>Microsoft Office Word</Application>
  <DocSecurity>4</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Bluestone Lodge Pty Ltd</Company>
  <LinksUpToDate>false</LinksUpToDate>
  <CharactersWithSpaces>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Brazdžiunienė</cp:lastModifiedBy>
  <cp:revision>2</cp:revision>
  <cp:lastPrinted>2017-05-15T12:49:00Z</cp:lastPrinted>
  <dcterms:created xsi:type="dcterms:W3CDTF">2023-03-08T13:28:00Z</dcterms:created>
  <dcterms:modified xsi:type="dcterms:W3CDTF">2023-03-08T13:28:00Z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