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7FE5" w14:textId="77777777" w:rsidR="00076C35" w:rsidRDefault="00464F6F">
      <w:pPr>
        <w:tabs>
          <w:tab w:val="left" w:pos="5103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35057FE6" w14:textId="77777777" w:rsidR="00076C35" w:rsidRDefault="00464F6F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35057FE7" w14:textId="77777777" w:rsidR="00076C35" w:rsidRDefault="00464F6F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35057FE8" w14:textId="77777777" w:rsidR="00076C35" w:rsidRDefault="00464F6F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 A-21</w:t>
      </w:r>
    </w:p>
    <w:p w14:paraId="35057FE9" w14:textId="77777777" w:rsidR="00076C35" w:rsidRDefault="00076C35">
      <w:pPr>
        <w:rPr>
          <w:rFonts w:eastAsia="MS Mincho;MS Gothic"/>
          <w:b/>
        </w:rPr>
      </w:pPr>
    </w:p>
    <w:p w14:paraId="35057FEA" w14:textId="77777777" w:rsidR="00076C35" w:rsidRDefault="00464F6F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 xml:space="preserve">PANEVĖŽIO KRAŠTOTYROS MUZIEJAUS 2023 METŲ VEIKLOS PLANAS </w:t>
      </w:r>
    </w:p>
    <w:p w14:paraId="35057FEB" w14:textId="77777777" w:rsidR="00076C35" w:rsidRDefault="00076C35">
      <w:pPr>
        <w:rPr>
          <w:rFonts w:eastAsia="MS Mincho;MS Gothic"/>
          <w:b/>
        </w:rPr>
      </w:pPr>
    </w:p>
    <w:tbl>
      <w:tblPr>
        <w:tblW w:w="15041" w:type="dxa"/>
        <w:tblInd w:w="-261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076C35" w14:paraId="35057FEF" w14:textId="7777777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057FEC" w14:textId="77777777" w:rsidR="00076C35" w:rsidRDefault="00464F6F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Panevėžio miesto savivaldybės 2023-2025</w:t>
            </w:r>
            <w:r>
              <w:rPr>
                <w:color w:val="000000"/>
                <w:szCs w:val="24"/>
                <w:lang w:eastAsia="lt-LT"/>
              </w:rPr>
              <w:t xml:space="preserve"> metų strateginio veiklos plano programos tikslų, uždavinių, priemonių įgyvendinimo (</w:t>
            </w:r>
            <w:r>
              <w:rPr>
                <w:color w:val="000000" w:themeColor="text1"/>
                <w:szCs w:val="24"/>
                <w:lang w:eastAsia="lt-LT"/>
              </w:rPr>
              <w:t>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57FED" w14:textId="77777777" w:rsidR="00076C35" w:rsidRDefault="00464F6F">
            <w:pPr>
              <w:widowControl w:val="0"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2023–2025 m. KULTŪROS IR MENO PROGRAMA (11)</w:t>
            </w:r>
          </w:p>
          <w:p w14:paraId="35057FEE" w14:textId="77777777" w:rsidR="00076C35" w:rsidRDefault="00464F6F">
            <w:pPr>
              <w:widowControl w:val="0"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11.01. 01. 05. Panevėžio kraštotyros muziejaus veiklos plėtra</w:t>
            </w:r>
          </w:p>
        </w:tc>
      </w:tr>
      <w:tr w:rsidR="00076C35" w14:paraId="35057FF2" w14:textId="7777777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057FF0" w14:textId="77777777" w:rsidR="00076C35" w:rsidRDefault="00464F6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Įstaigos išor</w:t>
            </w:r>
            <w:r>
              <w:rPr>
                <w:color w:val="000000"/>
              </w:rPr>
              <w:t>ės veiklos ir kokybės įsivertinimo metu nustatyti tobulintini aspektai: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57FF1" w14:textId="77777777" w:rsidR="00076C35" w:rsidRDefault="00464F6F">
            <w:pPr>
              <w:widowControl w:val="0"/>
              <w:snapToGrid w:val="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       Panevėžio miesto savivaldybės audito ir kontrolės tarnyba identifikavo muziejaus rinkinių apskaitos trūkumą - nepakankamu greičiu vykdomas eksponatų pervertinimas „tikrąja </w:t>
            </w:r>
            <w:r>
              <w:rPr>
                <w:color w:val="000000"/>
                <w:lang w:eastAsia="lt-LT"/>
              </w:rPr>
              <w:t>verte“</w:t>
            </w:r>
            <w:r>
              <w:rPr>
                <w:szCs w:val="24"/>
              </w:rPr>
              <w:t xml:space="preserve"> pagal Kultūros ministerijos parengtą metodiką</w:t>
            </w:r>
            <w:r>
              <w:rPr>
                <w:color w:val="000000"/>
                <w:lang w:eastAsia="lt-LT"/>
              </w:rPr>
              <w:t xml:space="preserve">. Todėl įstaiga pasitvirtino eksponatų pervertinimo planą ir jį vykdo, tai atsispindi šiame plane bei </w:t>
            </w:r>
            <w:r>
              <w:t>Panevėžio kraštotyros muziejaus 2023 m. veiklos plano užduotyse.</w:t>
            </w:r>
          </w:p>
        </w:tc>
      </w:tr>
      <w:tr w:rsidR="00076C35" w14:paraId="35057FF7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14:paraId="35057FF3" w14:textId="77777777" w:rsidR="00076C35" w:rsidRDefault="00464F6F">
            <w:pPr>
              <w:widowControl w:val="0"/>
            </w:pPr>
            <w:r>
              <w:t>Kita svarbi įstaigos metinių darbų i</w:t>
            </w:r>
            <w:r>
              <w:t>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5057FF4" w14:textId="77777777" w:rsidR="00076C35" w:rsidRDefault="00464F6F">
            <w:pPr>
              <w:widowControl w:val="0"/>
              <w:jc w:val="both"/>
            </w:pPr>
            <w:r>
              <w:t xml:space="preserve">          Muziejaus veiklos planas yra parengtas atsižvelgiant į tikslus ir uždavinius apibrėžtus</w:t>
            </w:r>
            <w:r>
              <w:rPr>
                <w:szCs w:val="24"/>
              </w:rPr>
              <w:t xml:space="preserve"> įstaigos nuostatuose bei kituose muziejų veiklą reglamentuojančiuose teisės aktuose, bei laikantis Panevėžio miesto savivaldybės pl</w:t>
            </w:r>
            <w:r>
              <w:rPr>
                <w:szCs w:val="24"/>
              </w:rPr>
              <w:t xml:space="preserve">anavimo dokumentų. Muziejaus taryba savo </w:t>
            </w:r>
            <w:r>
              <w:t xml:space="preserve">2022-10-28 posėdyje nustatė 2023 m. įstaigos veiklos prioritetus: </w:t>
            </w:r>
            <w:r>
              <w:rPr>
                <w:bCs/>
              </w:rPr>
              <w:t xml:space="preserve">rinkinių tvarkymą (eksponatų pervertinimą tikrąja verte) ir </w:t>
            </w:r>
            <w:r>
              <w:t>ekspozicinės ir parodinės veiklos intensyvinimą (ekspozicijų „Gamtos medija“ atkūrimą, ek</w:t>
            </w:r>
            <w:r>
              <w:t>spozicijos „Tautų katilas“  (preliminarus pavadinimas), parodos „Aukštaičių vestuvės“ įrengimą. Ties šiomis  pagrindinėmis kryptimis ir koncentruosis įstaigos veikla kitais metais.</w:t>
            </w:r>
          </w:p>
          <w:p w14:paraId="35057FF5" w14:textId="77777777" w:rsidR="00076C35" w:rsidRDefault="00464F6F">
            <w:pPr>
              <w:widowControl w:val="0"/>
              <w:jc w:val="both"/>
            </w:pPr>
            <w:r>
              <w:t xml:space="preserve">          Be to, žvelgdami į ilgalaikę raidos perspektyvą, norime muziejinė</w:t>
            </w:r>
            <w:r>
              <w:t xml:space="preserve">ms veikloms pritaikyti </w:t>
            </w:r>
            <w:proofErr w:type="spellStart"/>
            <w:r>
              <w:t>Moigių</w:t>
            </w:r>
            <w:proofErr w:type="spellEnd"/>
            <w:r>
              <w:t xml:space="preserve"> namų aplinką (32 arų dydžio teritoriją aplink muziejaus pastatus).  Planuojame kartu su Panevėžio miesto savivaldybės administracija teikti paraišką finansavimui gauti 2021–2027 m. Europos kaimynystės priemonės Latvijos ir Lie</w:t>
            </w:r>
            <w:r>
              <w:t>tuvos bendradarbiavimo per sieną programai.</w:t>
            </w:r>
          </w:p>
          <w:p w14:paraId="35057FF6" w14:textId="77777777" w:rsidR="00076C35" w:rsidRDefault="00464F6F">
            <w:pPr>
              <w:widowControl w:val="0"/>
              <w:jc w:val="both"/>
            </w:pPr>
            <w:r>
              <w:t xml:space="preserve">         Tęsime muziejaus nuostatuose numatytų funkcijų vykdymą, detali informacija pateikiama  plano priede - </w:t>
            </w:r>
            <w:r>
              <w:rPr>
                <w:szCs w:val="24"/>
              </w:rPr>
              <w:t>Panevėžio kraštotyros muziejaus 2023 m. veiklos plano užduotyse.</w:t>
            </w:r>
          </w:p>
        </w:tc>
      </w:tr>
      <w:tr w:rsidR="00076C35" w14:paraId="35057FFA" w14:textId="77777777">
        <w:tc>
          <w:tcPr>
            <w:tcW w:w="467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057FF8" w14:textId="77777777" w:rsidR="00076C35" w:rsidRDefault="00464F6F">
            <w:pPr>
              <w:widowControl w:val="0"/>
            </w:pPr>
            <w:r>
              <w:t xml:space="preserve">Priedai (finansavimo lėšų metinė </w:t>
            </w:r>
            <w:r>
              <w:t>sąmata ar jos projektas ir t. t.)</w:t>
            </w:r>
          </w:p>
        </w:tc>
        <w:tc>
          <w:tcPr>
            <w:tcW w:w="103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57FF9" w14:textId="77777777" w:rsidR="00076C35" w:rsidRDefault="00464F6F">
            <w:pPr>
              <w:widowControl w:val="0"/>
              <w:snapToGrid w:val="0"/>
            </w:pPr>
            <w:r>
              <w:rPr>
                <w:szCs w:val="24"/>
              </w:rPr>
              <w:t xml:space="preserve">         Panevėžio kraštotyros muziejaus 2023 m. veiklos plano užduotys (patvirtintos Panevėžio kraštotyros muziejaus direktoriaus 2023-01-23 įsakymu Nr. V-2).</w:t>
            </w:r>
          </w:p>
        </w:tc>
      </w:tr>
    </w:tbl>
    <w:p w14:paraId="35057FFB" w14:textId="77777777" w:rsidR="00076C35" w:rsidRDefault="00076C35">
      <w:pPr>
        <w:rPr>
          <w:b/>
          <w:szCs w:val="24"/>
        </w:rPr>
      </w:pPr>
    </w:p>
    <w:p w14:paraId="35057FFC" w14:textId="77777777" w:rsidR="00076C35" w:rsidRDefault="00464F6F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</w:t>
      </w:r>
      <w:r>
        <w:rPr>
          <w:b/>
          <w:szCs w:val="24"/>
        </w:rPr>
        <w:t>TO) VERTINIMO KRITERIJŲ SUVESTINĖ</w:t>
      </w:r>
    </w:p>
    <w:p w14:paraId="35057FFD" w14:textId="77777777" w:rsidR="00076C35" w:rsidRDefault="00076C35">
      <w:pPr>
        <w:jc w:val="right"/>
        <w:rPr>
          <w:b/>
          <w:szCs w:val="24"/>
        </w:rPr>
      </w:pPr>
    </w:p>
    <w:p w14:paraId="35057FFE" w14:textId="77777777" w:rsidR="00076C35" w:rsidRDefault="00464F6F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Style w:val="Lentelstinklelis"/>
        <w:tblW w:w="15254" w:type="dxa"/>
        <w:jc w:val="center"/>
        <w:tblLayout w:type="fixed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519"/>
        <w:gridCol w:w="537"/>
        <w:gridCol w:w="532"/>
        <w:gridCol w:w="11"/>
        <w:gridCol w:w="544"/>
        <w:gridCol w:w="2419"/>
        <w:gridCol w:w="1967"/>
        <w:gridCol w:w="3131"/>
        <w:gridCol w:w="11"/>
        <w:gridCol w:w="1278"/>
        <w:gridCol w:w="1420"/>
        <w:gridCol w:w="1407"/>
        <w:gridCol w:w="1478"/>
      </w:tblGrid>
      <w:tr w:rsidR="00076C35" w14:paraId="35058007" w14:textId="77777777">
        <w:trPr>
          <w:trHeight w:val="719"/>
          <w:jc w:val="center"/>
        </w:trPr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14:paraId="35057FFF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Tikslo kodas</w:t>
            </w:r>
          </w:p>
        </w:tc>
        <w:tc>
          <w:tcPr>
            <w:tcW w:w="536" w:type="dxa"/>
            <w:vMerge w:val="restart"/>
            <w:shd w:val="clear" w:color="auto" w:fill="auto"/>
            <w:textDirection w:val="btLr"/>
            <w:vAlign w:val="center"/>
          </w:tcPr>
          <w:p w14:paraId="35058000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Uždavinio kodas</w:t>
            </w:r>
          </w:p>
        </w:tc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14:paraId="35058001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Priemonės kodas</w:t>
            </w:r>
          </w:p>
        </w:tc>
        <w:tc>
          <w:tcPr>
            <w:tcW w:w="55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5058002" w14:textId="77777777" w:rsidR="00076C35" w:rsidRDefault="00464F6F">
            <w:pPr>
              <w:widowControl w:val="0"/>
              <w:ind w:left="113" w:right="113"/>
              <w:jc w:val="center"/>
              <w:rPr>
                <w:b/>
                <w:lang w:eastAsia="lt-LT"/>
              </w:rPr>
            </w:pPr>
            <w:proofErr w:type="spellStart"/>
            <w:r>
              <w:rPr>
                <w:b/>
                <w:sz w:val="20"/>
                <w:lang w:eastAsia="lt-LT"/>
              </w:rPr>
              <w:t>Papriemonės</w:t>
            </w:r>
            <w:proofErr w:type="spellEnd"/>
            <w:r>
              <w:rPr>
                <w:b/>
                <w:sz w:val="20"/>
                <w:lang w:eastAsia="lt-LT"/>
              </w:rPr>
              <w:t xml:space="preserve"> kodas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35058003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35058004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  <w:sz w:val="20"/>
              </w:rPr>
              <w:t>Vykdytojas, projekto vadovas ar pareigybė</w:t>
            </w:r>
          </w:p>
        </w:tc>
        <w:tc>
          <w:tcPr>
            <w:tcW w:w="7247" w:type="dxa"/>
            <w:gridSpan w:val="5"/>
            <w:shd w:val="clear" w:color="auto" w:fill="auto"/>
            <w:vAlign w:val="center"/>
          </w:tcPr>
          <w:p w14:paraId="35058005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bCs/>
                <w:sz w:val="20"/>
                <w:lang w:eastAsia="lt-LT"/>
              </w:rPr>
              <w:t xml:space="preserve">Tikslo, uždavinio, priemonės, </w:t>
            </w:r>
            <w:proofErr w:type="spellStart"/>
            <w:r>
              <w:rPr>
                <w:b/>
                <w:bCs/>
                <w:sz w:val="20"/>
                <w:lang w:eastAsia="lt-LT"/>
              </w:rPr>
              <w:t>papriemonės</w:t>
            </w:r>
            <w:proofErr w:type="spellEnd"/>
            <w:r>
              <w:rPr>
                <w:b/>
                <w:bCs/>
                <w:sz w:val="20"/>
                <w:lang w:eastAsia="lt-LT"/>
              </w:rPr>
              <w:t>, rezultato (produkto) vertinimo kriterijaus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14:paraId="35058006" w14:textId="77777777" w:rsidR="00076C35" w:rsidRDefault="00464F6F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Įgyvendinimo terminas</w:t>
            </w:r>
          </w:p>
        </w:tc>
      </w:tr>
      <w:tr w:rsidR="00076C35" w14:paraId="35058013" w14:textId="77777777">
        <w:trPr>
          <w:trHeight w:val="1551"/>
          <w:jc w:val="center"/>
        </w:trPr>
        <w:tc>
          <w:tcPr>
            <w:tcW w:w="518" w:type="dxa"/>
            <w:vMerge/>
            <w:shd w:val="clear" w:color="auto" w:fill="auto"/>
            <w:textDirection w:val="btLr"/>
            <w:vAlign w:val="center"/>
          </w:tcPr>
          <w:p w14:paraId="35058008" w14:textId="77777777" w:rsidR="00076C35" w:rsidRDefault="00076C35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36" w:type="dxa"/>
            <w:vMerge/>
            <w:shd w:val="clear" w:color="auto" w:fill="auto"/>
            <w:textDirection w:val="btLr"/>
            <w:vAlign w:val="center"/>
          </w:tcPr>
          <w:p w14:paraId="35058009" w14:textId="77777777" w:rsidR="00076C35" w:rsidRDefault="00076C35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32" w:type="dxa"/>
            <w:vMerge/>
            <w:shd w:val="clear" w:color="auto" w:fill="auto"/>
            <w:textDirection w:val="btLr"/>
            <w:vAlign w:val="center"/>
          </w:tcPr>
          <w:p w14:paraId="3505800A" w14:textId="77777777" w:rsidR="00076C35" w:rsidRDefault="00076C35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3505800B" w14:textId="77777777" w:rsidR="00076C35" w:rsidRDefault="00076C35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505800C" w14:textId="77777777" w:rsidR="00076C35" w:rsidRDefault="00076C35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14:paraId="3505800D" w14:textId="77777777" w:rsidR="00076C35" w:rsidRDefault="00076C35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505800E" w14:textId="77777777" w:rsidR="00076C35" w:rsidRDefault="00464F6F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3505800F" w14:textId="77777777" w:rsidR="00076C35" w:rsidRDefault="00464F6F">
            <w:pPr>
              <w:widowControl w:val="0"/>
              <w:jc w:val="center"/>
              <w:rPr>
                <w:b/>
                <w:lang w:eastAsia="lt-LT"/>
              </w:rPr>
            </w:pPr>
            <w:r>
              <w:rPr>
                <w:b/>
                <w:sz w:val="20"/>
                <w:lang w:eastAsia="lt-LT"/>
              </w:rPr>
              <w:t>mato vnt.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05801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2022 metų faktinės reikšmė, rezultatas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5058011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2023 metų siektina reikšmė, rezultatas</w:t>
            </w:r>
          </w:p>
        </w:tc>
        <w:tc>
          <w:tcPr>
            <w:tcW w:w="1478" w:type="dxa"/>
            <w:vMerge/>
            <w:shd w:val="clear" w:color="auto" w:fill="auto"/>
          </w:tcPr>
          <w:p w14:paraId="35058012" w14:textId="77777777" w:rsidR="00076C35" w:rsidRDefault="00076C35">
            <w:pPr>
              <w:widowControl w:val="0"/>
              <w:jc w:val="center"/>
              <w:rPr>
                <w:b/>
                <w:lang w:eastAsia="lt-LT"/>
              </w:rPr>
            </w:pPr>
          </w:p>
        </w:tc>
      </w:tr>
      <w:tr w:rsidR="00076C35" w14:paraId="3505801B" w14:textId="77777777">
        <w:trPr>
          <w:trHeight w:val="304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014" w14:textId="77777777" w:rsidR="00076C35" w:rsidRDefault="00464F6F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6009" w:type="dxa"/>
            <w:gridSpan w:val="6"/>
            <w:shd w:val="clear" w:color="auto" w:fill="DBE5F1" w:themeFill="accent1" w:themeFillTint="33"/>
          </w:tcPr>
          <w:p w14:paraId="35058015" w14:textId="77777777" w:rsidR="00076C35" w:rsidRDefault="00464F6F">
            <w:pPr>
              <w:widowControl w:val="0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131" w:type="dxa"/>
            <w:shd w:val="clear" w:color="auto" w:fill="DBE5F1" w:themeFill="accent1" w:themeFillTint="33"/>
          </w:tcPr>
          <w:p w14:paraId="3505801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Kultūros paslaugas naudojančių </w:t>
            </w:r>
            <w:r>
              <w:rPr>
                <w:bCs/>
                <w:sz w:val="20"/>
                <w:lang w:eastAsia="lt-LT"/>
              </w:rPr>
              <w:t>gyventojų skaičiaus pokytis</w:t>
            </w:r>
          </w:p>
        </w:tc>
        <w:tc>
          <w:tcPr>
            <w:tcW w:w="1289" w:type="dxa"/>
            <w:gridSpan w:val="2"/>
            <w:shd w:val="clear" w:color="auto" w:fill="DBE5F1" w:themeFill="accent1" w:themeFillTint="33"/>
          </w:tcPr>
          <w:p w14:paraId="3505801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35058018" w14:textId="77777777" w:rsidR="00076C35" w:rsidRDefault="00464F6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407" w:type="dxa"/>
            <w:shd w:val="clear" w:color="auto" w:fill="DBE5F1" w:themeFill="accent1" w:themeFillTint="33"/>
          </w:tcPr>
          <w:p w14:paraId="3505801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478" w:type="dxa"/>
            <w:shd w:val="clear" w:color="auto" w:fill="DBE5F1" w:themeFill="accent1" w:themeFillTint="33"/>
          </w:tcPr>
          <w:p w14:paraId="3505801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026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01C" w14:textId="77777777" w:rsidR="00076C35" w:rsidRDefault="00464F6F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01D" w14:textId="77777777" w:rsidR="00076C35" w:rsidRDefault="00464F6F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3505801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Padidinti miesto bendruomenės įtraukti į kultūros kūrimą ir naudojimąsi kultūros produktais bei paslaugomis (uždavinio pavadinimas)</w:t>
            </w:r>
          </w:p>
        </w:tc>
        <w:tc>
          <w:tcPr>
            <w:tcW w:w="3131" w:type="dxa"/>
            <w:shd w:val="clear" w:color="auto" w:fill="EAF1DD" w:themeFill="accent3" w:themeFillTint="33"/>
          </w:tcPr>
          <w:p w14:paraId="3505801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Miesto bendruomenės </w:t>
            </w:r>
            <w:proofErr w:type="spellStart"/>
            <w:r>
              <w:rPr>
                <w:bCs/>
                <w:sz w:val="20"/>
                <w:lang w:eastAsia="lt-LT"/>
              </w:rPr>
              <w:t>įtraukties</w:t>
            </w:r>
            <w:proofErr w:type="spellEnd"/>
            <w:r>
              <w:rPr>
                <w:bCs/>
                <w:sz w:val="20"/>
                <w:lang w:eastAsia="lt-LT"/>
              </w:rPr>
              <w:t xml:space="preserve"> pokytis lyginant su praėjusiais </w:t>
            </w:r>
            <w:r>
              <w:rPr>
                <w:bCs/>
                <w:sz w:val="20"/>
                <w:lang w:eastAsia="lt-LT"/>
              </w:rPr>
              <w:t>metais</w:t>
            </w:r>
          </w:p>
        </w:tc>
        <w:tc>
          <w:tcPr>
            <w:tcW w:w="1289" w:type="dxa"/>
            <w:gridSpan w:val="2"/>
            <w:shd w:val="clear" w:color="auto" w:fill="EAF1DD" w:themeFill="accent3" w:themeFillTint="33"/>
          </w:tcPr>
          <w:p w14:paraId="35058020" w14:textId="77777777" w:rsidR="00076C35" w:rsidRDefault="00464F6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Teigiamas</w:t>
            </w:r>
          </w:p>
          <w:p w14:paraId="35058021" w14:textId="77777777" w:rsidR="00076C35" w:rsidRDefault="00464F6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Nepakitęs</w:t>
            </w:r>
          </w:p>
          <w:p w14:paraId="35058022" w14:textId="77777777" w:rsidR="00076C35" w:rsidRDefault="00464F6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Neigiamas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35058023" w14:textId="77777777" w:rsidR="00076C35" w:rsidRDefault="00464F6F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407" w:type="dxa"/>
            <w:shd w:val="clear" w:color="auto" w:fill="EAF1DD" w:themeFill="accent3" w:themeFillTint="33"/>
          </w:tcPr>
          <w:p w14:paraId="35058024" w14:textId="77777777" w:rsidR="00076C35" w:rsidRDefault="00464F6F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478" w:type="dxa"/>
            <w:shd w:val="clear" w:color="auto" w:fill="EAF1DD" w:themeFill="accent3" w:themeFillTint="33"/>
          </w:tcPr>
          <w:p w14:paraId="35058025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 xml:space="preserve">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031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027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028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5058029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74" w:type="dxa"/>
            <w:gridSpan w:val="3"/>
            <w:vMerge w:val="restart"/>
            <w:shd w:val="clear" w:color="auto" w:fill="FDE9D9" w:themeFill="accent6" w:themeFillTint="33"/>
          </w:tcPr>
          <w:p w14:paraId="3505802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Kultūros renginių rinkodaros priemonių įgyvendinimas</w:t>
            </w:r>
          </w:p>
        </w:tc>
        <w:tc>
          <w:tcPr>
            <w:tcW w:w="1967" w:type="dxa"/>
            <w:shd w:val="clear" w:color="auto" w:fill="auto"/>
          </w:tcPr>
          <w:p w14:paraId="3505802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R. </w:t>
            </w:r>
            <w:proofErr w:type="spellStart"/>
            <w:r>
              <w:rPr>
                <w:rFonts w:eastAsia="MS Mincho"/>
                <w:sz w:val="20"/>
              </w:rPr>
              <w:t>Jasiūnienė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02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Įgyvendintų renginių rinkodaros priemonių rūšių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2D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2E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7</w:t>
            </w:r>
          </w:p>
        </w:tc>
        <w:tc>
          <w:tcPr>
            <w:tcW w:w="1407" w:type="dxa"/>
            <w:shd w:val="clear" w:color="auto" w:fill="auto"/>
          </w:tcPr>
          <w:p w14:paraId="3505802F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7</w:t>
            </w:r>
          </w:p>
        </w:tc>
        <w:tc>
          <w:tcPr>
            <w:tcW w:w="1478" w:type="dxa"/>
            <w:shd w:val="clear" w:color="auto" w:fill="auto"/>
          </w:tcPr>
          <w:p w14:paraId="35058030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I-III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03C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32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33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34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4" w:type="dxa"/>
            <w:gridSpan w:val="3"/>
            <w:vMerge/>
            <w:shd w:val="clear" w:color="auto" w:fill="FDE9D9" w:themeFill="accent6" w:themeFillTint="33"/>
          </w:tcPr>
          <w:p w14:paraId="35058035" w14:textId="77777777" w:rsidR="00076C35" w:rsidRDefault="00076C35">
            <w:pPr>
              <w:widowControl w:val="0"/>
              <w:rPr>
                <w:rFonts w:eastAsia="MS Mincho"/>
              </w:rPr>
            </w:pPr>
          </w:p>
        </w:tc>
        <w:tc>
          <w:tcPr>
            <w:tcW w:w="1967" w:type="dxa"/>
            <w:shd w:val="clear" w:color="auto" w:fill="auto"/>
          </w:tcPr>
          <w:p w14:paraId="3505803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1" w:type="dxa"/>
            <w:shd w:val="clear" w:color="auto" w:fill="auto"/>
          </w:tcPr>
          <w:p w14:paraId="3505803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Publikacijų ir </w:t>
            </w:r>
            <w:r>
              <w:rPr>
                <w:sz w:val="20"/>
              </w:rPr>
              <w:t>interviu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3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39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148</w:t>
            </w:r>
          </w:p>
        </w:tc>
        <w:tc>
          <w:tcPr>
            <w:tcW w:w="1407" w:type="dxa"/>
            <w:shd w:val="clear" w:color="auto" w:fill="auto"/>
          </w:tcPr>
          <w:p w14:paraId="3505803A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150</w:t>
            </w:r>
          </w:p>
        </w:tc>
        <w:tc>
          <w:tcPr>
            <w:tcW w:w="1478" w:type="dxa"/>
            <w:shd w:val="clear" w:color="auto" w:fill="auto"/>
          </w:tcPr>
          <w:p w14:paraId="3505803B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047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03D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03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505803F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74" w:type="dxa"/>
            <w:gridSpan w:val="3"/>
            <w:vMerge w:val="restart"/>
            <w:shd w:val="clear" w:color="auto" w:fill="FDE9D9" w:themeFill="accent6" w:themeFillTint="33"/>
          </w:tcPr>
          <w:p w14:paraId="35058040" w14:textId="77777777" w:rsidR="00076C35" w:rsidRDefault="00464F6F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Miesto viešųjų erdvių </w:t>
            </w:r>
            <w:proofErr w:type="spellStart"/>
            <w:r>
              <w:rPr>
                <w:rFonts w:eastAsia="MS Mincho"/>
                <w:sz w:val="20"/>
              </w:rPr>
              <w:t>įveiklinimas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14:paraId="3505804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3131" w:type="dxa"/>
            <w:shd w:val="clear" w:color="auto" w:fill="auto"/>
          </w:tcPr>
          <w:p w14:paraId="35058042" w14:textId="77777777" w:rsidR="00076C35" w:rsidRDefault="00464F6F">
            <w:pPr>
              <w:widowControl w:val="0"/>
              <w:rPr>
                <w:rFonts w:eastAsia="MS Mincho"/>
                <w:bCs/>
                <w:lang w:eastAsia="lt-LT"/>
              </w:rPr>
            </w:pPr>
            <w:proofErr w:type="spellStart"/>
            <w:r>
              <w:rPr>
                <w:rFonts w:eastAsia="MS Mincho"/>
                <w:bCs/>
                <w:sz w:val="20"/>
                <w:lang w:eastAsia="lt-LT"/>
              </w:rPr>
              <w:t>Įveiklintų</w:t>
            </w:r>
            <w:proofErr w:type="spellEnd"/>
            <w:r>
              <w:rPr>
                <w:rFonts w:eastAsia="MS Mincho"/>
                <w:bCs/>
                <w:sz w:val="20"/>
                <w:lang w:eastAsia="lt-LT"/>
              </w:rPr>
              <w:t xml:space="preserve"> erdvių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4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44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35058045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78" w:type="dxa"/>
            <w:shd w:val="clear" w:color="auto" w:fill="auto"/>
          </w:tcPr>
          <w:p w14:paraId="35058046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_I-IV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054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48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49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4A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974" w:type="dxa"/>
            <w:gridSpan w:val="3"/>
            <w:vMerge/>
            <w:shd w:val="clear" w:color="auto" w:fill="FDE9D9" w:themeFill="accent6" w:themeFillTint="33"/>
          </w:tcPr>
          <w:p w14:paraId="3505804B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04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3505804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  <w:p w14:paraId="3505804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04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Suorganizuotų lauko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5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51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14:paraId="35058052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478" w:type="dxa"/>
            <w:shd w:val="clear" w:color="auto" w:fill="auto"/>
          </w:tcPr>
          <w:p w14:paraId="3505805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II_III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61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55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56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57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974" w:type="dxa"/>
            <w:gridSpan w:val="3"/>
            <w:vMerge/>
            <w:shd w:val="clear" w:color="auto" w:fill="FDE9D9" w:themeFill="accent6" w:themeFillTint="33"/>
          </w:tcPr>
          <w:p w14:paraId="35058058" w14:textId="77777777" w:rsidR="00076C35" w:rsidRDefault="00076C35">
            <w:pPr>
              <w:widowControl w:val="0"/>
              <w:rPr>
                <w:rFonts w:eastAsia="MS Mincho"/>
              </w:rPr>
            </w:pPr>
          </w:p>
        </w:tc>
        <w:tc>
          <w:tcPr>
            <w:tcW w:w="1967" w:type="dxa"/>
            <w:shd w:val="clear" w:color="auto" w:fill="auto"/>
          </w:tcPr>
          <w:p w14:paraId="3505805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3505805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  <w:p w14:paraId="3505805B" w14:textId="77777777" w:rsidR="00076C35" w:rsidRDefault="00464F6F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05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Suorganizuotų lauko renginių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5D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5E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1033</w:t>
            </w:r>
          </w:p>
        </w:tc>
        <w:tc>
          <w:tcPr>
            <w:tcW w:w="1407" w:type="dxa"/>
            <w:shd w:val="clear" w:color="auto" w:fill="auto"/>
          </w:tcPr>
          <w:p w14:paraId="3505805F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1500</w:t>
            </w:r>
          </w:p>
        </w:tc>
        <w:tc>
          <w:tcPr>
            <w:tcW w:w="1478" w:type="dxa"/>
            <w:shd w:val="clear" w:color="auto" w:fill="auto"/>
          </w:tcPr>
          <w:p w14:paraId="3505806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 -III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6C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062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063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35058064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974" w:type="dxa"/>
            <w:gridSpan w:val="3"/>
            <w:shd w:val="clear" w:color="auto" w:fill="FDE9D9" w:themeFill="accent6" w:themeFillTint="33"/>
          </w:tcPr>
          <w:p w14:paraId="35058065" w14:textId="77777777" w:rsidR="00076C35" w:rsidRDefault="00464F6F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Kultūros paveldo puoselėjimas</w:t>
            </w:r>
          </w:p>
        </w:tc>
        <w:tc>
          <w:tcPr>
            <w:tcW w:w="1967" w:type="dxa"/>
            <w:shd w:val="clear" w:color="auto" w:fill="auto"/>
          </w:tcPr>
          <w:p w14:paraId="3505806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3131" w:type="dxa"/>
            <w:shd w:val="clear" w:color="auto" w:fill="auto"/>
          </w:tcPr>
          <w:p w14:paraId="3505806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Metinis kultūros paveldo ekspozicijų ir </w:t>
            </w:r>
            <w:r>
              <w:rPr>
                <w:color w:val="000000" w:themeColor="text1"/>
                <w:sz w:val="20"/>
              </w:rPr>
              <w:t xml:space="preserve">etnokultūrinių </w:t>
            </w:r>
            <w:r>
              <w:rPr>
                <w:sz w:val="20"/>
              </w:rPr>
              <w:t>renginių lankytojų skaičiaus pokytis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6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auto"/>
          </w:tcPr>
          <w:p w14:paraId="35058069" w14:textId="77777777" w:rsidR="00076C35" w:rsidRDefault="00464F6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1407" w:type="dxa"/>
            <w:shd w:val="clear" w:color="auto" w:fill="auto"/>
          </w:tcPr>
          <w:p w14:paraId="3505806A" w14:textId="77777777" w:rsidR="00076C35" w:rsidRDefault="00464F6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478" w:type="dxa"/>
            <w:shd w:val="clear" w:color="auto" w:fill="auto"/>
          </w:tcPr>
          <w:p w14:paraId="3505806B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78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06D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06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3505806F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5" w:type="dxa"/>
            <w:gridSpan w:val="2"/>
            <w:shd w:val="clear" w:color="auto" w:fill="auto"/>
          </w:tcPr>
          <w:p w14:paraId="3505807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shd w:val="clear" w:color="auto" w:fill="auto"/>
          </w:tcPr>
          <w:p w14:paraId="3505807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Parengti naujas / atnaujinti ekspozicijas</w:t>
            </w:r>
          </w:p>
        </w:tc>
        <w:tc>
          <w:tcPr>
            <w:tcW w:w="1967" w:type="dxa"/>
            <w:shd w:val="clear" w:color="auto" w:fill="auto"/>
          </w:tcPr>
          <w:p w14:paraId="3505807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Astramskas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073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Naujų/atnaujintų ekspozicijų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74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75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14:paraId="35058076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8" w:type="dxa"/>
            <w:shd w:val="clear" w:color="auto" w:fill="auto"/>
          </w:tcPr>
          <w:p w14:paraId="3505807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bookmarkStart w:id="1" w:name="__DdeLink__1987_3044500944"/>
            <w:bookmarkEnd w:id="1"/>
            <w:r>
              <w:rPr>
                <w:sz w:val="20"/>
              </w:rPr>
              <w:t xml:space="preserve">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85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079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07A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3505807B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5" w:type="dxa"/>
            <w:gridSpan w:val="2"/>
            <w:shd w:val="clear" w:color="auto" w:fill="auto"/>
          </w:tcPr>
          <w:p w14:paraId="3505807C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shd w:val="clear" w:color="auto" w:fill="auto"/>
          </w:tcPr>
          <w:p w14:paraId="3505807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Organizuoti etnokultūrinius </w:t>
            </w:r>
            <w:r>
              <w:rPr>
                <w:sz w:val="20"/>
              </w:rPr>
              <w:t>renginius</w:t>
            </w:r>
          </w:p>
        </w:tc>
        <w:tc>
          <w:tcPr>
            <w:tcW w:w="1967" w:type="dxa"/>
            <w:shd w:val="clear" w:color="auto" w:fill="auto"/>
          </w:tcPr>
          <w:p w14:paraId="3505807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L. </w:t>
            </w:r>
            <w:proofErr w:type="spellStart"/>
            <w:r>
              <w:rPr>
                <w:sz w:val="20"/>
              </w:rPr>
              <w:t>Vilienė</w:t>
            </w:r>
            <w:proofErr w:type="spellEnd"/>
          </w:p>
          <w:p w14:paraId="3505807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</w:tc>
        <w:tc>
          <w:tcPr>
            <w:tcW w:w="3131" w:type="dxa"/>
            <w:shd w:val="clear" w:color="auto" w:fill="auto"/>
          </w:tcPr>
          <w:p w14:paraId="3505808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Suorganizuotų etnokultūrinių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81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82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1407" w:type="dxa"/>
            <w:shd w:val="clear" w:color="auto" w:fill="auto"/>
          </w:tcPr>
          <w:p w14:paraId="35058083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250</w:t>
            </w:r>
          </w:p>
        </w:tc>
        <w:tc>
          <w:tcPr>
            <w:tcW w:w="1478" w:type="dxa"/>
            <w:shd w:val="clear" w:color="auto" w:fill="auto"/>
          </w:tcPr>
          <w:p w14:paraId="35058084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91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086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087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5058088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5" w:type="dxa"/>
            <w:gridSpan w:val="2"/>
            <w:vMerge w:val="restart"/>
            <w:shd w:val="clear" w:color="auto" w:fill="auto"/>
          </w:tcPr>
          <w:p w14:paraId="3505808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505808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Kaupti, tirti, restauruoti, saugoti muziejinių vertybių rinkinius ir nematerialųjį paveldą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8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8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Naujų įsigytų </w:t>
            </w:r>
            <w:r>
              <w:rPr>
                <w:sz w:val="20"/>
              </w:rPr>
              <w:t>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8D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8E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8F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9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9D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92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93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94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14:paraId="35058095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096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9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9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Suinventorintų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9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9A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2853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9B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2900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9C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AA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9E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9F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A0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14:paraId="350580A1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0A2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0A3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  <w:p w14:paraId="350580A4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1" w:type="dxa"/>
            <w:shd w:val="clear" w:color="auto" w:fill="auto"/>
          </w:tcPr>
          <w:p w14:paraId="350580A5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Pervertintų eksponatų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A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A7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23981</w:t>
            </w:r>
          </w:p>
        </w:tc>
        <w:tc>
          <w:tcPr>
            <w:tcW w:w="1407" w:type="dxa"/>
            <w:shd w:val="clear" w:color="auto" w:fill="auto"/>
          </w:tcPr>
          <w:p w14:paraId="350580A8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23930</w:t>
            </w:r>
          </w:p>
        </w:tc>
        <w:tc>
          <w:tcPr>
            <w:tcW w:w="1478" w:type="dxa"/>
            <w:shd w:val="clear" w:color="auto" w:fill="auto"/>
          </w:tcPr>
          <w:p w14:paraId="350580A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B7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AB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AC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AD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14:paraId="350580AE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0AF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0B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</w:t>
            </w:r>
            <w:r>
              <w:rPr>
                <w:sz w:val="20"/>
              </w:rPr>
              <w:t xml:space="preserve"> Mileris</w:t>
            </w:r>
          </w:p>
          <w:p w14:paraId="350580B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Kaštaunaitė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0B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Restauruotų eksponatų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0B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0B4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07" w:type="dxa"/>
            <w:shd w:val="clear" w:color="auto" w:fill="auto"/>
          </w:tcPr>
          <w:p w14:paraId="350580B5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78" w:type="dxa"/>
            <w:shd w:val="clear" w:color="auto" w:fill="auto"/>
          </w:tcPr>
          <w:p w14:paraId="350580B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C5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B8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B9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BA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14:paraId="350580BB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0BC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B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Kaziukonienė</w:t>
            </w:r>
            <w:proofErr w:type="spellEnd"/>
          </w:p>
          <w:p w14:paraId="350580B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350580B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Kaštaunaitė</w:t>
            </w:r>
            <w:proofErr w:type="spellEnd"/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C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Konservuotų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C1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C2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C3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450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C4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D1" w14:textId="77777777">
        <w:trPr>
          <w:trHeight w:val="303"/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350580C6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EAF1DD" w:themeFill="accent3" w:themeFillTint="33"/>
          </w:tcPr>
          <w:p w14:paraId="350580C7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tcBorders>
              <w:top w:val="nil"/>
            </w:tcBorders>
            <w:shd w:val="clear" w:color="auto" w:fill="FDE9D9" w:themeFill="accent6" w:themeFillTint="33"/>
          </w:tcPr>
          <w:p w14:paraId="350580C8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auto"/>
          </w:tcPr>
          <w:p w14:paraId="350580C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419" w:type="dxa"/>
            <w:tcBorders>
              <w:top w:val="nil"/>
            </w:tcBorders>
            <w:shd w:val="clear" w:color="auto" w:fill="auto"/>
          </w:tcPr>
          <w:p w14:paraId="350580C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Tyrinėti Panevėžio regiono istoriją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C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C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Muziejinių, archeologinių, etnografinių, istorinių išvykų skaičius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CD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CE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CF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D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DD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0D2" w14:textId="77777777" w:rsidR="00076C35" w:rsidRDefault="00464F6F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0D3" w14:textId="77777777" w:rsidR="00076C35" w:rsidRDefault="00464F6F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350580D4" w14:textId="77777777" w:rsidR="00076C35" w:rsidRDefault="00464F6F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55" w:type="dxa"/>
            <w:gridSpan w:val="2"/>
            <w:shd w:val="clear" w:color="auto" w:fill="auto"/>
          </w:tcPr>
          <w:p w14:paraId="350580D5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419" w:type="dxa"/>
            <w:shd w:val="clear" w:color="auto" w:fill="auto"/>
          </w:tcPr>
          <w:p w14:paraId="350580D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Teikti konsultacijas istorijos, etnokultūros ir gamtos klausimas miesto visuomenei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D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D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Suteiktų konsultacijų miesto visuomenei </w:t>
            </w:r>
            <w:r>
              <w:rPr>
                <w:sz w:val="20"/>
              </w:rPr>
              <w:t>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D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DA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238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DB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DC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E9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0D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0DF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50580E0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04</w:t>
            </w:r>
          </w:p>
        </w:tc>
        <w:tc>
          <w:tcPr>
            <w:tcW w:w="2974" w:type="dxa"/>
            <w:gridSpan w:val="3"/>
            <w:vMerge w:val="restart"/>
            <w:shd w:val="clear" w:color="auto" w:fill="FDE9D9" w:themeFill="accent6" w:themeFillTint="33"/>
          </w:tcPr>
          <w:p w14:paraId="350580E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Sąlygų sudarymas miesto gyventojams dalyvauti kultūros ir meno veikloje, ugdyti kūrybiškumą ir plėsti meninę veiklą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E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proofErr w:type="spellStart"/>
            <w:r>
              <w:rPr>
                <w:sz w:val="20"/>
              </w:rPr>
              <w:t>Baltuškienė</w:t>
            </w:r>
            <w:proofErr w:type="spellEnd"/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E3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Mėgėjų meno kolektyvų skaičius</w:t>
            </w:r>
          </w:p>
          <w:p w14:paraId="350580E4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E5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E6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E7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E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0F4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0EA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0EB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0EC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4" w:type="dxa"/>
            <w:gridSpan w:val="3"/>
            <w:vMerge/>
            <w:shd w:val="clear" w:color="auto" w:fill="FDE9D9" w:themeFill="accent6" w:themeFillTint="33"/>
          </w:tcPr>
          <w:p w14:paraId="350580ED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E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proofErr w:type="spellStart"/>
            <w:r>
              <w:rPr>
                <w:sz w:val="20"/>
              </w:rPr>
              <w:t>Baltuškienė</w:t>
            </w:r>
            <w:proofErr w:type="spellEnd"/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E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Mėgėjų meno kolektyvų dalyvių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F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F1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F2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F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00" w14:textId="77777777">
        <w:trPr>
          <w:trHeight w:val="303"/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350580F5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EAF1DD" w:themeFill="accent3" w:themeFillTint="33"/>
          </w:tcPr>
          <w:p w14:paraId="350580F6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tcBorders>
              <w:top w:val="nil"/>
            </w:tcBorders>
            <w:shd w:val="clear" w:color="auto" w:fill="FDE9D9" w:themeFill="accent6" w:themeFillTint="33"/>
          </w:tcPr>
          <w:p w14:paraId="350580F7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05</w:t>
            </w:r>
          </w:p>
        </w:tc>
        <w:tc>
          <w:tcPr>
            <w:tcW w:w="2974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350580F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Muziejaus ir miesto bendruomenės kultūrinių iniciatyvų, kūrybiškumo ir kūrybinės </w:t>
            </w:r>
            <w:proofErr w:type="spellStart"/>
            <w:r>
              <w:rPr>
                <w:sz w:val="20"/>
              </w:rPr>
              <w:t>įtraukties</w:t>
            </w:r>
            <w:proofErr w:type="spellEnd"/>
            <w:r>
              <w:rPr>
                <w:sz w:val="20"/>
              </w:rPr>
              <w:t xml:space="preserve"> skatinimas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0F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Mikulėnas</w:t>
            </w:r>
          </w:p>
          <w:p w14:paraId="350580F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proofErr w:type="spellStart"/>
            <w:r>
              <w:rPr>
                <w:sz w:val="20"/>
              </w:rPr>
              <w:t>Baltuškienė</w:t>
            </w:r>
            <w:proofErr w:type="spellEnd"/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0F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Įgyvendintų bendrų iniciatyvų skaičius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0FC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0FD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0FE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0F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0B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01" w14:textId="77777777" w:rsidR="00076C35" w:rsidRDefault="00464F6F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02" w14:textId="77777777" w:rsidR="00076C35" w:rsidRDefault="00464F6F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35058103" w14:textId="77777777" w:rsidR="00076C35" w:rsidRDefault="00464F6F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06</w:t>
            </w:r>
          </w:p>
        </w:tc>
        <w:tc>
          <w:tcPr>
            <w:tcW w:w="2974" w:type="dxa"/>
            <w:gridSpan w:val="3"/>
            <w:shd w:val="clear" w:color="auto" w:fill="FDE9D9" w:themeFill="accent6" w:themeFillTint="33"/>
          </w:tcPr>
          <w:p w14:paraId="35058104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Bendradarbiavimas su miesto ir regiono kultūros ir švietimo įstaigomis</w:t>
            </w:r>
          </w:p>
        </w:tc>
        <w:tc>
          <w:tcPr>
            <w:tcW w:w="1967" w:type="dxa"/>
            <w:shd w:val="clear" w:color="auto" w:fill="auto"/>
          </w:tcPr>
          <w:p w14:paraId="35058105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Astramskas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10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Pasirašytų bendradarbiavimo sutarčių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10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108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14:paraId="35058109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78" w:type="dxa"/>
            <w:shd w:val="clear" w:color="auto" w:fill="auto"/>
          </w:tcPr>
          <w:p w14:paraId="3505810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16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10C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10D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505810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2974" w:type="dxa"/>
            <w:gridSpan w:val="3"/>
            <w:vMerge w:val="restart"/>
            <w:shd w:val="clear" w:color="auto" w:fill="FDE9D9" w:themeFill="accent6" w:themeFillTint="33"/>
          </w:tcPr>
          <w:p w14:paraId="3505810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kultūrinės veiklos plėtra</w:t>
            </w:r>
          </w:p>
        </w:tc>
        <w:tc>
          <w:tcPr>
            <w:tcW w:w="1967" w:type="dxa"/>
            <w:shd w:val="clear" w:color="auto" w:fill="auto"/>
          </w:tcPr>
          <w:p w14:paraId="3505811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3131" w:type="dxa"/>
            <w:shd w:val="clear" w:color="auto" w:fill="auto"/>
          </w:tcPr>
          <w:p w14:paraId="3505811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Bendras </w:t>
            </w:r>
            <w:r>
              <w:rPr>
                <w:sz w:val="20"/>
              </w:rPr>
              <w:t>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112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113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26 113</w:t>
            </w:r>
          </w:p>
        </w:tc>
        <w:tc>
          <w:tcPr>
            <w:tcW w:w="1407" w:type="dxa"/>
            <w:shd w:val="clear" w:color="auto" w:fill="auto"/>
          </w:tcPr>
          <w:p w14:paraId="35058114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26 200</w:t>
            </w:r>
          </w:p>
        </w:tc>
        <w:tc>
          <w:tcPr>
            <w:tcW w:w="1478" w:type="dxa"/>
            <w:shd w:val="clear" w:color="auto" w:fill="auto"/>
          </w:tcPr>
          <w:p w14:paraId="35058115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23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17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18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119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4" w:type="dxa"/>
            <w:gridSpan w:val="3"/>
            <w:vMerge/>
            <w:shd w:val="clear" w:color="auto" w:fill="FDE9D9" w:themeFill="accent6" w:themeFillTint="33"/>
          </w:tcPr>
          <w:p w14:paraId="3505811A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11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3505811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Mikulėnas</w:t>
            </w:r>
          </w:p>
        </w:tc>
        <w:tc>
          <w:tcPr>
            <w:tcW w:w="3131" w:type="dxa"/>
            <w:shd w:val="clear" w:color="auto" w:fill="auto"/>
          </w:tcPr>
          <w:p w14:paraId="3505811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Lankytojų pasitenkinimo teikiamomis paslaugomis vertinimas (anketinis)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11E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  <w:p w14:paraId="3505811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Neigiamas</w:t>
            </w:r>
          </w:p>
        </w:tc>
        <w:tc>
          <w:tcPr>
            <w:tcW w:w="1420" w:type="dxa"/>
            <w:shd w:val="clear" w:color="auto" w:fill="auto"/>
          </w:tcPr>
          <w:p w14:paraId="35058120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Teigiamas</w:t>
            </w:r>
          </w:p>
        </w:tc>
        <w:tc>
          <w:tcPr>
            <w:tcW w:w="1407" w:type="dxa"/>
            <w:shd w:val="clear" w:color="auto" w:fill="auto"/>
          </w:tcPr>
          <w:p w14:paraId="35058121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Teigiamas</w:t>
            </w:r>
          </w:p>
        </w:tc>
        <w:tc>
          <w:tcPr>
            <w:tcW w:w="1478" w:type="dxa"/>
            <w:shd w:val="clear" w:color="auto" w:fill="auto"/>
          </w:tcPr>
          <w:p w14:paraId="35058122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2F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124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125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5058126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55" w:type="dxa"/>
            <w:gridSpan w:val="2"/>
            <w:vMerge w:val="restart"/>
            <w:shd w:val="clear" w:color="auto" w:fill="auto"/>
          </w:tcPr>
          <w:p w14:paraId="3505812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505812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Plėsti ir vykdyti  edukacinę </w:t>
            </w:r>
            <w:r>
              <w:rPr>
                <w:sz w:val="20"/>
              </w:rPr>
              <w:t>veiklą</w:t>
            </w:r>
          </w:p>
        </w:tc>
        <w:tc>
          <w:tcPr>
            <w:tcW w:w="1967" w:type="dxa"/>
            <w:shd w:val="clear" w:color="auto" w:fill="auto"/>
          </w:tcPr>
          <w:p w14:paraId="3505812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12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Pravestų edukacinių programų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12B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12C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1407" w:type="dxa"/>
            <w:shd w:val="clear" w:color="auto" w:fill="auto"/>
          </w:tcPr>
          <w:p w14:paraId="3505812D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380</w:t>
            </w:r>
          </w:p>
        </w:tc>
        <w:tc>
          <w:tcPr>
            <w:tcW w:w="1478" w:type="dxa"/>
            <w:shd w:val="clear" w:color="auto" w:fill="auto"/>
          </w:tcPr>
          <w:p w14:paraId="3505812E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3B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30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31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132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14:paraId="35058133" w14:textId="77777777" w:rsidR="00076C35" w:rsidRDefault="00076C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134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135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13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Edukacinių programų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13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138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7581</w:t>
            </w:r>
          </w:p>
        </w:tc>
        <w:tc>
          <w:tcPr>
            <w:tcW w:w="1407" w:type="dxa"/>
            <w:shd w:val="clear" w:color="auto" w:fill="auto"/>
          </w:tcPr>
          <w:p w14:paraId="35058139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7600</w:t>
            </w:r>
          </w:p>
        </w:tc>
        <w:tc>
          <w:tcPr>
            <w:tcW w:w="1478" w:type="dxa"/>
            <w:shd w:val="clear" w:color="auto" w:fill="auto"/>
          </w:tcPr>
          <w:p w14:paraId="3505813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47" w14:textId="77777777">
        <w:trPr>
          <w:trHeight w:val="303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DBE5F1" w:themeFill="accent1" w:themeFillTint="33"/>
          </w:tcPr>
          <w:p w14:paraId="3505813C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3505813D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3505813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5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505813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vMerge w:val="restart"/>
            <w:tcBorders>
              <w:top w:val="nil"/>
            </w:tcBorders>
            <w:shd w:val="clear" w:color="auto" w:fill="auto"/>
          </w:tcPr>
          <w:p w14:paraId="3505814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renginius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14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14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Suorganizuotų </w:t>
            </w:r>
            <w:r>
              <w:rPr>
                <w:sz w:val="20"/>
              </w:rPr>
              <w:t>renginių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14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144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149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145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150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14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53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48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49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505814A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</w:tcPr>
          <w:p w14:paraId="3505814B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14C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14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Sprindienė</w:t>
            </w:r>
            <w:proofErr w:type="spellEnd"/>
          </w:p>
        </w:tc>
        <w:tc>
          <w:tcPr>
            <w:tcW w:w="3131" w:type="dxa"/>
            <w:tcBorders>
              <w:top w:val="nil"/>
            </w:tcBorders>
            <w:shd w:val="clear" w:color="auto" w:fill="auto"/>
          </w:tcPr>
          <w:p w14:paraId="3505814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Renginių lankytojų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05814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150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5170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151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5200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152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I-IV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6C35" w14:paraId="3505815C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54" w14:textId="77777777" w:rsidR="00076C35" w:rsidRDefault="00464F6F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55" w14:textId="77777777" w:rsidR="00076C35" w:rsidRDefault="00464F6F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02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35058156" w14:textId="77777777" w:rsidR="00076C35" w:rsidRDefault="00464F6F">
            <w:pPr>
              <w:widowControl w:val="0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Sudaryti palankias sąlygas profesionalaus meno ir kultūros vystymui</w:t>
            </w:r>
          </w:p>
        </w:tc>
        <w:tc>
          <w:tcPr>
            <w:tcW w:w="3131" w:type="dxa"/>
            <w:shd w:val="clear" w:color="auto" w:fill="EAF1DD" w:themeFill="accent3" w:themeFillTint="33"/>
          </w:tcPr>
          <w:p w14:paraId="3505815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89" w:type="dxa"/>
            <w:gridSpan w:val="2"/>
            <w:shd w:val="clear" w:color="auto" w:fill="EAF1DD" w:themeFill="accent3" w:themeFillTint="33"/>
          </w:tcPr>
          <w:p w14:paraId="3505815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35058159" w14:textId="77777777" w:rsidR="00076C35" w:rsidRDefault="00464F6F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0</w:t>
            </w:r>
          </w:p>
        </w:tc>
        <w:tc>
          <w:tcPr>
            <w:tcW w:w="1407" w:type="dxa"/>
            <w:shd w:val="clear" w:color="auto" w:fill="EAF1DD" w:themeFill="accent3" w:themeFillTint="33"/>
          </w:tcPr>
          <w:p w14:paraId="3505815A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84,2</w:t>
            </w:r>
          </w:p>
        </w:tc>
        <w:tc>
          <w:tcPr>
            <w:tcW w:w="1478" w:type="dxa"/>
            <w:shd w:val="clear" w:color="auto" w:fill="EAF1DD" w:themeFill="accent3" w:themeFillTint="33"/>
          </w:tcPr>
          <w:p w14:paraId="3505815B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IV </w:t>
            </w:r>
            <w:proofErr w:type="spellStart"/>
            <w:r>
              <w:rPr>
                <w:bCs/>
                <w:sz w:val="20"/>
                <w:lang w:eastAsia="lt-LT"/>
              </w:rPr>
              <w:t>ketv</w:t>
            </w:r>
            <w:proofErr w:type="spellEnd"/>
            <w:r>
              <w:rPr>
                <w:bCs/>
                <w:sz w:val="20"/>
                <w:lang w:eastAsia="lt-LT"/>
              </w:rPr>
              <w:t>.</w:t>
            </w:r>
          </w:p>
        </w:tc>
      </w:tr>
      <w:tr w:rsidR="00076C35" w14:paraId="35058168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15D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15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3505815F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63" w:type="dxa"/>
            <w:gridSpan w:val="2"/>
            <w:vMerge w:val="restart"/>
            <w:shd w:val="clear" w:color="auto" w:fill="FDE9D9" w:themeFill="accent6" w:themeFillTint="33"/>
          </w:tcPr>
          <w:p w14:paraId="35058160" w14:textId="77777777" w:rsidR="00076C35" w:rsidRDefault="00464F6F">
            <w:pPr>
              <w:widowControl w:val="0"/>
              <w:rPr>
                <w:b/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 xml:space="preserve">Profesionalių menininkų vizualaus meno parodų muziejuje </w:t>
            </w:r>
            <w:r>
              <w:rPr>
                <w:rFonts w:eastAsia="MS Mincho"/>
                <w:sz w:val="20"/>
              </w:rPr>
              <w:lastRenderedPageBreak/>
              <w:t>organizavimas</w:t>
            </w:r>
          </w:p>
        </w:tc>
        <w:tc>
          <w:tcPr>
            <w:tcW w:w="1967" w:type="dxa"/>
            <w:shd w:val="clear" w:color="auto" w:fill="FFFFFF" w:themeFill="background1"/>
          </w:tcPr>
          <w:p w14:paraId="35058161" w14:textId="77777777" w:rsidR="00076C35" w:rsidRDefault="00464F6F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lastRenderedPageBreak/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  <w:p w14:paraId="3505816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Z. </w:t>
            </w:r>
            <w:proofErr w:type="spellStart"/>
            <w:r>
              <w:rPr>
                <w:rFonts w:eastAsia="MS Mincho"/>
                <w:sz w:val="20"/>
              </w:rPr>
              <w:t>Pikelytė</w:t>
            </w:r>
            <w:proofErr w:type="spellEnd"/>
          </w:p>
        </w:tc>
        <w:tc>
          <w:tcPr>
            <w:tcW w:w="3131" w:type="dxa"/>
            <w:shd w:val="clear" w:color="auto" w:fill="FFFFFF" w:themeFill="background1"/>
          </w:tcPr>
          <w:p w14:paraId="35058163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Parodų skaičius per metus</w:t>
            </w:r>
          </w:p>
        </w:tc>
        <w:tc>
          <w:tcPr>
            <w:tcW w:w="1289" w:type="dxa"/>
            <w:gridSpan w:val="2"/>
            <w:shd w:val="clear" w:color="auto" w:fill="FFFFFF" w:themeFill="background1"/>
          </w:tcPr>
          <w:p w14:paraId="35058164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65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66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67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III-</w:t>
            </w:r>
            <w:proofErr w:type="spellStart"/>
            <w:r>
              <w:rPr>
                <w:rFonts w:eastAsia="MS Mincho"/>
                <w:sz w:val="20"/>
              </w:rPr>
              <w:t>IVketv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73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69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6A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3505816B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63" w:type="dxa"/>
            <w:gridSpan w:val="2"/>
            <w:vMerge/>
            <w:shd w:val="clear" w:color="auto" w:fill="FDE9D9" w:themeFill="accent6" w:themeFillTint="33"/>
          </w:tcPr>
          <w:p w14:paraId="3505816C" w14:textId="77777777" w:rsidR="00076C35" w:rsidRDefault="00076C35">
            <w:pPr>
              <w:widowControl w:val="0"/>
              <w:rPr>
                <w:b/>
                <w:bCs/>
                <w:lang w:eastAsia="lt-LT"/>
              </w:rPr>
            </w:pPr>
          </w:p>
        </w:tc>
        <w:tc>
          <w:tcPr>
            <w:tcW w:w="1967" w:type="dxa"/>
            <w:shd w:val="clear" w:color="auto" w:fill="FFFFFF" w:themeFill="background1"/>
          </w:tcPr>
          <w:p w14:paraId="3505816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</w:tc>
        <w:tc>
          <w:tcPr>
            <w:tcW w:w="3131" w:type="dxa"/>
            <w:shd w:val="clear" w:color="auto" w:fill="FFFFFF" w:themeFill="background1"/>
          </w:tcPr>
          <w:p w14:paraId="3505816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Įtrauktų menininkų skaičius per metus</w:t>
            </w:r>
          </w:p>
        </w:tc>
        <w:tc>
          <w:tcPr>
            <w:tcW w:w="1289" w:type="dxa"/>
            <w:gridSpan w:val="2"/>
            <w:shd w:val="clear" w:color="auto" w:fill="FFFFFF" w:themeFill="background1"/>
          </w:tcPr>
          <w:p w14:paraId="3505816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70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71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72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III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7E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74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75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35058176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74" w:type="dxa"/>
            <w:gridSpan w:val="3"/>
            <w:shd w:val="clear" w:color="auto" w:fill="FDE9D9" w:themeFill="accent6" w:themeFillTint="33"/>
          </w:tcPr>
          <w:p w14:paraId="3505817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Meno </w:t>
            </w:r>
            <w:r>
              <w:rPr>
                <w:rFonts w:eastAsia="MS Mincho"/>
                <w:sz w:val="20"/>
              </w:rPr>
              <w:t>kūrinių kolekcijų formavimas</w:t>
            </w:r>
          </w:p>
        </w:tc>
        <w:tc>
          <w:tcPr>
            <w:tcW w:w="1967" w:type="dxa"/>
            <w:shd w:val="clear" w:color="auto" w:fill="auto"/>
          </w:tcPr>
          <w:p w14:paraId="3505817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J. </w:t>
            </w:r>
            <w:proofErr w:type="spellStart"/>
            <w:r>
              <w:rPr>
                <w:rFonts w:eastAsia="MS Mincho"/>
                <w:sz w:val="20"/>
              </w:rPr>
              <w:t>Gaidelienė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14:paraId="3505817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Įsigytų meno kūrinių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505817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3505817B" w14:textId="77777777" w:rsidR="00076C35" w:rsidRDefault="00464F6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07" w:type="dxa"/>
            <w:shd w:val="clear" w:color="auto" w:fill="auto"/>
          </w:tcPr>
          <w:p w14:paraId="3505817C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30</w:t>
            </w:r>
          </w:p>
        </w:tc>
        <w:tc>
          <w:tcPr>
            <w:tcW w:w="1478" w:type="dxa"/>
            <w:shd w:val="clear" w:color="auto" w:fill="auto"/>
          </w:tcPr>
          <w:p w14:paraId="3505817D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87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7F" w14:textId="77777777" w:rsidR="00076C35" w:rsidRDefault="00464F6F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80" w14:textId="77777777" w:rsidR="00076C35" w:rsidRDefault="00464F6F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03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3505818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Užtikrinti muziejaus</w:t>
            </w:r>
            <w:r>
              <w:rPr>
                <w:b/>
                <w:bCs/>
                <w:color w:val="FF0000"/>
                <w:sz w:val="20"/>
                <w:lang w:eastAsia="lt-LT"/>
              </w:rPr>
              <w:t xml:space="preserve"> </w:t>
            </w:r>
            <w:r>
              <w:rPr>
                <w:b/>
                <w:bCs/>
                <w:sz w:val="20"/>
                <w:lang w:eastAsia="lt-LT"/>
              </w:rPr>
              <w:t>veiklos kokybės ir paslaugų prieinamumo gerinimą</w:t>
            </w:r>
          </w:p>
        </w:tc>
        <w:tc>
          <w:tcPr>
            <w:tcW w:w="3142" w:type="dxa"/>
            <w:gridSpan w:val="2"/>
            <w:shd w:val="clear" w:color="auto" w:fill="EAF1DD" w:themeFill="accent3" w:themeFillTint="33"/>
          </w:tcPr>
          <w:p w14:paraId="3505818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teikiamų paslaugų kokybės pokytis pagal anketinį vertinimą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14:paraId="3505818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35058184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407" w:type="dxa"/>
            <w:shd w:val="clear" w:color="auto" w:fill="EAF1DD" w:themeFill="accent3" w:themeFillTint="33"/>
          </w:tcPr>
          <w:p w14:paraId="35058185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478" w:type="dxa"/>
            <w:shd w:val="clear" w:color="auto" w:fill="EAF1DD" w:themeFill="accent3" w:themeFillTint="33"/>
          </w:tcPr>
          <w:p w14:paraId="35058186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94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8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89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505818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63" w:type="dxa"/>
            <w:gridSpan w:val="2"/>
            <w:shd w:val="clear" w:color="auto" w:fill="FDE9D9" w:themeFill="accent6" w:themeFillTint="33"/>
          </w:tcPr>
          <w:p w14:paraId="3505818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Muziejaus veiklos modernizavimas (aktualinimas), siekiant didesnės gyventojų </w:t>
            </w:r>
            <w:proofErr w:type="spellStart"/>
            <w:r>
              <w:rPr>
                <w:rFonts w:eastAsia="MS Mincho"/>
                <w:sz w:val="20"/>
              </w:rPr>
              <w:t>įtraukties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14:paraId="3505818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Astramskas</w:t>
            </w:r>
            <w:proofErr w:type="spellEnd"/>
          </w:p>
          <w:p w14:paraId="3505818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3505818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3142" w:type="dxa"/>
            <w:gridSpan w:val="2"/>
            <w:shd w:val="clear" w:color="auto" w:fill="auto"/>
          </w:tcPr>
          <w:p w14:paraId="3505818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78" w:type="dxa"/>
            <w:shd w:val="clear" w:color="auto" w:fill="auto"/>
          </w:tcPr>
          <w:p w14:paraId="35058190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auto"/>
          </w:tcPr>
          <w:p w14:paraId="35058191" w14:textId="77777777" w:rsidR="00076C35" w:rsidRDefault="00464F6F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46,1</w:t>
            </w:r>
          </w:p>
        </w:tc>
        <w:tc>
          <w:tcPr>
            <w:tcW w:w="1407" w:type="dxa"/>
            <w:shd w:val="clear" w:color="auto" w:fill="auto"/>
          </w:tcPr>
          <w:p w14:paraId="35058192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14:paraId="35058193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IV </w:t>
            </w:r>
            <w:proofErr w:type="spellStart"/>
            <w:r>
              <w:rPr>
                <w:bCs/>
                <w:sz w:val="20"/>
                <w:lang w:eastAsia="lt-LT"/>
              </w:rPr>
              <w:t>ketv</w:t>
            </w:r>
            <w:proofErr w:type="spellEnd"/>
            <w:r>
              <w:rPr>
                <w:bCs/>
                <w:sz w:val="20"/>
                <w:lang w:eastAsia="lt-LT"/>
              </w:rPr>
              <w:t>.</w:t>
            </w:r>
          </w:p>
        </w:tc>
      </w:tr>
      <w:tr w:rsidR="00076C35" w14:paraId="350581A0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195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19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3505819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3505819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5058199" w14:textId="77777777" w:rsidR="00076C35" w:rsidRDefault="00464F6F">
            <w:pPr>
              <w:widowControl w:val="0"/>
              <w:rPr>
                <w:color w:val="FF0000"/>
              </w:rPr>
            </w:pPr>
            <w:r>
              <w:rPr>
                <w:rFonts w:eastAsia="MS Mincho"/>
                <w:sz w:val="20"/>
              </w:rPr>
              <w:t xml:space="preserve">Rengti </w:t>
            </w:r>
            <w:r>
              <w:rPr>
                <w:rFonts w:eastAsia="MS Mincho"/>
                <w:sz w:val="20"/>
              </w:rPr>
              <w:t>muziejinio profilio edukacines programas jaunimui ir miesto bendruomenei</w:t>
            </w:r>
          </w:p>
        </w:tc>
        <w:tc>
          <w:tcPr>
            <w:tcW w:w="1967" w:type="dxa"/>
            <w:shd w:val="clear" w:color="auto" w:fill="auto"/>
          </w:tcPr>
          <w:p w14:paraId="3505819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9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Naujų parengtų ar atnaujintų edukacinių programų skaičius per metus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9C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9D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9E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9F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II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AE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A1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A2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350581A3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350581A4" w14:textId="77777777" w:rsidR="00076C35" w:rsidRDefault="00076C35">
            <w:pPr>
              <w:widowControl w:val="0"/>
              <w:rPr>
                <w:rFonts w:eastAsia="MS Mincho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1A5" w14:textId="77777777" w:rsidR="00076C35" w:rsidRDefault="00076C35">
            <w:pPr>
              <w:widowControl w:val="0"/>
              <w:rPr>
                <w:rFonts w:eastAsia="MS Mincho"/>
              </w:rPr>
            </w:pPr>
          </w:p>
        </w:tc>
        <w:tc>
          <w:tcPr>
            <w:tcW w:w="1967" w:type="dxa"/>
            <w:shd w:val="clear" w:color="auto" w:fill="auto"/>
          </w:tcPr>
          <w:p w14:paraId="350581A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  <w:p w14:paraId="350581A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L. </w:t>
            </w:r>
            <w:proofErr w:type="spellStart"/>
            <w:r>
              <w:rPr>
                <w:rFonts w:eastAsia="MS Mincho"/>
                <w:sz w:val="20"/>
              </w:rPr>
              <w:t>Bekerė</w:t>
            </w:r>
            <w:proofErr w:type="spellEnd"/>
          </w:p>
          <w:p w14:paraId="350581A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A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Patvirtintų kultūros paso </w:t>
            </w:r>
            <w:r>
              <w:rPr>
                <w:bCs/>
                <w:sz w:val="20"/>
                <w:lang w:eastAsia="lt-LT"/>
              </w:rPr>
              <w:t>edukacinių programų skaičius per metus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A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AB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18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AC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18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AD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BA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AF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B0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350581B1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350581B2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1B3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1B4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B5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Programų dalyvių skaičiaus pokytis per metus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B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B7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color w:val="000000"/>
                <w:sz w:val="20"/>
              </w:rPr>
              <w:t>87,1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B8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B9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C7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1BB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1BC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350581BD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350581BE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50581BF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naujų formų renginius</w:t>
            </w:r>
          </w:p>
        </w:tc>
        <w:tc>
          <w:tcPr>
            <w:tcW w:w="1967" w:type="dxa"/>
            <w:shd w:val="clear" w:color="auto" w:fill="auto"/>
          </w:tcPr>
          <w:p w14:paraId="350581C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R. </w:t>
            </w:r>
            <w:proofErr w:type="spellStart"/>
            <w:r>
              <w:rPr>
                <w:rFonts w:eastAsia="MS Mincho"/>
                <w:sz w:val="20"/>
              </w:rPr>
              <w:t>Jasiūnienė</w:t>
            </w:r>
            <w:proofErr w:type="spellEnd"/>
          </w:p>
          <w:p w14:paraId="350581C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Mikulėnas</w:t>
            </w:r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C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Naujų formų kultūros renginių </w:t>
            </w:r>
            <w:r>
              <w:rPr>
                <w:sz w:val="20"/>
              </w:rPr>
              <w:t>skaičius per metus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C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C4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C5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C6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D3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C8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C9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350581CA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350581CB" w14:textId="77777777" w:rsidR="00076C35" w:rsidRDefault="00076C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1CC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1C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C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Reprezentacinių parodų skaičius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C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D0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D1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D2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II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DF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1D4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1D5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350581D6" w14:textId="77777777" w:rsidR="00076C35" w:rsidRDefault="00076C35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350581D7" w14:textId="77777777" w:rsidR="00076C35" w:rsidRDefault="00076C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1D8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</w:tcPr>
          <w:p w14:paraId="350581D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DA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Kitų parodų (kilnojamųjų, virtualių ir kitų) skaičius per metus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DB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DC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22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DD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22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DE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EC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E0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E1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50581E2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4" w:type="dxa"/>
            <w:shd w:val="clear" w:color="auto" w:fill="auto"/>
          </w:tcPr>
          <w:p w14:paraId="350581E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shd w:val="clear" w:color="auto" w:fill="auto"/>
          </w:tcPr>
          <w:p w14:paraId="350581E4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Organizuoti </w:t>
            </w:r>
            <w:proofErr w:type="spellStart"/>
            <w:r>
              <w:rPr>
                <w:sz w:val="20"/>
              </w:rPr>
              <w:t>tarptautiškumą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stiprinančias veiklas</w:t>
            </w:r>
          </w:p>
        </w:tc>
        <w:tc>
          <w:tcPr>
            <w:tcW w:w="1967" w:type="dxa"/>
            <w:shd w:val="clear" w:color="auto" w:fill="auto"/>
          </w:tcPr>
          <w:p w14:paraId="350581E5" w14:textId="77777777" w:rsidR="00076C35" w:rsidRDefault="00464F6F">
            <w:pPr>
              <w:widowControl w:val="0"/>
              <w:rPr>
                <w:rFonts w:eastAsia="MS Mincho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  <w:p w14:paraId="350581E6" w14:textId="77777777" w:rsidR="00076C35" w:rsidRDefault="00464F6F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E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Įvykusių tarptautinių renginių skaičius per metus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E8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E9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EA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EB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III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1F7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1ED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1EE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50581E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63" w:type="dxa"/>
            <w:gridSpan w:val="2"/>
            <w:shd w:val="clear" w:color="auto" w:fill="FDE9D9" w:themeFill="accent6" w:themeFillTint="33"/>
          </w:tcPr>
          <w:p w14:paraId="350581F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specialistų kompetencijų ir kvalifikacijos kėlimas</w:t>
            </w:r>
          </w:p>
        </w:tc>
        <w:tc>
          <w:tcPr>
            <w:tcW w:w="1967" w:type="dxa"/>
            <w:shd w:val="clear" w:color="auto" w:fill="auto"/>
          </w:tcPr>
          <w:p w14:paraId="350581F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administracija</w:t>
            </w:r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1F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Kvalifikaciją kėlusių specialistų per </w:t>
            </w:r>
            <w:r>
              <w:rPr>
                <w:bCs/>
                <w:sz w:val="20"/>
                <w:lang w:eastAsia="lt-LT"/>
              </w:rPr>
              <w:t>metus dalis nuo visų specialistų skaičiaus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1F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1F4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93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1F5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93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1F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202" w14:textId="77777777">
        <w:trPr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350581F8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EAF1DD" w:themeFill="accent3" w:themeFillTint="33"/>
          </w:tcPr>
          <w:p w14:paraId="350581F9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350581FA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963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350581FB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Kultūrinių paslaugų ir muziejaus veiklos skaitmenizavimas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1F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</w:tcBorders>
            <w:shd w:val="clear" w:color="auto" w:fill="auto"/>
          </w:tcPr>
          <w:p w14:paraId="350581F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paveldo objektų  pokytis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14:paraId="350581FE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350581FF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141,4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35058200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4,9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14:paraId="35058201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20E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5058203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vMerge w:val="restart"/>
            <w:shd w:val="clear" w:color="auto" w:fill="EAF1DD" w:themeFill="accent3" w:themeFillTint="33"/>
          </w:tcPr>
          <w:p w14:paraId="35058204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35058205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35058206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5058207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Skaitmeninti </w:t>
            </w:r>
            <w:r>
              <w:rPr>
                <w:sz w:val="20"/>
              </w:rPr>
              <w:t>dokumentus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208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4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5058209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dokumentų skaičius per metus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FFFFF" w:themeFill="background1"/>
          </w:tcPr>
          <w:p w14:paraId="3505820A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 w:themeFill="background1"/>
          </w:tcPr>
          <w:p w14:paraId="3505820B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FFFFFF" w:themeFill="background1"/>
          </w:tcPr>
          <w:p w14:paraId="3505820C" w14:textId="77777777" w:rsidR="00076C35" w:rsidRDefault="00464F6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FFFFFF" w:themeFill="background1"/>
          </w:tcPr>
          <w:p w14:paraId="3505820D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21B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3505820F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6" w:type="dxa"/>
            <w:vMerge/>
            <w:shd w:val="clear" w:color="auto" w:fill="EAF1DD" w:themeFill="accent3" w:themeFillTint="33"/>
          </w:tcPr>
          <w:p w14:paraId="35058210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35058211" w14:textId="77777777" w:rsidR="00076C35" w:rsidRDefault="00076C35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35058212" w14:textId="77777777" w:rsidR="00076C35" w:rsidRDefault="00076C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5058213" w14:textId="77777777" w:rsidR="00076C35" w:rsidRDefault="00076C35">
            <w:pPr>
              <w:widowControl w:val="0"/>
              <w:rPr>
                <w:sz w:val="20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14:paraId="35058214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  <w:p w14:paraId="35058215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5058216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Paskelbtų suskaitmenintų dokumentų skaičius  per metus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FFFFF" w:themeFill="background1"/>
          </w:tcPr>
          <w:p w14:paraId="35058217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 w:themeFill="background1"/>
          </w:tcPr>
          <w:p w14:paraId="35058218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635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FFFFFF" w:themeFill="background1"/>
          </w:tcPr>
          <w:p w14:paraId="35058219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550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FFFFFF" w:themeFill="background1"/>
          </w:tcPr>
          <w:p w14:paraId="3505821A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227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21C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21D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505821E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4" w:type="dxa"/>
            <w:shd w:val="clear" w:color="auto" w:fill="auto"/>
          </w:tcPr>
          <w:p w14:paraId="3505821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shd w:val="clear" w:color="auto" w:fill="auto"/>
          </w:tcPr>
          <w:p w14:paraId="35058220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Skaitmeninti kultūros produktus </w:t>
            </w:r>
            <w:r>
              <w:rPr>
                <w:sz w:val="20"/>
              </w:rPr>
              <w:t>(renginius, edukacines programas ir kt.)</w:t>
            </w:r>
          </w:p>
        </w:tc>
        <w:tc>
          <w:tcPr>
            <w:tcW w:w="1967" w:type="dxa"/>
            <w:shd w:val="clear" w:color="auto" w:fill="auto"/>
          </w:tcPr>
          <w:p w14:paraId="35058221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Jasiūnienė</w:t>
            </w:r>
            <w:proofErr w:type="spellEnd"/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222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produktų skaičius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223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224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color w:val="000000"/>
                <w:sz w:val="20"/>
              </w:rPr>
              <w:t>18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225" w14:textId="77777777" w:rsidR="00076C35" w:rsidRDefault="00464F6F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15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226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  <w:tr w:rsidR="00076C35" w14:paraId="35058233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058228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6" w:type="dxa"/>
            <w:shd w:val="clear" w:color="auto" w:fill="EAF1DD" w:themeFill="accent3" w:themeFillTint="33"/>
          </w:tcPr>
          <w:p w14:paraId="35058229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505822A" w14:textId="77777777" w:rsidR="00076C35" w:rsidRDefault="00464F6F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4" w:type="dxa"/>
            <w:shd w:val="clear" w:color="auto" w:fill="auto"/>
          </w:tcPr>
          <w:p w14:paraId="3505822B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shd w:val="clear" w:color="auto" w:fill="auto"/>
          </w:tcPr>
          <w:p w14:paraId="3505822C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Atnaujinti muziejaus svetainės informaciją</w:t>
            </w:r>
          </w:p>
        </w:tc>
        <w:tc>
          <w:tcPr>
            <w:tcW w:w="1967" w:type="dxa"/>
            <w:shd w:val="clear" w:color="auto" w:fill="auto"/>
          </w:tcPr>
          <w:p w14:paraId="3505822D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Jasiūnienė</w:t>
            </w:r>
            <w:proofErr w:type="spellEnd"/>
          </w:p>
        </w:tc>
        <w:tc>
          <w:tcPr>
            <w:tcW w:w="3142" w:type="dxa"/>
            <w:gridSpan w:val="2"/>
            <w:shd w:val="clear" w:color="auto" w:fill="FFFFFF" w:themeFill="background1"/>
          </w:tcPr>
          <w:p w14:paraId="3505822E" w14:textId="77777777" w:rsidR="00076C35" w:rsidRDefault="00464F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svetainės peržiūrų skaičius</w:t>
            </w:r>
          </w:p>
        </w:tc>
        <w:tc>
          <w:tcPr>
            <w:tcW w:w="1278" w:type="dxa"/>
            <w:shd w:val="clear" w:color="auto" w:fill="FFFFFF" w:themeFill="background1"/>
          </w:tcPr>
          <w:p w14:paraId="3505822F" w14:textId="77777777" w:rsidR="00076C35" w:rsidRDefault="00464F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5058230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12 233</w:t>
            </w:r>
          </w:p>
        </w:tc>
        <w:tc>
          <w:tcPr>
            <w:tcW w:w="1407" w:type="dxa"/>
            <w:shd w:val="clear" w:color="auto" w:fill="FFFFFF" w:themeFill="background1"/>
          </w:tcPr>
          <w:p w14:paraId="35058231" w14:textId="77777777" w:rsidR="00076C35" w:rsidRDefault="00464F6F">
            <w:pPr>
              <w:widowControl w:val="0"/>
              <w:jc w:val="center"/>
            </w:pPr>
            <w:r>
              <w:rPr>
                <w:sz w:val="20"/>
              </w:rPr>
              <w:t>13 000</w:t>
            </w:r>
          </w:p>
        </w:tc>
        <w:tc>
          <w:tcPr>
            <w:tcW w:w="1478" w:type="dxa"/>
            <w:shd w:val="clear" w:color="auto" w:fill="FFFFFF" w:themeFill="background1"/>
          </w:tcPr>
          <w:p w14:paraId="35058232" w14:textId="77777777" w:rsidR="00076C35" w:rsidRDefault="00464F6F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I-IV </w:t>
            </w:r>
            <w:proofErr w:type="spellStart"/>
            <w:r>
              <w:rPr>
                <w:rFonts w:eastAsia="MS Mincho"/>
                <w:sz w:val="20"/>
              </w:rPr>
              <w:t>ketv</w:t>
            </w:r>
            <w:proofErr w:type="spellEnd"/>
            <w:r>
              <w:rPr>
                <w:rFonts w:eastAsia="MS Mincho"/>
                <w:sz w:val="20"/>
              </w:rPr>
              <w:t>.</w:t>
            </w:r>
          </w:p>
        </w:tc>
      </w:tr>
    </w:tbl>
    <w:p w14:paraId="35058234" w14:textId="77777777" w:rsidR="00076C35" w:rsidRDefault="00464F6F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LĖŠŲ POREIKIS IR NUMATOMI FINANSAVIMO ŠALTINIAI</w:t>
      </w:r>
    </w:p>
    <w:p w14:paraId="35058235" w14:textId="77777777" w:rsidR="00076C35" w:rsidRDefault="00076C35">
      <w:pPr>
        <w:rPr>
          <w:rFonts w:eastAsia="Times New Roman"/>
          <w:b/>
          <w:szCs w:val="24"/>
        </w:rPr>
      </w:pPr>
    </w:p>
    <w:p w14:paraId="35058236" w14:textId="77777777" w:rsidR="00076C35" w:rsidRDefault="00464F6F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  <w:t xml:space="preserve">Tūkst. </w:t>
      </w:r>
      <w:proofErr w:type="spellStart"/>
      <w:r>
        <w:rPr>
          <w:rFonts w:eastAsia="Times New Roman"/>
          <w:b/>
          <w:szCs w:val="24"/>
        </w:rPr>
        <w:t>Eur</w:t>
      </w:r>
      <w:proofErr w:type="spellEnd"/>
    </w:p>
    <w:tbl>
      <w:tblPr>
        <w:tblW w:w="12039" w:type="dxa"/>
        <w:tblInd w:w="-29" w:type="dxa"/>
        <w:tblLayout w:type="fixed"/>
        <w:tblCellMar>
          <w:left w:w="10" w:type="dxa"/>
          <w:right w:w="98" w:type="dxa"/>
        </w:tblCellMar>
        <w:tblLook w:val="04A0" w:firstRow="1" w:lastRow="0" w:firstColumn="1" w:lastColumn="0" w:noHBand="0" w:noVBand="1"/>
      </w:tblPr>
      <w:tblGrid>
        <w:gridCol w:w="7217"/>
        <w:gridCol w:w="2551"/>
        <w:gridCol w:w="2271"/>
      </w:tblGrid>
      <w:tr w:rsidR="00076C35" w14:paraId="3505823D" w14:textId="77777777">
        <w:trPr>
          <w:trHeight w:val="978"/>
        </w:trPr>
        <w:tc>
          <w:tcPr>
            <w:tcW w:w="7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/>
            <w:vAlign w:val="center"/>
          </w:tcPr>
          <w:p w14:paraId="35058237" w14:textId="77777777" w:rsidR="00076C35" w:rsidRDefault="00464F6F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/>
            <w:vAlign w:val="center"/>
          </w:tcPr>
          <w:p w14:paraId="35058238" w14:textId="77777777" w:rsidR="00076C35" w:rsidRDefault="00464F6F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Asignavimai</w:t>
            </w:r>
          </w:p>
          <w:p w14:paraId="35058239" w14:textId="77777777" w:rsidR="00076C35" w:rsidRDefault="00464F6F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2022 metams</w:t>
            </w:r>
          </w:p>
          <w:p w14:paraId="3505823A" w14:textId="77777777" w:rsidR="00076C35" w:rsidRDefault="00464F6F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(bazinis biudžetas)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FBFBF"/>
            <w:vAlign w:val="center"/>
          </w:tcPr>
          <w:p w14:paraId="3505823B" w14:textId="77777777" w:rsidR="00076C35" w:rsidRDefault="00464F6F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Asignavimai biudžetiniams</w:t>
            </w:r>
          </w:p>
          <w:p w14:paraId="3505823C" w14:textId="77777777" w:rsidR="00076C35" w:rsidRDefault="00464F6F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2023 metams</w:t>
            </w:r>
          </w:p>
        </w:tc>
      </w:tr>
      <w:tr w:rsidR="00076C35" w14:paraId="35058241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  <w:right w:w="108" w:type="dxa"/>
            </w:tcMar>
          </w:tcPr>
          <w:p w14:paraId="3505823E" w14:textId="77777777" w:rsidR="00076C35" w:rsidRDefault="00464F6F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1. IŠ VISO LĖŠŲ POREIKIS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14:paraId="3505823F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605,4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5058240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693,1</w:t>
            </w:r>
          </w:p>
        </w:tc>
      </w:tr>
      <w:tr w:rsidR="00076C35" w14:paraId="35058245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42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1.1. </w:t>
            </w:r>
            <w:r>
              <w:rPr>
                <w:rFonts w:eastAsia="Times New Roman"/>
              </w:rPr>
              <w:t>Išlaidoms: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058243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605,4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35058244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693,1</w:t>
            </w:r>
          </w:p>
        </w:tc>
      </w:tr>
      <w:tr w:rsidR="00076C35" w14:paraId="35058249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46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058247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513,0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35058248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589,4</w:t>
            </w:r>
          </w:p>
        </w:tc>
      </w:tr>
      <w:tr w:rsidR="00076C35" w14:paraId="3505824D" w14:textId="77777777">
        <w:trPr>
          <w:trHeight w:val="341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4A" w14:textId="77777777" w:rsidR="00076C35" w:rsidRDefault="00464F6F">
            <w:pPr>
              <w:widowContro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1.2. Turtui įsigyti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05824B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3505824C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76C35" w14:paraId="35058251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  <w:right w:w="108" w:type="dxa"/>
            </w:tcMar>
          </w:tcPr>
          <w:p w14:paraId="3505824E" w14:textId="77777777" w:rsidR="00076C35" w:rsidRDefault="00464F6F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 FINANSAVIMO ŠALTINIAI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14:paraId="3505824F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605,4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5058250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693,1</w:t>
            </w:r>
          </w:p>
        </w:tc>
      </w:tr>
      <w:tr w:rsidR="00076C35" w14:paraId="35058255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2" w14:textId="77777777" w:rsidR="00076C35" w:rsidRDefault="00464F6F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058253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592,0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35058254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687,8</w:t>
            </w:r>
          </w:p>
        </w:tc>
      </w:tr>
      <w:tr w:rsidR="00076C35" w14:paraId="35058259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6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2.1.1. Savivaldybės biudžeto lėšos (</w:t>
            </w:r>
            <w:r>
              <w:rPr>
                <w:rFonts w:eastAsia="Times New Roman"/>
                <w:b/>
              </w:rPr>
              <w:t>SB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5058257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579,0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35058258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677,8</w:t>
            </w:r>
          </w:p>
        </w:tc>
      </w:tr>
      <w:tr w:rsidR="00076C35" w14:paraId="3505825D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A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2.1.2. Valstybės </w:t>
            </w:r>
            <w:r>
              <w:rPr>
                <w:rFonts w:eastAsia="Times New Roman"/>
              </w:rPr>
              <w:t>biudžeto specialiosios tikslinės dotacijos lėšos (</w:t>
            </w:r>
            <w:r>
              <w:rPr>
                <w:rFonts w:eastAsia="Times New Roman"/>
                <w:b/>
              </w:rPr>
              <w:t>SVB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B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C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76C35" w14:paraId="35058261" w14:textId="77777777">
        <w:trPr>
          <w:trHeight w:val="29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E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2.1.3. Įstaigų pajamos už paslaugas (</w:t>
            </w:r>
            <w:r>
              <w:rPr>
                <w:rFonts w:eastAsia="Times New Roman"/>
                <w:b/>
              </w:rPr>
              <w:t>SP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5F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4,3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0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10,0</w:t>
            </w:r>
          </w:p>
        </w:tc>
      </w:tr>
      <w:tr w:rsidR="00076C35" w14:paraId="35058265" w14:textId="77777777">
        <w:trPr>
          <w:trHeight w:val="262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2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2.1.4. Valstybės biudžeto lėšos (</w:t>
            </w:r>
            <w:r>
              <w:rPr>
                <w:rFonts w:eastAsia="Times New Roman"/>
                <w:b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3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8,7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4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76C35" w14:paraId="35058269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6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2.1.5. </w:t>
            </w:r>
            <w:r>
              <w:rPr>
                <w:rFonts w:eastAsia="Times New Roman"/>
                <w:szCs w:val="18"/>
                <w:lang w:eastAsia="lt-LT"/>
              </w:rPr>
              <w:t>Paskolos lėšos (</w:t>
            </w:r>
            <w:r>
              <w:rPr>
                <w:rFonts w:eastAsia="Times New Roman"/>
                <w:b/>
                <w:bCs/>
                <w:szCs w:val="18"/>
                <w:lang w:eastAsia="lt-LT"/>
              </w:rPr>
              <w:t>P</w:t>
            </w:r>
            <w:r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7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8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76C35" w14:paraId="3505826D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A" w14:textId="77777777" w:rsidR="00076C35" w:rsidRDefault="00464F6F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szCs w:val="18"/>
                <w:lang w:eastAsia="lt-LT"/>
              </w:rPr>
              <w:t>2.1.6. Europos Sąjungos struktūrinių fondų lėšos (</w:t>
            </w:r>
            <w:r>
              <w:rPr>
                <w:rFonts w:eastAsia="Times New Roman"/>
                <w:b/>
                <w:bCs/>
                <w:szCs w:val="18"/>
                <w:lang w:eastAsia="lt-LT"/>
              </w:rPr>
              <w:t>ES</w:t>
            </w:r>
            <w:r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B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C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76C35" w14:paraId="35058271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E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2.2. Kiti </w:t>
            </w:r>
            <w:r>
              <w:rPr>
                <w:rFonts w:eastAsia="Times New Roman"/>
                <w:b/>
              </w:rPr>
              <w:t>šaltiniai, iš viso: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6F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70" w14:textId="77777777" w:rsidR="00076C35" w:rsidRDefault="00076C35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076C35" w14:paraId="35058275" w14:textId="77777777">
        <w:trPr>
          <w:trHeight w:val="289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72" w14:textId="77777777" w:rsidR="00076C35" w:rsidRDefault="00464F6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Kiti finansavimo šaltiniai (</w:t>
            </w:r>
            <w:r>
              <w:rPr>
                <w:rFonts w:eastAsia="Times New Roman"/>
                <w:b/>
              </w:rPr>
              <w:t>KT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73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13,4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5058274" w14:textId="77777777" w:rsidR="00076C35" w:rsidRDefault="00464F6F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5,3</w:t>
            </w:r>
          </w:p>
        </w:tc>
      </w:tr>
    </w:tbl>
    <w:p w14:paraId="35058276" w14:textId="77777777" w:rsidR="00076C35" w:rsidRDefault="00076C35">
      <w:pPr>
        <w:rPr>
          <w:szCs w:val="20"/>
        </w:rPr>
      </w:pPr>
    </w:p>
    <w:p w14:paraId="35058277" w14:textId="77777777" w:rsidR="00076C35" w:rsidRDefault="00076C35"/>
    <w:p w14:paraId="35058278" w14:textId="77777777" w:rsidR="00076C35" w:rsidRDefault="00076C35"/>
    <w:sectPr w:rsidR="00076C35">
      <w:headerReference w:type="default" r:id="rId7"/>
      <w:pgSz w:w="16838" w:h="11906" w:orient="landscape"/>
      <w:pgMar w:top="1418" w:right="822" w:bottom="1134" w:left="1134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5827F" w14:textId="77777777" w:rsidR="00000000" w:rsidRDefault="00464F6F">
      <w:r>
        <w:separator/>
      </w:r>
    </w:p>
  </w:endnote>
  <w:endnote w:type="continuationSeparator" w:id="0">
    <w:p w14:paraId="35058281" w14:textId="77777777" w:rsidR="00000000" w:rsidRDefault="0046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5827B" w14:textId="77777777" w:rsidR="00000000" w:rsidRDefault="00464F6F">
      <w:r>
        <w:separator/>
      </w:r>
    </w:p>
  </w:footnote>
  <w:footnote w:type="continuationSeparator" w:id="0">
    <w:p w14:paraId="3505827D" w14:textId="77777777" w:rsidR="00000000" w:rsidRDefault="0046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410560"/>
      <w:docPartObj>
        <w:docPartGallery w:val="Page Numbers (Top of Page)"/>
        <w:docPartUnique/>
      </w:docPartObj>
    </w:sdtPr>
    <w:sdtEndPr/>
    <w:sdtContent>
      <w:p w14:paraId="35058279" w14:textId="77777777" w:rsidR="00076C35" w:rsidRDefault="00076C35">
        <w:pPr>
          <w:pStyle w:val="Antrats1"/>
          <w:jc w:val="center"/>
        </w:pPr>
      </w:p>
      <w:p w14:paraId="3505827A" w14:textId="77777777" w:rsidR="00076C35" w:rsidRDefault="00464F6F">
        <w:pPr>
          <w:pStyle w:val="Antrats1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35"/>
    <w:rsid w:val="00076C35"/>
    <w:rsid w:val="004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7FE5"/>
  <w15:docId w15:val="{7DB9BF28-9666-42A9-99F2-13B102E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1"/>
    <w:uiPriority w:val="99"/>
    <w:qFormat/>
    <w:locked/>
    <w:rsid w:val="00043B8F"/>
    <w:rPr>
      <w:rFonts w:eastAsia="Times New Roman" w:cs="Times New Roman"/>
      <w:b/>
      <w:kern w:val="2"/>
      <w:sz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00000A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1"/>
    <w:uiPriority w:val="99"/>
    <w:qFormat/>
    <w:locked/>
    <w:rsid w:val="001B60B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1"/>
    <w:semiHidden/>
    <w:qFormat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character" w:customStyle="1" w:styleId="AntratsDiagrama1">
    <w:name w:val="Antraštės Diagrama1"/>
    <w:basedOn w:val="Numatytasispastraiposriftas"/>
    <w:link w:val="Antrats3"/>
    <w:uiPriority w:val="99"/>
    <w:qFormat/>
    <w:rsid w:val="008A0629"/>
    <w:rPr>
      <w:color w:val="00000A"/>
      <w:sz w:val="24"/>
      <w:lang w:eastAsia="en-US"/>
    </w:rPr>
  </w:style>
  <w:style w:type="character" w:customStyle="1" w:styleId="PoratDiagrama1">
    <w:name w:val="Poraštė Diagrama1"/>
    <w:basedOn w:val="Numatytasispastraiposriftas"/>
    <w:link w:val="Porat2"/>
    <w:uiPriority w:val="99"/>
    <w:qFormat/>
    <w:rsid w:val="008A0629"/>
    <w:rPr>
      <w:color w:val="00000A"/>
      <w:sz w:val="24"/>
      <w:lang w:eastAsia="en-US"/>
    </w:rPr>
  </w:style>
  <w:style w:type="character" w:customStyle="1" w:styleId="Internetosaitas">
    <w:name w:val="Interneto saitas"/>
    <w:basedOn w:val="Numatytasispastraiposriftas"/>
    <w:rsid w:val="00C0204A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1"/>
    <w:qFormat/>
    <w:rsid w:val="00787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6C60DE"/>
    <w:rPr>
      <w:color w:val="00000A"/>
      <w:szCs w:val="20"/>
      <w:lang w:eastAsia="en-US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6C60DE"/>
    <w:rPr>
      <w:vertAlign w:val="superscript"/>
    </w:rPr>
  </w:style>
  <w:style w:type="paragraph" w:styleId="Antrat">
    <w:name w:val="caption"/>
    <w:basedOn w:val="prastasis"/>
    <w:next w:val="Pagrindinistekstas"/>
    <w:link w:val="AntratDiagrama"/>
    <w:qFormat/>
    <w:rsid w:val="00170B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paragraph" w:styleId="Sraas">
    <w:name w:val="List"/>
    <w:basedOn w:val="Pagrindinistekstas"/>
    <w:rsid w:val="00170B75"/>
    <w:rPr>
      <w:rFonts w:cs="Arial"/>
    </w:rPr>
  </w:style>
  <w:style w:type="paragraph" w:customStyle="1" w:styleId="Rodykl">
    <w:name w:val="Rodyklė"/>
    <w:basedOn w:val="prastasis"/>
    <w:qFormat/>
    <w:rsid w:val="00170B75"/>
    <w:pPr>
      <w:suppressLineNumbers/>
    </w:pPr>
    <w:rPr>
      <w:rFonts w:cs="Arial"/>
    </w:rPr>
  </w:style>
  <w:style w:type="paragraph" w:customStyle="1" w:styleId="Antrat21">
    <w:name w:val="Antraštė 21"/>
    <w:basedOn w:val="prastasis"/>
    <w:link w:val="Antrat2Diagrama"/>
    <w:unhideWhenUsed/>
    <w:qFormat/>
    <w:locked/>
    <w:rsid w:val="00787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ntrat1">
    <w:name w:val="Antraštė1"/>
    <w:basedOn w:val="prastasis"/>
    <w:qFormat/>
    <w:rsid w:val="00170B7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ntrat11">
    <w:name w:val="Antraštė 11"/>
    <w:basedOn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2"/>
      <w:szCs w:val="32"/>
    </w:rPr>
  </w:style>
  <w:style w:type="paragraph" w:customStyle="1" w:styleId="Antrat51">
    <w:name w:val="Antraštė 51"/>
    <w:basedOn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Antrats1">
    <w:name w:val="Antraštės1"/>
    <w:basedOn w:val="prastasis"/>
    <w:link w:val="AntratsDiagrama"/>
    <w:uiPriority w:val="99"/>
    <w:qFormat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customStyle="1" w:styleId="Porat1">
    <w:name w:val="Poraštė1"/>
    <w:basedOn w:val="prastasis"/>
    <w:link w:val="PoratDiagrama"/>
    <w:uiPriority w:val="99"/>
    <w:qFormat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customStyle="1" w:styleId="Lentelsturinys">
    <w:name w:val="Lentelės turinys"/>
    <w:basedOn w:val="prastasis"/>
    <w:qFormat/>
    <w:rsid w:val="00170B75"/>
  </w:style>
  <w:style w:type="paragraph" w:customStyle="1" w:styleId="Lentelsantrat">
    <w:name w:val="Lentelės antraštė"/>
    <w:basedOn w:val="Lentelsturinys"/>
    <w:qFormat/>
    <w:rsid w:val="00170B75"/>
  </w:style>
  <w:style w:type="paragraph" w:customStyle="1" w:styleId="Antrats2">
    <w:name w:val="Antraštės2"/>
    <w:basedOn w:val="prastasis"/>
    <w:qFormat/>
    <w:rsid w:val="00011BCB"/>
  </w:style>
  <w:style w:type="paragraph" w:customStyle="1" w:styleId="Puslapinantratirporat">
    <w:name w:val="Puslapinė antraštė ir poraštė"/>
    <w:basedOn w:val="prastasis"/>
    <w:qFormat/>
  </w:style>
  <w:style w:type="paragraph" w:customStyle="1" w:styleId="Antrats3">
    <w:name w:val="Antraštės3"/>
    <w:basedOn w:val="prastasis"/>
    <w:link w:val="Antrats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Porat2">
    <w:name w:val="Poraštė2"/>
    <w:basedOn w:val="prastasis"/>
    <w:link w:val="Porat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Body">
    <w:name w:val="Body"/>
    <w:qFormat/>
    <w:rsid w:val="00C0204A"/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paragraph" w:styleId="Antrats">
    <w:name w:val="header"/>
    <w:basedOn w:val="Puslapinantratirporat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60DE"/>
    <w:rPr>
      <w:sz w:val="20"/>
      <w:szCs w:val="20"/>
    </w:rPr>
  </w:style>
  <w:style w:type="table" w:styleId="Lentelstinklelis">
    <w:name w:val="Table Grid"/>
    <w:basedOn w:val="prastojilentel"/>
    <w:uiPriority w:val="99"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E669-375B-4E98-96B3-17F0461E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6496</Words>
  <Characters>3703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2022-12-20T11:52:00Z</cp:lastPrinted>
  <dcterms:created xsi:type="dcterms:W3CDTF">2023-03-08T13:53:00Z</dcterms:created>
  <dcterms:modified xsi:type="dcterms:W3CDTF">2023-03-08T13:53:00Z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