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1C789" w14:textId="77777777" w:rsidR="0044625B" w:rsidRPr="00A31722" w:rsidRDefault="0044625B" w:rsidP="0044625B">
      <w:pPr>
        <w:tabs>
          <w:tab w:val="left" w:pos="5103"/>
        </w:tabs>
        <w:ind w:left="5102" w:firstLine="5530"/>
        <w:jc w:val="both"/>
        <w:rPr>
          <w:rFonts w:eastAsia="Calibri"/>
          <w:color w:val="00000A"/>
          <w:szCs w:val="24"/>
        </w:rPr>
      </w:pPr>
      <w:bookmarkStart w:id="0" w:name="_GoBack"/>
      <w:bookmarkEnd w:id="0"/>
      <w:r>
        <w:rPr>
          <w:rFonts w:eastAsia="Calibri"/>
          <w:color w:val="00000A"/>
          <w:szCs w:val="24"/>
        </w:rPr>
        <w:t xml:space="preserve">Forma </w:t>
      </w:r>
      <w:r w:rsidRPr="00A31722">
        <w:rPr>
          <w:rFonts w:eastAsia="Calibri"/>
          <w:color w:val="00000A"/>
          <w:szCs w:val="24"/>
        </w:rPr>
        <w:t>patvirtinta</w:t>
      </w:r>
    </w:p>
    <w:p w14:paraId="11E099A8" w14:textId="77777777" w:rsidR="0044625B" w:rsidRDefault="0044625B" w:rsidP="0044625B">
      <w:pPr>
        <w:tabs>
          <w:tab w:val="left" w:pos="5103"/>
        </w:tabs>
        <w:ind w:left="5102" w:firstLine="5530"/>
        <w:jc w:val="both"/>
        <w:rPr>
          <w:rFonts w:eastAsia="Calibri"/>
          <w:color w:val="00000A"/>
          <w:szCs w:val="24"/>
        </w:rPr>
      </w:pPr>
      <w:r w:rsidRPr="00A31722">
        <w:rPr>
          <w:rFonts w:eastAsia="Calibri"/>
          <w:color w:val="00000A"/>
          <w:szCs w:val="24"/>
        </w:rPr>
        <w:t xml:space="preserve">Panevėžio miesto savivaldybės </w:t>
      </w:r>
    </w:p>
    <w:p w14:paraId="70736F0F" w14:textId="77777777" w:rsidR="0044625B" w:rsidRDefault="0044625B" w:rsidP="0044625B">
      <w:pPr>
        <w:tabs>
          <w:tab w:val="left" w:pos="5103"/>
        </w:tabs>
        <w:ind w:left="5102" w:firstLine="5530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 xml:space="preserve">administracijos direktoriaus </w:t>
      </w:r>
    </w:p>
    <w:p w14:paraId="17789906" w14:textId="77777777" w:rsidR="0044625B" w:rsidRPr="00A31722" w:rsidRDefault="0044625B" w:rsidP="0044625B">
      <w:pPr>
        <w:tabs>
          <w:tab w:val="left" w:pos="5103"/>
        </w:tabs>
        <w:ind w:left="5102" w:firstLine="5530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>2022 m. sausio 6 d.</w:t>
      </w:r>
      <w:r w:rsidRPr="00A31722">
        <w:rPr>
          <w:rFonts w:eastAsia="Calibri"/>
          <w:color w:val="00000A"/>
          <w:szCs w:val="24"/>
        </w:rPr>
        <w:t xml:space="preserve"> </w:t>
      </w:r>
      <w:r>
        <w:rPr>
          <w:rFonts w:eastAsia="Calibri"/>
          <w:color w:val="00000A"/>
          <w:szCs w:val="24"/>
        </w:rPr>
        <w:t>įsakymu</w:t>
      </w:r>
      <w:r w:rsidRPr="00A31722">
        <w:rPr>
          <w:rFonts w:eastAsia="Calibri"/>
          <w:color w:val="00000A"/>
          <w:szCs w:val="24"/>
        </w:rPr>
        <w:t xml:space="preserve"> Nr. </w:t>
      </w:r>
      <w:r>
        <w:rPr>
          <w:rFonts w:eastAsia="Calibri"/>
          <w:color w:val="00000A"/>
          <w:szCs w:val="24"/>
        </w:rPr>
        <w:t>A-21</w:t>
      </w:r>
    </w:p>
    <w:p w14:paraId="0893375A" w14:textId="77777777" w:rsidR="006D4967" w:rsidRPr="00A31722" w:rsidRDefault="006D4967" w:rsidP="006D4967">
      <w:pPr>
        <w:rPr>
          <w:rFonts w:eastAsia="MS Mincho;MS Gothic"/>
          <w:b/>
          <w:color w:val="00000A"/>
          <w:szCs w:val="22"/>
        </w:rPr>
      </w:pPr>
    </w:p>
    <w:p w14:paraId="12BF25B4" w14:textId="77777777" w:rsidR="006D4967" w:rsidRPr="00A31722" w:rsidRDefault="006D4967" w:rsidP="006D4967">
      <w:pPr>
        <w:jc w:val="center"/>
        <w:rPr>
          <w:rFonts w:eastAsia="MS Mincho;MS Gothic"/>
          <w:b/>
          <w:color w:val="00000A"/>
          <w:szCs w:val="22"/>
        </w:rPr>
      </w:pPr>
      <w:r w:rsidRPr="00A31722">
        <w:rPr>
          <w:rFonts w:eastAsia="MS Mincho;MS Gothic"/>
          <w:b/>
          <w:color w:val="00000A"/>
          <w:szCs w:val="22"/>
        </w:rPr>
        <w:t>STASIO</w:t>
      </w:r>
      <w:r w:rsidR="00752E79">
        <w:rPr>
          <w:rFonts w:eastAsia="MS Mincho;MS Gothic"/>
          <w:b/>
          <w:color w:val="00000A"/>
          <w:szCs w:val="22"/>
        </w:rPr>
        <w:t xml:space="preserve"> EIDRIGEVIČIAUS MENŲ CENTRO 2023</w:t>
      </w:r>
      <w:r w:rsidRPr="00A31722">
        <w:rPr>
          <w:rFonts w:eastAsia="MS Mincho;MS Gothic"/>
          <w:b/>
          <w:color w:val="00000A"/>
          <w:szCs w:val="22"/>
        </w:rPr>
        <w:t xml:space="preserve"> METŲ VEIKLOS PLANAS</w:t>
      </w:r>
    </w:p>
    <w:p w14:paraId="4A163219" w14:textId="77777777" w:rsidR="006D4967" w:rsidRPr="00A31722" w:rsidRDefault="006D4967" w:rsidP="006D4967">
      <w:pPr>
        <w:jc w:val="center"/>
        <w:rPr>
          <w:rFonts w:eastAsia="MS Mincho;MS Gothic"/>
          <w:b/>
          <w:color w:val="00000A"/>
          <w:szCs w:val="22"/>
        </w:rPr>
      </w:pPr>
    </w:p>
    <w:tbl>
      <w:tblPr>
        <w:tblW w:w="15041" w:type="dxa"/>
        <w:tblInd w:w="-2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6D4967" w:rsidRPr="00A31722" w14:paraId="7ACA2891" w14:textId="77777777" w:rsidTr="009454CF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08CBC67" w14:textId="77777777" w:rsidR="006D4967" w:rsidRPr="0034487D" w:rsidRDefault="006D4967" w:rsidP="009454CF">
            <w:pPr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34487D">
              <w:rPr>
                <w:rFonts w:eastAsia="Calibri"/>
                <w:color w:val="000000" w:themeColor="text1"/>
                <w:szCs w:val="24"/>
                <w:lang w:eastAsia="lt-LT"/>
              </w:rPr>
              <w:t>Veiklos planu siekiama prisidėti prie šių Pa</w:t>
            </w:r>
            <w:r w:rsidR="0044625B" w:rsidRPr="0034487D">
              <w:rPr>
                <w:rFonts w:eastAsia="Calibri"/>
                <w:color w:val="000000" w:themeColor="text1"/>
                <w:szCs w:val="24"/>
                <w:lang w:eastAsia="lt-LT"/>
              </w:rPr>
              <w:t>nevėžio miesto savivaldybės 2023–2025</w:t>
            </w:r>
            <w:r w:rsidRPr="0034487D">
              <w:rPr>
                <w:rFonts w:eastAsia="Calibri"/>
                <w:color w:val="000000" w:themeColor="text1"/>
                <w:szCs w:val="24"/>
                <w:lang w:eastAsia="lt-LT"/>
              </w:rPr>
              <w:t xml:space="preserve"> metų strateginio veiklos plano programos tikslų, uždavinių, priemonių įgyvendinimo (nurodoma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22494A8" w14:textId="77777777" w:rsidR="006D4967" w:rsidRPr="0034487D" w:rsidRDefault="0044625B" w:rsidP="009454CF">
            <w:pPr>
              <w:snapToGrid w:val="0"/>
              <w:rPr>
                <w:rFonts w:eastAsia="Calibri"/>
                <w:color w:val="000000" w:themeColor="text1"/>
                <w:szCs w:val="24"/>
              </w:rPr>
            </w:pPr>
            <w:r w:rsidRPr="0034487D">
              <w:rPr>
                <w:rFonts w:eastAsia="Calibri"/>
                <w:color w:val="000000" w:themeColor="text1"/>
                <w:szCs w:val="24"/>
                <w:lang w:eastAsia="lt-LT"/>
              </w:rPr>
              <w:t>2023–2025</w:t>
            </w:r>
            <w:r w:rsidR="006D4967" w:rsidRPr="0034487D">
              <w:rPr>
                <w:rFonts w:eastAsia="Calibri"/>
                <w:color w:val="000000" w:themeColor="text1"/>
                <w:szCs w:val="24"/>
              </w:rPr>
              <w:t xml:space="preserve"> m. KULTŪROS IR MENO PROGRAMA (11)</w:t>
            </w:r>
          </w:p>
          <w:p w14:paraId="1067D7B0" w14:textId="77777777" w:rsidR="006D4967" w:rsidRPr="0034487D" w:rsidRDefault="0044625B" w:rsidP="009454CF">
            <w:pPr>
              <w:tabs>
                <w:tab w:val="left" w:pos="180"/>
                <w:tab w:val="left" w:pos="5895"/>
              </w:tabs>
              <w:snapToGrid w:val="0"/>
              <w:rPr>
                <w:rFonts w:eastAsia="Calibri"/>
                <w:color w:val="000000" w:themeColor="text1"/>
                <w:szCs w:val="24"/>
                <w:lang w:eastAsia="lt-LT"/>
              </w:rPr>
            </w:pPr>
            <w:r w:rsidRPr="0034487D">
              <w:rPr>
                <w:rFonts w:eastAsia="Calibri"/>
                <w:color w:val="000000" w:themeColor="text1"/>
                <w:szCs w:val="24"/>
                <w:lang w:eastAsia="lt-LT"/>
              </w:rPr>
              <w:t>11.</w:t>
            </w:r>
            <w:r w:rsidR="006D4967" w:rsidRPr="0034487D">
              <w:rPr>
                <w:rFonts w:eastAsia="Calibri"/>
                <w:color w:val="000000" w:themeColor="text1"/>
                <w:szCs w:val="24"/>
                <w:lang w:eastAsia="lt-LT"/>
              </w:rPr>
              <w:t>01.01.07.</w:t>
            </w:r>
            <w:r w:rsidR="006D4967" w:rsidRPr="0034487D">
              <w:rPr>
                <w:rFonts w:eastAsia="MS Mincho"/>
                <w:bCs/>
                <w:color w:val="000000" w:themeColor="text1"/>
                <w:szCs w:val="24"/>
              </w:rPr>
              <w:t xml:space="preserve"> Stasio Eidrigevičiaus menų centro veiklos plėtra</w:t>
            </w:r>
          </w:p>
        </w:tc>
      </w:tr>
      <w:tr w:rsidR="006D4967" w:rsidRPr="00A31722" w14:paraId="688083DA" w14:textId="77777777" w:rsidTr="009454CF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38833445" w14:textId="77777777" w:rsidR="006D4967" w:rsidRPr="00A31722" w:rsidRDefault="006D4967" w:rsidP="009454CF">
            <w:pPr>
              <w:rPr>
                <w:rFonts w:eastAsia="Calibri"/>
                <w:color w:val="000000"/>
                <w:szCs w:val="22"/>
              </w:rPr>
            </w:pPr>
            <w:r w:rsidRPr="00A31722">
              <w:rPr>
                <w:rFonts w:eastAsia="Calibri"/>
                <w:color w:val="000000"/>
                <w:szCs w:val="22"/>
              </w:rPr>
              <w:t>Įstaigos išorės veiklos ir kokybės įsivertinimo metu nustatyti tobulintini aspektai: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C78FCA2" w14:textId="77777777" w:rsidR="006D4967" w:rsidRPr="00A31722" w:rsidRDefault="006D4967" w:rsidP="009454CF">
            <w:pPr>
              <w:snapToGrid w:val="0"/>
              <w:jc w:val="both"/>
              <w:rPr>
                <w:rFonts w:eastAsia="Calibri"/>
                <w:color w:val="000000"/>
                <w:szCs w:val="22"/>
                <w:lang w:eastAsia="lt-LT"/>
              </w:rPr>
            </w:pPr>
            <w:r w:rsidRPr="00A31722">
              <w:rPr>
                <w:rFonts w:eastAsia="MS Mincho;MS Gothic"/>
                <w:bCs/>
                <w:color w:val="00000A"/>
                <w:szCs w:val="22"/>
              </w:rPr>
              <w:t>Stasio Eidrigevičiaus menų centras yra besikurianti savivaldybės biudžetinė įstaiga, turinti tik keletą darbuotojų ir kol kas neturinti nuolatinių patalpų. Dauguma veiklų yra naujos, todėl rezultatus lyginti su ankstesniais metais sudėtinga.</w:t>
            </w:r>
            <w:r w:rsidR="0044625B">
              <w:rPr>
                <w:rFonts w:eastAsia="MS Mincho;MS Gothic"/>
                <w:bCs/>
                <w:color w:val="00000A"/>
                <w:szCs w:val="22"/>
              </w:rPr>
              <w:t xml:space="preserve"> </w:t>
            </w:r>
          </w:p>
        </w:tc>
      </w:tr>
      <w:tr w:rsidR="006D4967" w:rsidRPr="00A31722" w14:paraId="0407248E" w14:textId="77777777" w:rsidTr="009454CF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54F3A75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B82626F" w14:textId="7B50A345" w:rsidR="006D4967" w:rsidRPr="0034487D" w:rsidRDefault="006D4967" w:rsidP="009454CF">
            <w:pPr>
              <w:jc w:val="both"/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Šiais metais svarbiausi darbai yra suformuoti įstaigos veiklos modelį, vykdyti pastato statybos administravimą</w:t>
            </w:r>
            <w:r w:rsidR="0034487D">
              <w:rPr>
                <w:rFonts w:eastAsia="Calibri"/>
                <w:color w:val="00000A"/>
                <w:szCs w:val="22"/>
              </w:rPr>
              <w:t xml:space="preserve">. Perėmus pastatą patikslinti nuolatinės Stasio Eidrigevičiaus ekspozicijos koncepciją, parengti planą, dizaino projektą ir ketvirtame ketvirtyje ekspoziciją atidaryti. Tai pat </w:t>
            </w:r>
            <w:proofErr w:type="spellStart"/>
            <w:r w:rsidR="0034487D">
              <w:rPr>
                <w:rFonts w:eastAsia="Calibri"/>
                <w:color w:val="00000A"/>
                <w:szCs w:val="22"/>
              </w:rPr>
              <w:t>įveiklinti</w:t>
            </w:r>
            <w:proofErr w:type="spellEnd"/>
            <w:r w:rsidR="0034487D">
              <w:rPr>
                <w:rFonts w:eastAsia="Calibri"/>
                <w:color w:val="00000A"/>
                <w:szCs w:val="22"/>
              </w:rPr>
              <w:t xml:space="preserve"> J. Čerkeso „Pragiedrulių“ sodybą, joje pradėti reguliariai vykdyti edukacinius užsiėmimus, rengti parodas, vykdyti meninius projektus.</w:t>
            </w:r>
          </w:p>
        </w:tc>
      </w:tr>
      <w:tr w:rsidR="006D4967" w:rsidRPr="00A31722" w14:paraId="17C20B3F" w14:textId="77777777" w:rsidTr="009454CF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112022D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AEA40BA" w14:textId="77777777" w:rsidR="006D4967" w:rsidRPr="00A31722" w:rsidRDefault="006D4967" w:rsidP="009454CF">
            <w:pPr>
              <w:snapToGrid w:val="0"/>
              <w:rPr>
                <w:rFonts w:eastAsia="Calibri"/>
                <w:color w:val="00000A"/>
                <w:szCs w:val="22"/>
              </w:rPr>
            </w:pPr>
          </w:p>
        </w:tc>
      </w:tr>
    </w:tbl>
    <w:p w14:paraId="0A36240A" w14:textId="77777777" w:rsidR="006D4967" w:rsidRPr="00A31722" w:rsidRDefault="006D4967" w:rsidP="006D4967">
      <w:pPr>
        <w:jc w:val="center"/>
        <w:rPr>
          <w:rFonts w:eastAsia="MS Mincho;MS Gothic"/>
          <w:b/>
          <w:color w:val="00000A"/>
          <w:szCs w:val="22"/>
        </w:rPr>
      </w:pPr>
    </w:p>
    <w:p w14:paraId="5A11574B" w14:textId="77777777" w:rsidR="006D4967" w:rsidRPr="00A31722" w:rsidRDefault="006D4967" w:rsidP="006D4967">
      <w:pPr>
        <w:rPr>
          <w:rFonts w:eastAsia="MS Mincho;MS Gothic"/>
          <w:b/>
          <w:color w:val="00000A"/>
          <w:szCs w:val="22"/>
        </w:rPr>
      </w:pPr>
      <w:r w:rsidRPr="00A31722">
        <w:rPr>
          <w:rFonts w:eastAsia="MS Mincho;MS Gothic"/>
          <w:b/>
          <w:color w:val="00000A"/>
          <w:szCs w:val="22"/>
        </w:rPr>
        <w:br w:type="page"/>
      </w:r>
    </w:p>
    <w:p w14:paraId="664EB2E8" w14:textId="77777777" w:rsidR="006D4967" w:rsidRPr="00A31722" w:rsidRDefault="006D4967" w:rsidP="006D4967">
      <w:pPr>
        <w:jc w:val="center"/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lastRenderedPageBreak/>
        <w:t>TIKSLŲ, UŽDAVINIŲ, PRIEMONIŲ, PAPRIEMONIŲ REZULTATO (PRODUKTO) VERTINIMO KRITERIJŲ SUVESTINĖ</w:t>
      </w:r>
    </w:p>
    <w:p w14:paraId="7432663D" w14:textId="77777777" w:rsidR="006D4967" w:rsidRPr="00A31722" w:rsidRDefault="006D4967" w:rsidP="006D4967">
      <w:pPr>
        <w:jc w:val="center"/>
        <w:rPr>
          <w:rFonts w:eastAsia="Calibri"/>
          <w:b/>
          <w:color w:val="00000A"/>
          <w:szCs w:val="24"/>
        </w:rPr>
      </w:pPr>
    </w:p>
    <w:p w14:paraId="4C892AF2" w14:textId="77777777" w:rsidR="006D4967" w:rsidRPr="00A31722" w:rsidRDefault="006D4967" w:rsidP="006D4967">
      <w:pPr>
        <w:ind w:left="13041"/>
        <w:jc w:val="center"/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t>1 lentelė</w:t>
      </w:r>
    </w:p>
    <w:tbl>
      <w:tblPr>
        <w:tblStyle w:val="Lentelstinklelis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6"/>
        <w:gridCol w:w="567"/>
        <w:gridCol w:w="567"/>
        <w:gridCol w:w="6"/>
        <w:gridCol w:w="2406"/>
        <w:gridCol w:w="1985"/>
        <w:gridCol w:w="2838"/>
        <w:gridCol w:w="1556"/>
        <w:gridCol w:w="1276"/>
        <w:gridCol w:w="1275"/>
        <w:gridCol w:w="1560"/>
      </w:tblGrid>
      <w:tr w:rsidR="006D4967" w:rsidRPr="00A31722" w14:paraId="122853EE" w14:textId="77777777" w:rsidTr="009454CF">
        <w:trPr>
          <w:trHeight w:val="510"/>
          <w:jc w:val="center"/>
        </w:trPr>
        <w:tc>
          <w:tcPr>
            <w:tcW w:w="56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5415843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Tikslo kodas</w:t>
            </w:r>
          </w:p>
        </w:tc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6E3CDB7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Uždavinio kodas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C57DB58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Priemonės kodas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1868E2A" w14:textId="77777777" w:rsidR="006D4967" w:rsidRPr="00A31722" w:rsidRDefault="006D4967" w:rsidP="009454CF">
            <w:pPr>
              <w:ind w:left="113" w:right="113"/>
              <w:jc w:val="center"/>
              <w:rPr>
                <w:b/>
                <w:color w:val="00000A"/>
                <w:szCs w:val="22"/>
              </w:rPr>
            </w:pPr>
            <w:proofErr w:type="spellStart"/>
            <w:r w:rsidRPr="00A31722">
              <w:rPr>
                <w:b/>
                <w:color w:val="00000A"/>
                <w:szCs w:val="22"/>
              </w:rPr>
              <w:t>Papriemonės</w:t>
            </w:r>
            <w:proofErr w:type="spellEnd"/>
            <w:r w:rsidRPr="00A31722">
              <w:rPr>
                <w:b/>
                <w:color w:val="00000A"/>
                <w:szCs w:val="22"/>
              </w:rPr>
              <w:t xml:space="preserve"> kodas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</w:tcPr>
          <w:p w14:paraId="5208E13C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Pavadinimas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9B59DED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Vykdytojas, projekto vadovas ar pareigybė</w:t>
            </w:r>
          </w:p>
        </w:tc>
        <w:tc>
          <w:tcPr>
            <w:tcW w:w="6945" w:type="dxa"/>
            <w:gridSpan w:val="4"/>
            <w:vAlign w:val="center"/>
          </w:tcPr>
          <w:p w14:paraId="077872DB" w14:textId="77777777" w:rsidR="006D4967" w:rsidRPr="00A31722" w:rsidRDefault="006D4967" w:rsidP="009454CF">
            <w:pPr>
              <w:jc w:val="center"/>
              <w:rPr>
                <w:b/>
                <w:bCs/>
                <w:color w:val="00000A"/>
                <w:szCs w:val="22"/>
              </w:rPr>
            </w:pPr>
            <w:r w:rsidRPr="00A31722">
              <w:rPr>
                <w:b/>
                <w:bCs/>
                <w:color w:val="00000A"/>
                <w:szCs w:val="22"/>
              </w:rPr>
              <w:t xml:space="preserve">Tikslo, uždavinio, priemonės, </w:t>
            </w:r>
            <w:proofErr w:type="spellStart"/>
            <w:r w:rsidRPr="00A31722">
              <w:rPr>
                <w:b/>
                <w:bCs/>
                <w:color w:val="00000A"/>
                <w:szCs w:val="22"/>
              </w:rPr>
              <w:t>papriemonės</w:t>
            </w:r>
            <w:proofErr w:type="spellEnd"/>
            <w:r w:rsidRPr="00A31722">
              <w:rPr>
                <w:b/>
                <w:bCs/>
                <w:color w:val="00000A"/>
                <w:szCs w:val="22"/>
              </w:rPr>
              <w:t>, rezultato (produkto) vertinimo kriterijaus</w:t>
            </w:r>
          </w:p>
        </w:tc>
        <w:tc>
          <w:tcPr>
            <w:tcW w:w="1560" w:type="dxa"/>
            <w:vMerge w:val="restart"/>
            <w:vAlign w:val="center"/>
          </w:tcPr>
          <w:p w14:paraId="32DAE24C" w14:textId="77777777" w:rsidR="006D4967" w:rsidRPr="00A31722" w:rsidRDefault="006D4967" w:rsidP="009454CF">
            <w:pPr>
              <w:ind w:left="-104" w:right="-111"/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Įgyvendinimo terminas</w:t>
            </w:r>
          </w:p>
        </w:tc>
      </w:tr>
      <w:tr w:rsidR="006D4967" w:rsidRPr="00A31722" w14:paraId="6C8D82A5" w14:textId="77777777" w:rsidTr="0095083D">
        <w:trPr>
          <w:trHeight w:val="1460"/>
          <w:jc w:val="center"/>
        </w:trPr>
        <w:tc>
          <w:tcPr>
            <w:tcW w:w="561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0288E87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EF0AC4F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20F0F52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6CB6E3D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vAlign w:val="center"/>
          </w:tcPr>
          <w:p w14:paraId="255115DE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C0BB38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  <w:vAlign w:val="center"/>
          </w:tcPr>
          <w:p w14:paraId="26DB1775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pavadinimas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  <w:vAlign w:val="center"/>
          </w:tcPr>
          <w:p w14:paraId="3E1F9B40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mato 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D93C57B" w14:textId="77777777" w:rsidR="006D4967" w:rsidRPr="00A31722" w:rsidRDefault="006D4967" w:rsidP="0044625B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202</w:t>
            </w:r>
            <w:r w:rsidR="0044625B">
              <w:rPr>
                <w:b/>
                <w:color w:val="00000A"/>
                <w:szCs w:val="22"/>
              </w:rPr>
              <w:t>2</w:t>
            </w:r>
            <w:r w:rsidRPr="00A31722">
              <w:rPr>
                <w:b/>
                <w:color w:val="00000A"/>
                <w:szCs w:val="22"/>
              </w:rPr>
              <w:t xml:space="preserve"> metų faktinė reikšmė, rezultatas</w:t>
            </w:r>
          </w:p>
        </w:tc>
        <w:tc>
          <w:tcPr>
            <w:tcW w:w="1275" w:type="dxa"/>
            <w:vAlign w:val="center"/>
          </w:tcPr>
          <w:p w14:paraId="090BFAB8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2</w:t>
            </w:r>
            <w:r w:rsidR="0044625B">
              <w:rPr>
                <w:b/>
                <w:color w:val="00000A"/>
                <w:szCs w:val="22"/>
              </w:rPr>
              <w:t>023</w:t>
            </w:r>
            <w:r w:rsidRPr="00A31722">
              <w:rPr>
                <w:b/>
                <w:color w:val="00000A"/>
                <w:szCs w:val="22"/>
              </w:rPr>
              <w:t xml:space="preserve"> metų siektina reikšmė, rezultatas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B9E2210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</w:p>
        </w:tc>
      </w:tr>
      <w:tr w:rsidR="006D4967" w:rsidRPr="00A31722" w14:paraId="14797AAD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0BD9F50C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6097" w:type="dxa"/>
            <w:gridSpan w:val="6"/>
            <w:shd w:val="clear" w:color="auto" w:fill="D5DCE4" w:themeFill="text2" w:themeFillTint="33"/>
            <w:tcMar>
              <w:left w:w="108" w:type="dxa"/>
            </w:tcMar>
          </w:tcPr>
          <w:p w14:paraId="439A7FA3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bCs/>
                <w:color w:val="00000A"/>
                <w:szCs w:val="22"/>
              </w:rPr>
              <w:t>Kurti tvarią socialinę ir ekonominę kultūros vertę Panevėžyje</w:t>
            </w:r>
          </w:p>
        </w:tc>
        <w:tc>
          <w:tcPr>
            <w:tcW w:w="2838" w:type="dxa"/>
            <w:shd w:val="clear" w:color="auto" w:fill="D5DCE4" w:themeFill="text2" w:themeFillTint="33"/>
            <w:tcMar>
              <w:left w:w="108" w:type="dxa"/>
            </w:tcMar>
          </w:tcPr>
          <w:p w14:paraId="191F657C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Kultūros paslaugas naudojančių gyventojų skaičiaus pokytis</w:t>
            </w:r>
          </w:p>
        </w:tc>
        <w:tc>
          <w:tcPr>
            <w:tcW w:w="1556" w:type="dxa"/>
            <w:shd w:val="clear" w:color="auto" w:fill="D5DCE4" w:themeFill="text2" w:themeFillTint="33"/>
            <w:tcMar>
              <w:left w:w="108" w:type="dxa"/>
            </w:tcMar>
          </w:tcPr>
          <w:p w14:paraId="648514A5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276" w:type="dxa"/>
            <w:shd w:val="clear" w:color="auto" w:fill="D5DCE4" w:themeFill="text2" w:themeFillTint="33"/>
            <w:tcMar>
              <w:left w:w="108" w:type="dxa"/>
            </w:tcMar>
          </w:tcPr>
          <w:p w14:paraId="6075EC89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*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27002182" w14:textId="35DE858E" w:rsidR="006D4967" w:rsidRPr="00B96F84" w:rsidRDefault="002553CD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25</w:t>
            </w:r>
          </w:p>
        </w:tc>
        <w:tc>
          <w:tcPr>
            <w:tcW w:w="1560" w:type="dxa"/>
            <w:shd w:val="clear" w:color="auto" w:fill="D5DCE4" w:themeFill="text2" w:themeFillTint="33"/>
            <w:tcMar>
              <w:left w:w="108" w:type="dxa"/>
            </w:tcMar>
          </w:tcPr>
          <w:p w14:paraId="4B12349E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6D4967" w:rsidRPr="00A31722" w14:paraId="14549057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1363FA32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7D81FE3E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3546" w:type="dxa"/>
            <w:gridSpan w:val="4"/>
            <w:shd w:val="clear" w:color="auto" w:fill="C9C9C9" w:themeFill="accent3" w:themeFillTint="99"/>
            <w:tcMar>
              <w:left w:w="108" w:type="dxa"/>
            </w:tcMar>
          </w:tcPr>
          <w:p w14:paraId="7F03858F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bCs/>
                <w:color w:val="00000A"/>
                <w:szCs w:val="22"/>
              </w:rPr>
              <w:t xml:space="preserve">Padidinti miesto bendruomenės </w:t>
            </w:r>
            <w:proofErr w:type="spellStart"/>
            <w:r w:rsidRPr="00A31722">
              <w:rPr>
                <w:b/>
                <w:bCs/>
                <w:color w:val="00000A"/>
                <w:szCs w:val="22"/>
              </w:rPr>
              <w:t>įtrauktį</w:t>
            </w:r>
            <w:proofErr w:type="spellEnd"/>
            <w:r w:rsidRPr="00A31722">
              <w:rPr>
                <w:b/>
                <w:bCs/>
                <w:color w:val="00000A"/>
                <w:szCs w:val="22"/>
              </w:rPr>
              <w:t xml:space="preserve"> į kultūros kūrimą ir naudojimąsi kultūros produktais bei paslaugomis</w:t>
            </w:r>
          </w:p>
        </w:tc>
        <w:tc>
          <w:tcPr>
            <w:tcW w:w="1985" w:type="dxa"/>
            <w:shd w:val="clear" w:color="auto" w:fill="C9C9C9" w:themeFill="accent3" w:themeFillTint="99"/>
          </w:tcPr>
          <w:p w14:paraId="4527B4A9" w14:textId="7781B129" w:rsidR="006D4967" w:rsidRPr="00A31722" w:rsidRDefault="00535EBA" w:rsidP="009454CF">
            <w:pPr>
              <w:rPr>
                <w:b/>
                <w:color w:val="00000A"/>
                <w:szCs w:val="22"/>
              </w:rPr>
            </w:pPr>
            <w:r>
              <w:rPr>
                <w:b/>
                <w:color w:val="00000A"/>
                <w:szCs w:val="22"/>
              </w:rPr>
              <w:t xml:space="preserve">V. </w:t>
            </w:r>
            <w:proofErr w:type="spellStart"/>
            <w:r>
              <w:rPr>
                <w:b/>
                <w:color w:val="00000A"/>
                <w:szCs w:val="22"/>
              </w:rPr>
              <w:t>Andrijauskaitė</w:t>
            </w:r>
            <w:proofErr w:type="spellEnd"/>
          </w:p>
        </w:tc>
        <w:tc>
          <w:tcPr>
            <w:tcW w:w="2838" w:type="dxa"/>
            <w:shd w:val="clear" w:color="auto" w:fill="C9C9C9" w:themeFill="accent3" w:themeFillTint="99"/>
            <w:tcMar>
              <w:left w:w="108" w:type="dxa"/>
            </w:tcMar>
          </w:tcPr>
          <w:p w14:paraId="1F4A9F06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 xml:space="preserve">Miesto bendruomenės </w:t>
            </w:r>
            <w:proofErr w:type="spellStart"/>
            <w:r w:rsidRPr="00A31722">
              <w:rPr>
                <w:bCs/>
                <w:color w:val="00000A"/>
                <w:szCs w:val="22"/>
              </w:rPr>
              <w:t>įtraukties</w:t>
            </w:r>
            <w:proofErr w:type="spellEnd"/>
            <w:r w:rsidRPr="00A31722">
              <w:rPr>
                <w:bCs/>
                <w:color w:val="00000A"/>
                <w:szCs w:val="22"/>
              </w:rPr>
              <w:t xml:space="preserve"> pokytis lyginant su praėjusiais metais</w:t>
            </w:r>
          </w:p>
        </w:tc>
        <w:tc>
          <w:tcPr>
            <w:tcW w:w="1556" w:type="dxa"/>
            <w:shd w:val="clear" w:color="auto" w:fill="C9C9C9" w:themeFill="accent3" w:themeFillTint="99"/>
            <w:tcMar>
              <w:left w:w="108" w:type="dxa"/>
            </w:tcMar>
          </w:tcPr>
          <w:p w14:paraId="0CC364AD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Teigiamas, nepakitęs, neigiamas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left w:w="108" w:type="dxa"/>
            </w:tcMar>
          </w:tcPr>
          <w:p w14:paraId="3EF9FCDE" w14:textId="77777777" w:rsidR="006D4967" w:rsidRPr="0044625B" w:rsidRDefault="0044625B" w:rsidP="009454CF">
            <w:pPr>
              <w:jc w:val="center"/>
              <w:rPr>
                <w:color w:val="00000A"/>
                <w:szCs w:val="22"/>
              </w:rPr>
            </w:pPr>
            <w:r w:rsidRPr="0044625B">
              <w:rPr>
                <w:color w:val="00000A"/>
                <w:szCs w:val="22"/>
              </w:rPr>
              <w:t>Teigiamas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17669715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560" w:type="dxa"/>
            <w:shd w:val="clear" w:color="auto" w:fill="C9C9C9" w:themeFill="accent3" w:themeFillTint="99"/>
            <w:tcMar>
              <w:left w:w="108" w:type="dxa"/>
            </w:tcMar>
          </w:tcPr>
          <w:p w14:paraId="55BED094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6D4967" w:rsidRPr="00A31722" w14:paraId="694D7DFA" w14:textId="77777777" w:rsidTr="0034487D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0B321387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1B23E52E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4B1BE5F5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0851D674" w14:textId="77777777" w:rsidR="006D4967" w:rsidRPr="00A31722" w:rsidRDefault="006D4967" w:rsidP="009454CF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Renginių rinkodaros priemonių įgyvendinimas</w:t>
            </w:r>
          </w:p>
        </w:tc>
        <w:tc>
          <w:tcPr>
            <w:tcW w:w="1985" w:type="dxa"/>
            <w:shd w:val="clear" w:color="auto" w:fill="auto"/>
          </w:tcPr>
          <w:p w14:paraId="469CC993" w14:textId="77777777" w:rsidR="006D4967" w:rsidRPr="00A31722" w:rsidRDefault="006D4967" w:rsidP="009454CF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07EDF767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Įgyvendintų priemonių skaičiaus pokytis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F38EC94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5D8D284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*</w:t>
            </w:r>
          </w:p>
        </w:tc>
        <w:tc>
          <w:tcPr>
            <w:tcW w:w="1275" w:type="dxa"/>
            <w:shd w:val="clear" w:color="auto" w:fill="FFFFFF" w:themeFill="background1"/>
          </w:tcPr>
          <w:p w14:paraId="7A10E93E" w14:textId="70F37564" w:rsidR="006D4967" w:rsidRPr="0068533C" w:rsidRDefault="002553CD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75D0E0D0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</w:p>
        </w:tc>
      </w:tr>
      <w:tr w:rsidR="006D4967" w:rsidRPr="00A31722" w14:paraId="2D01F60C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5CE6C7BF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1C89C1C1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6BDADB02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73" w:type="dxa"/>
            <w:gridSpan w:val="2"/>
            <w:shd w:val="clear" w:color="auto" w:fill="auto"/>
            <w:tcMar>
              <w:left w:w="108" w:type="dxa"/>
            </w:tcMar>
          </w:tcPr>
          <w:p w14:paraId="4610CA05" w14:textId="77777777" w:rsidR="006D4967" w:rsidRPr="00A31722" w:rsidRDefault="006D4967" w:rsidP="009454CF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06" w:type="dxa"/>
            <w:shd w:val="clear" w:color="auto" w:fill="auto"/>
          </w:tcPr>
          <w:p w14:paraId="0D230A0C" w14:textId="77777777" w:rsidR="006D4967" w:rsidRPr="00A31722" w:rsidRDefault="006D4967" w:rsidP="009454CF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Organizuoti S. Eidrigevičiaus ir SEMC viešinimo renginius</w:t>
            </w:r>
          </w:p>
        </w:tc>
        <w:tc>
          <w:tcPr>
            <w:tcW w:w="1985" w:type="dxa"/>
            <w:shd w:val="clear" w:color="auto" w:fill="auto"/>
          </w:tcPr>
          <w:p w14:paraId="144514E0" w14:textId="77777777" w:rsidR="006D4967" w:rsidRPr="00A31722" w:rsidRDefault="006D4967" w:rsidP="009454CF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  <w:r>
              <w:rPr>
                <w:color w:val="00000A"/>
                <w:szCs w:val="22"/>
              </w:rPr>
              <w:t>,</w:t>
            </w:r>
          </w:p>
          <w:p w14:paraId="393E96CA" w14:textId="77777777" w:rsidR="006D4967" w:rsidRPr="00A31722" w:rsidRDefault="006D4967" w:rsidP="009454CF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A. </w:t>
            </w:r>
            <w:proofErr w:type="spellStart"/>
            <w:r w:rsidRPr="00A31722">
              <w:rPr>
                <w:color w:val="00000A"/>
                <w:szCs w:val="22"/>
              </w:rPr>
              <w:t>Astramskas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312B8CD0" w14:textId="77777777" w:rsidR="006D4967" w:rsidRPr="00A31722" w:rsidRDefault="006D4967" w:rsidP="009454CF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Suorganizuotų renginių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EC5E1B3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8707D93" w14:textId="77777777" w:rsidR="006D4967" w:rsidRPr="00A31722" w:rsidRDefault="0044625B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E8E3975" w14:textId="77777777" w:rsidR="006D4967" w:rsidRPr="00A31722" w:rsidRDefault="0068533C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413F1B2A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6D4967" w:rsidRPr="00A31722" w14:paraId="35B64237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3F48F164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6C616AA8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7045AD5C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3C1885DA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Miesto viešųjų erdvių </w:t>
            </w:r>
            <w:proofErr w:type="spellStart"/>
            <w:r w:rsidRPr="00A31722">
              <w:rPr>
                <w:color w:val="00000A"/>
                <w:szCs w:val="22"/>
              </w:rPr>
              <w:t>įveiklinimas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3D3D789" w14:textId="77777777" w:rsidR="006D4967" w:rsidRPr="00A31722" w:rsidRDefault="006D4967" w:rsidP="009454CF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4100665B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proofErr w:type="spellStart"/>
            <w:r w:rsidRPr="00A31722">
              <w:rPr>
                <w:bCs/>
                <w:color w:val="00000A"/>
                <w:szCs w:val="22"/>
              </w:rPr>
              <w:t>Įveiklintų</w:t>
            </w:r>
            <w:proofErr w:type="spellEnd"/>
            <w:r w:rsidRPr="00A31722">
              <w:rPr>
                <w:bCs/>
                <w:color w:val="00000A"/>
                <w:szCs w:val="22"/>
              </w:rPr>
              <w:t xml:space="preserve"> erdvių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76384C1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FE8B5D5" w14:textId="77777777" w:rsidR="006D4967" w:rsidRPr="00A31722" w:rsidRDefault="0044625B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275" w:type="dxa"/>
          </w:tcPr>
          <w:p w14:paraId="2D947E6D" w14:textId="77777777" w:rsidR="006D4967" w:rsidRPr="00A31722" w:rsidRDefault="0068533C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4C2F177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6D4967" w:rsidRPr="00A31722" w14:paraId="0FC5C3D8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2C17059C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0A3EEC0B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2AF22895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270B93A7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022C3800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Organizuoti renginius netradicinėse miesto erdvėse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6D12AA" w14:textId="7E805006" w:rsidR="006D4967" w:rsidRPr="00A31722" w:rsidRDefault="00535EBA" w:rsidP="009454CF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74720C94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Suorganizuotų renginių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6596E3E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FE730B1" w14:textId="77777777" w:rsidR="006D4967" w:rsidRPr="00A31722" w:rsidRDefault="0044625B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275" w:type="dxa"/>
          </w:tcPr>
          <w:p w14:paraId="2343CCEC" w14:textId="77777777" w:rsidR="006D4967" w:rsidRPr="00A31722" w:rsidRDefault="0068533C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7B192C4F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6D4967" w:rsidRPr="00A31722" w14:paraId="299797E7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30F6F3BC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0CF14AF7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1FD5AD24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635FF586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735AFF67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04F793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2A9A7E46" w14:textId="77777777" w:rsidR="006D4967" w:rsidRPr="00A31722" w:rsidRDefault="006D4967" w:rsidP="009454CF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Renginių lankytojų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03EAFBEE" w14:textId="77777777" w:rsidR="006D4967" w:rsidRPr="00A31722" w:rsidRDefault="006D4967" w:rsidP="009454CF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8CF8B49" w14:textId="77777777" w:rsidR="006D4967" w:rsidRPr="00A31722" w:rsidRDefault="0044625B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600</w:t>
            </w:r>
          </w:p>
        </w:tc>
        <w:tc>
          <w:tcPr>
            <w:tcW w:w="1275" w:type="dxa"/>
          </w:tcPr>
          <w:p w14:paraId="7D1F67B3" w14:textId="77777777" w:rsidR="006D4967" w:rsidRPr="00A31722" w:rsidRDefault="0068533C" w:rsidP="009454CF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700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8DA4BB8" w14:textId="77777777" w:rsidR="006D4967" w:rsidRPr="00A31722" w:rsidRDefault="006D4967" w:rsidP="009454CF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535EBA" w:rsidRPr="00A31722" w14:paraId="57F98CB3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37AB4C64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419E5924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72CE987C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7ABCC827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</w:rPr>
              <w:t xml:space="preserve">SEMC ir miesto bendruomenės kultūrinių iniciatyvų, kūrybiškumo ir kūrybinės </w:t>
            </w:r>
            <w:proofErr w:type="spellStart"/>
            <w:r w:rsidRPr="00A31722">
              <w:rPr>
                <w:bCs/>
                <w:color w:val="00000A"/>
              </w:rPr>
              <w:t>įtraukties</w:t>
            </w:r>
            <w:proofErr w:type="spellEnd"/>
            <w:r w:rsidRPr="00A31722">
              <w:rPr>
                <w:bCs/>
                <w:color w:val="00000A"/>
              </w:rPr>
              <w:t xml:space="preserve"> skatinimas</w:t>
            </w:r>
          </w:p>
        </w:tc>
        <w:tc>
          <w:tcPr>
            <w:tcW w:w="1985" w:type="dxa"/>
            <w:shd w:val="clear" w:color="auto" w:fill="auto"/>
          </w:tcPr>
          <w:p w14:paraId="2FA8B381" w14:textId="6E97A8EB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75FB39D2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</w:rPr>
              <w:t>Įgyvendintų bendrų iniciatyvų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1E624F3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lang w:eastAsia="zh-CN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5245B44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275" w:type="dxa"/>
          </w:tcPr>
          <w:p w14:paraId="4ECE0323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05B41D6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535EBA" w:rsidRPr="00A31722" w14:paraId="41D021B6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1B97A6B1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23E28ADA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02</w:t>
            </w:r>
          </w:p>
        </w:tc>
        <w:tc>
          <w:tcPr>
            <w:tcW w:w="3546" w:type="dxa"/>
            <w:gridSpan w:val="4"/>
            <w:shd w:val="clear" w:color="auto" w:fill="C9C9C9" w:themeFill="accent3" w:themeFillTint="99"/>
            <w:tcMar>
              <w:left w:w="108" w:type="dxa"/>
            </w:tcMar>
          </w:tcPr>
          <w:p w14:paraId="44F589AA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Sudaryti palankias sąlygas profesionaliajam menui ir kultūrai vystytis</w:t>
            </w:r>
          </w:p>
        </w:tc>
        <w:tc>
          <w:tcPr>
            <w:tcW w:w="1985" w:type="dxa"/>
            <w:shd w:val="clear" w:color="auto" w:fill="C9C9C9" w:themeFill="accent3" w:themeFillTint="99"/>
          </w:tcPr>
          <w:p w14:paraId="1AAF08A4" w14:textId="3683D688" w:rsidR="00535EBA" w:rsidRPr="0044625B" w:rsidRDefault="00792712" w:rsidP="00535EBA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V. </w:t>
            </w:r>
            <w:proofErr w:type="spellStart"/>
            <w:r>
              <w:rPr>
                <w:color w:val="00000A"/>
                <w:szCs w:val="22"/>
              </w:rPr>
              <w:t>Andrijauskaitė</w:t>
            </w:r>
            <w:proofErr w:type="spellEnd"/>
          </w:p>
        </w:tc>
        <w:tc>
          <w:tcPr>
            <w:tcW w:w="2838" w:type="dxa"/>
            <w:shd w:val="clear" w:color="auto" w:fill="C9C9C9" w:themeFill="accent3" w:themeFillTint="99"/>
            <w:tcMar>
              <w:left w:w="108" w:type="dxa"/>
            </w:tcMar>
          </w:tcPr>
          <w:p w14:paraId="47EB32CD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Profesionaliojo meno ir kultūros renginių skaičiaus pokytis</w:t>
            </w:r>
          </w:p>
        </w:tc>
        <w:tc>
          <w:tcPr>
            <w:tcW w:w="1556" w:type="dxa"/>
            <w:shd w:val="clear" w:color="auto" w:fill="C9C9C9" w:themeFill="accent3" w:themeFillTint="99"/>
            <w:tcMar>
              <w:left w:w="108" w:type="dxa"/>
            </w:tcMar>
          </w:tcPr>
          <w:p w14:paraId="2508B74B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left w:w="108" w:type="dxa"/>
            </w:tcMar>
          </w:tcPr>
          <w:p w14:paraId="5A6C8366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  <w:shd w:val="clear" w:color="auto" w:fill="C9C9C9" w:themeFill="accent3" w:themeFillTint="99"/>
          </w:tcPr>
          <w:p w14:paraId="7B6E6B93" w14:textId="52D9E08D" w:rsidR="00535EBA" w:rsidRDefault="002553CD" w:rsidP="00535EBA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40</w:t>
            </w:r>
          </w:p>
          <w:p w14:paraId="5621DE49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C9C9C9" w:themeFill="accent3" w:themeFillTint="99"/>
            <w:tcMar>
              <w:left w:w="108" w:type="dxa"/>
            </w:tcMar>
          </w:tcPr>
          <w:p w14:paraId="6C598855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535EBA" w:rsidRPr="00A31722" w14:paraId="157EF44D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68AA0E45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5EF24E06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10A817AC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1BA0CCA5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Profesionaliojo meno skatinimas ir plėtra</w:t>
            </w:r>
          </w:p>
        </w:tc>
        <w:tc>
          <w:tcPr>
            <w:tcW w:w="1985" w:type="dxa"/>
            <w:shd w:val="clear" w:color="auto" w:fill="auto"/>
          </w:tcPr>
          <w:p w14:paraId="02D7A166" w14:textId="77777777" w:rsidR="00535EBA" w:rsidRPr="00A31722" w:rsidRDefault="00535EBA" w:rsidP="00535EBA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</w:p>
          <w:p w14:paraId="25577629" w14:textId="77777777" w:rsidR="00535EBA" w:rsidRPr="00A31722" w:rsidRDefault="00535EBA" w:rsidP="00535EBA">
            <w:pPr>
              <w:rPr>
                <w:bCs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275CCDE7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0" w:themeColor="text1"/>
                <w:szCs w:val="22"/>
              </w:rPr>
              <w:t>Lankytojų pasitenkinimo teikiamomis paslaugomis vertinimas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E53DA94" w14:textId="77777777" w:rsidR="00535EBA" w:rsidRPr="00A31722" w:rsidRDefault="00535EBA" w:rsidP="00535EBA">
            <w:pPr>
              <w:snapToGrid w:val="0"/>
              <w:jc w:val="center"/>
              <w:rPr>
                <w:bCs/>
                <w:color w:val="000000" w:themeColor="text1"/>
                <w:szCs w:val="22"/>
              </w:rPr>
            </w:pPr>
            <w:r w:rsidRPr="00A31722">
              <w:rPr>
                <w:bCs/>
                <w:color w:val="000000" w:themeColor="text1"/>
                <w:szCs w:val="22"/>
              </w:rPr>
              <w:t>Teigiamas,</w:t>
            </w:r>
          </w:p>
          <w:p w14:paraId="61F53A6D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0" w:themeColor="text1"/>
                <w:szCs w:val="22"/>
              </w:rPr>
              <w:t>neigiamas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7CF5F90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szCs w:val="22"/>
              </w:rPr>
              <w:t>Nebuvo vykdyta apklausa</w:t>
            </w:r>
          </w:p>
        </w:tc>
        <w:tc>
          <w:tcPr>
            <w:tcW w:w="1275" w:type="dxa"/>
            <w:shd w:val="clear" w:color="auto" w:fill="auto"/>
          </w:tcPr>
          <w:p w14:paraId="0991C360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800E5DC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535EBA" w:rsidRPr="00A31722" w14:paraId="65B5A350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426EFD79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36FEDA15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A012A46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49BFA6AE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586A4696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Vykdyti parodinę veiklą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DC6553" w14:textId="77777777" w:rsidR="00792712" w:rsidRDefault="00535EBA" w:rsidP="00535EBA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  <w:r w:rsidR="00792712">
              <w:rPr>
                <w:color w:val="00000A"/>
                <w:szCs w:val="22"/>
              </w:rPr>
              <w:t xml:space="preserve">, </w:t>
            </w:r>
          </w:p>
          <w:p w14:paraId="0022DF7C" w14:textId="0DE21F6E" w:rsidR="00535EBA" w:rsidRDefault="00792712" w:rsidP="00535EBA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lastRenderedPageBreak/>
              <w:t>S. Leonavičius</w:t>
            </w:r>
          </w:p>
          <w:p w14:paraId="47021E5C" w14:textId="77777777" w:rsidR="00792712" w:rsidRPr="00A31722" w:rsidRDefault="00792712" w:rsidP="00535EBA">
            <w:pPr>
              <w:ind w:right="-112"/>
              <w:rPr>
                <w:color w:val="00000A"/>
                <w:szCs w:val="22"/>
              </w:rPr>
            </w:pPr>
          </w:p>
          <w:p w14:paraId="54E4363E" w14:textId="77777777" w:rsidR="00535EBA" w:rsidRPr="00A31722" w:rsidRDefault="00535EBA" w:rsidP="00535EBA">
            <w:pPr>
              <w:rPr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5201CA15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lastRenderedPageBreak/>
              <w:t>Parodų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9B25C86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A9452CD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7395F4F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F0A3590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535EBA" w:rsidRPr="00A31722" w14:paraId="4589C2F0" w14:textId="77777777" w:rsidTr="00535EBA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04471147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356E82C5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6B9B9F53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4C3C123C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79474F8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5581A85" w14:textId="77777777" w:rsidR="00535EBA" w:rsidRPr="00A31722" w:rsidRDefault="00535EBA" w:rsidP="00535EBA">
            <w:pPr>
              <w:ind w:right="-112"/>
              <w:rPr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2FFE44A6" w14:textId="77777777" w:rsidR="00535EBA" w:rsidRPr="00A31722" w:rsidRDefault="00535EBA" w:rsidP="00535EBA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Parodų lankytojų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89C5019" w14:textId="77777777" w:rsidR="00535EBA" w:rsidRPr="00A31722" w:rsidRDefault="00535EBA" w:rsidP="00535EBA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FB9A6F9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330</w:t>
            </w:r>
          </w:p>
        </w:tc>
        <w:tc>
          <w:tcPr>
            <w:tcW w:w="1275" w:type="dxa"/>
            <w:shd w:val="clear" w:color="auto" w:fill="FFFFFF" w:themeFill="background1"/>
          </w:tcPr>
          <w:p w14:paraId="00477AC6" w14:textId="091B944E" w:rsidR="00535EBA" w:rsidRPr="00535EBA" w:rsidRDefault="00535EBA" w:rsidP="00535EBA">
            <w:pPr>
              <w:jc w:val="center"/>
              <w:rPr>
                <w:color w:val="000000" w:themeColor="text1"/>
                <w:szCs w:val="22"/>
              </w:rPr>
            </w:pPr>
            <w:r w:rsidRPr="00535EBA">
              <w:rPr>
                <w:color w:val="000000" w:themeColor="text1"/>
                <w:szCs w:val="22"/>
              </w:rPr>
              <w:t xml:space="preserve">400 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13DA903" w14:textId="77777777" w:rsidR="00535EBA" w:rsidRPr="00A31722" w:rsidRDefault="00535EBA" w:rsidP="00535EBA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1B2BA432" w14:textId="77777777" w:rsidTr="00535EBA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51085A29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4877C31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35842E49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2AF073B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659350F3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Vykdyti parodinės veiklos sklaidą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F9AAB20" w14:textId="6620EEDA" w:rsidR="00792712" w:rsidRPr="00A31722" w:rsidRDefault="00792712" w:rsidP="00792712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6BA3F072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Profesionalų menininkų vizualaus meno parodų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0B4C2F24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4B936F2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507DA499" w14:textId="7EFFA0DA" w:rsidR="00792712" w:rsidRPr="00535EBA" w:rsidRDefault="00792712" w:rsidP="00792712">
            <w:pPr>
              <w:jc w:val="center"/>
              <w:rPr>
                <w:color w:val="000000" w:themeColor="text1"/>
                <w:szCs w:val="22"/>
              </w:rPr>
            </w:pPr>
            <w:r w:rsidRPr="00535EBA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7F2074BE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7C2E6D48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7446DFB6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5E01493E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263C0BD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77E5FE1B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4D523DEE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71EB17E" w14:textId="77777777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1F8C2D68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Suorganizuotų parodų Lietuvos regionuose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FB6A135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C535175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68E23A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9BB942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</w:tr>
      <w:tr w:rsidR="00792712" w:rsidRPr="00A31722" w14:paraId="138C5B97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1C23654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14F24EC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2EC61D2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01589B90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F54A09B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CA2241E" w14:textId="77777777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63504E9D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Suorganizuotų parodų užsienyje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AE4D45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7B22E38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9A411C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64AEDA9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</w:tr>
      <w:tr w:rsidR="00792712" w:rsidRPr="00A31722" w14:paraId="2DC94BB3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0AA2789D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15F9E0D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2E32C490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6CAB8DD8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0C6D86E4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Įgyvendinti iniciatyvas, skatinančias profesionalų menininkų įtraukimą į SEMC vykdomus projektus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894D749" w14:textId="119D655B" w:rsidR="00792712" w:rsidRPr="00A31722" w:rsidRDefault="00792712" w:rsidP="00792712">
            <w:pPr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5113CE6E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 xml:space="preserve">Įgyvendintų projektų skaičius per metus 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7FE333AA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A41FB9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605CB86C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01C03C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65DE185B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1E69CF2C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5C3D86DA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3F6B380E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0F524948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62D1FA9D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C88405D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0219F5C6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Įtrauktų menininkų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38F65312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CDD9E79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14:paraId="3D157CF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7C6911D5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3F211AAC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14593E3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3EB39D3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0BA22DE8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67C7CD3C" w14:textId="77777777" w:rsidR="00792712" w:rsidRPr="00A31722" w:rsidRDefault="00792712" w:rsidP="00792712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Meno kūrinių kolekcijos formavimas</w:t>
            </w:r>
          </w:p>
        </w:tc>
        <w:tc>
          <w:tcPr>
            <w:tcW w:w="1985" w:type="dxa"/>
            <w:shd w:val="clear" w:color="auto" w:fill="auto"/>
          </w:tcPr>
          <w:p w14:paraId="77195A39" w14:textId="77777777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A. </w:t>
            </w:r>
            <w:proofErr w:type="spellStart"/>
            <w:r w:rsidRPr="00A31722">
              <w:rPr>
                <w:color w:val="00000A"/>
                <w:szCs w:val="22"/>
              </w:rPr>
              <w:t>Astramskas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22A73E56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Įsigytų meno kūrinių skaičiaus pokytis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050F260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132007B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</w:tcPr>
          <w:p w14:paraId="66493BC8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287645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3319C802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740913B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1B47695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1DA2130B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6DC142F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2A320F5D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Įsigyti meno kūrinių</w:t>
            </w:r>
          </w:p>
        </w:tc>
        <w:tc>
          <w:tcPr>
            <w:tcW w:w="1985" w:type="dxa"/>
            <w:shd w:val="clear" w:color="auto" w:fill="auto"/>
          </w:tcPr>
          <w:p w14:paraId="5D842758" w14:textId="77777777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A. </w:t>
            </w:r>
            <w:proofErr w:type="spellStart"/>
            <w:r w:rsidRPr="00A31722">
              <w:rPr>
                <w:color w:val="00000A"/>
                <w:szCs w:val="22"/>
              </w:rPr>
              <w:t>Astramskas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31E63C87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Įsigytų meno kūrinių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8ACCD8C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8567124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749</w:t>
            </w:r>
          </w:p>
        </w:tc>
        <w:tc>
          <w:tcPr>
            <w:tcW w:w="1275" w:type="dxa"/>
          </w:tcPr>
          <w:p w14:paraId="373F408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09B5BB4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129B523D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7F1AB05E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3DECF67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46B817DC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1F782A9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6006AA43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ABEAA26" w14:textId="77777777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A. </w:t>
            </w:r>
            <w:proofErr w:type="spellStart"/>
            <w:r w:rsidRPr="00A31722">
              <w:rPr>
                <w:color w:val="00000A"/>
                <w:szCs w:val="22"/>
              </w:rPr>
              <w:t>Astramskas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7F925D86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S. Eidrigevičiaus perduotų meno kūrinių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D1AE946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C73E530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893</w:t>
            </w:r>
          </w:p>
        </w:tc>
        <w:tc>
          <w:tcPr>
            <w:tcW w:w="1275" w:type="dxa"/>
            <w:shd w:val="clear" w:color="auto" w:fill="auto"/>
          </w:tcPr>
          <w:p w14:paraId="052C5C9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1E829E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0EFC3FC0" w14:textId="77777777" w:rsidTr="00535EBA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6BAEBC28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29754E1B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14423A2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BBDA390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4538AA66" w14:textId="77777777" w:rsidR="00792712" w:rsidRPr="00A31722" w:rsidRDefault="00792712" w:rsidP="00792712">
            <w:pPr>
              <w:rPr>
                <w:bCs/>
                <w:szCs w:val="22"/>
              </w:rPr>
            </w:pPr>
            <w:r w:rsidRPr="00A31722">
              <w:rPr>
                <w:bCs/>
                <w:szCs w:val="22"/>
              </w:rPr>
              <w:t xml:space="preserve">Parengti </w:t>
            </w:r>
          </w:p>
          <w:p w14:paraId="29EDD1CA" w14:textId="77777777" w:rsidR="00792712" w:rsidRPr="00A31722" w:rsidRDefault="00792712" w:rsidP="00792712">
            <w:pPr>
              <w:rPr>
                <w:b/>
                <w:szCs w:val="22"/>
              </w:rPr>
            </w:pPr>
            <w:r w:rsidRPr="00A31722">
              <w:rPr>
                <w:bCs/>
                <w:szCs w:val="22"/>
              </w:rPr>
              <w:t>S. Eidrigevičiaus meno kūrinių aprašus</w:t>
            </w:r>
          </w:p>
        </w:tc>
        <w:tc>
          <w:tcPr>
            <w:tcW w:w="1985" w:type="dxa"/>
            <w:shd w:val="clear" w:color="auto" w:fill="auto"/>
          </w:tcPr>
          <w:p w14:paraId="2395F7D8" w14:textId="77777777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A. </w:t>
            </w:r>
            <w:proofErr w:type="spellStart"/>
            <w:r w:rsidRPr="00A31722">
              <w:rPr>
                <w:color w:val="00000A"/>
                <w:szCs w:val="22"/>
              </w:rPr>
              <w:t>Astramskas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4B51DB8E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Parengtų aprašų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E60B85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F8DC98F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7D7A63DD" w14:textId="123D35FB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535EBA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B560B4C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15CBCE5D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7E2653C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1F681D5C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783B0AD7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C1BD1B2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2248493F" w14:textId="77777777" w:rsidR="00792712" w:rsidRPr="00A31722" w:rsidRDefault="00792712" w:rsidP="00792712">
            <w:pPr>
              <w:rPr>
                <w:bCs/>
                <w:szCs w:val="22"/>
              </w:rPr>
            </w:pPr>
            <w:r w:rsidRPr="00A31722">
              <w:rPr>
                <w:bCs/>
                <w:szCs w:val="22"/>
              </w:rPr>
              <w:t>Įkurti meno rezidenciją</w:t>
            </w:r>
          </w:p>
        </w:tc>
        <w:tc>
          <w:tcPr>
            <w:tcW w:w="1985" w:type="dxa"/>
            <w:shd w:val="clear" w:color="auto" w:fill="auto"/>
          </w:tcPr>
          <w:p w14:paraId="7D1B2FD2" w14:textId="0D12B5EC" w:rsidR="00792712" w:rsidRPr="00A31722" w:rsidRDefault="00792712" w:rsidP="00792712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170692C3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Pritrauktų rezidentų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723905E6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0A43833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70CC8E2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0833D1A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792712" w:rsidRPr="00A31722" w14:paraId="30613C74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46B876F0" w14:textId="77777777" w:rsidR="00792712" w:rsidRPr="00A31722" w:rsidRDefault="00792712" w:rsidP="0079271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2DB7B506" w14:textId="77777777" w:rsidR="00792712" w:rsidRPr="00A31722" w:rsidRDefault="00792712" w:rsidP="00792712">
            <w:pPr>
              <w:jc w:val="center"/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03</w:t>
            </w:r>
          </w:p>
        </w:tc>
        <w:tc>
          <w:tcPr>
            <w:tcW w:w="3546" w:type="dxa"/>
            <w:gridSpan w:val="4"/>
            <w:shd w:val="clear" w:color="auto" w:fill="C9C9C9" w:themeFill="accent3" w:themeFillTint="99"/>
            <w:tcMar>
              <w:left w:w="108" w:type="dxa"/>
            </w:tcMar>
          </w:tcPr>
          <w:p w14:paraId="7BA866DE" w14:textId="77777777" w:rsidR="00792712" w:rsidRPr="00A31722" w:rsidRDefault="00792712" w:rsidP="00792712">
            <w:pPr>
              <w:rPr>
                <w:b/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Užtikrinti SEMC veiklos kokybės ir paslaugų prieinamumo gerinimą</w:t>
            </w:r>
          </w:p>
        </w:tc>
        <w:tc>
          <w:tcPr>
            <w:tcW w:w="1985" w:type="dxa"/>
            <w:shd w:val="clear" w:color="auto" w:fill="C9C9C9" w:themeFill="accent3" w:themeFillTint="99"/>
          </w:tcPr>
          <w:p w14:paraId="067F3BA0" w14:textId="2EBF30DD" w:rsidR="00792712" w:rsidRPr="00A31722" w:rsidRDefault="00E322CB" w:rsidP="00792712">
            <w:pPr>
              <w:ind w:right="-112"/>
              <w:rPr>
                <w:b/>
                <w:color w:val="00000A"/>
                <w:szCs w:val="22"/>
              </w:rPr>
            </w:pPr>
            <w:r>
              <w:rPr>
                <w:b/>
                <w:color w:val="00000A"/>
                <w:szCs w:val="22"/>
              </w:rPr>
              <w:t xml:space="preserve">V. </w:t>
            </w:r>
            <w:proofErr w:type="spellStart"/>
            <w:r>
              <w:rPr>
                <w:b/>
                <w:color w:val="00000A"/>
                <w:szCs w:val="22"/>
              </w:rPr>
              <w:t>Andrijauskaitė</w:t>
            </w:r>
            <w:proofErr w:type="spellEnd"/>
          </w:p>
        </w:tc>
        <w:tc>
          <w:tcPr>
            <w:tcW w:w="2838" w:type="dxa"/>
            <w:shd w:val="clear" w:color="auto" w:fill="C9C9C9" w:themeFill="accent3" w:themeFillTint="99"/>
            <w:tcMar>
              <w:left w:w="108" w:type="dxa"/>
            </w:tcMar>
          </w:tcPr>
          <w:p w14:paraId="5A1F2F08" w14:textId="77777777" w:rsidR="00792712" w:rsidRPr="00A31722" w:rsidRDefault="00792712" w:rsidP="00792712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Paslaugų kokybės pokytis pagal ekspertinį / anketinį vertinimą</w:t>
            </w:r>
          </w:p>
        </w:tc>
        <w:tc>
          <w:tcPr>
            <w:tcW w:w="1556" w:type="dxa"/>
            <w:shd w:val="clear" w:color="auto" w:fill="C9C9C9" w:themeFill="accent3" w:themeFillTint="99"/>
            <w:tcMar>
              <w:left w:w="108" w:type="dxa"/>
            </w:tcMar>
          </w:tcPr>
          <w:p w14:paraId="795C31CD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Teigiamas, neigiamas</w:t>
            </w:r>
          </w:p>
        </w:tc>
        <w:tc>
          <w:tcPr>
            <w:tcW w:w="1276" w:type="dxa"/>
            <w:shd w:val="clear" w:color="auto" w:fill="C9C9C9" w:themeFill="accent3" w:themeFillTint="99"/>
            <w:tcMar>
              <w:left w:w="108" w:type="dxa"/>
            </w:tcMar>
          </w:tcPr>
          <w:p w14:paraId="60EF74E4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/>
                <w:color w:val="00000A"/>
                <w:szCs w:val="22"/>
              </w:rPr>
              <w:t>*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14:paraId="5D642C90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Teigiamas</w:t>
            </w:r>
          </w:p>
        </w:tc>
        <w:tc>
          <w:tcPr>
            <w:tcW w:w="1560" w:type="dxa"/>
            <w:shd w:val="clear" w:color="auto" w:fill="C9C9C9" w:themeFill="accent3" w:themeFillTint="99"/>
            <w:tcMar>
              <w:left w:w="108" w:type="dxa"/>
            </w:tcMar>
          </w:tcPr>
          <w:p w14:paraId="670E7311" w14:textId="77777777" w:rsidR="00792712" w:rsidRPr="00A31722" w:rsidRDefault="00792712" w:rsidP="00792712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636EC616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1D58E97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77020E7D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24F2C673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10B3F921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SEMC veiklos modernizavimas (aktualinimas), siekiant didesnės gyventojų </w:t>
            </w:r>
            <w:proofErr w:type="spellStart"/>
            <w:r w:rsidRPr="00A31722">
              <w:rPr>
                <w:color w:val="00000A"/>
                <w:szCs w:val="22"/>
              </w:rPr>
              <w:t>įtraukties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437213C" w14:textId="5D5DF59C" w:rsidR="00071A65" w:rsidRPr="00A31722" w:rsidRDefault="00071A65" w:rsidP="00071A65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6202E14C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Įgyvendintų veiklų pokytis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38A0D0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222BF6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14AD0E" w14:textId="197243C7" w:rsidR="00071A65" w:rsidRPr="00A31722" w:rsidRDefault="002553CD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92,8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563FAA2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67EDC455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2BB2328E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6E4A2F06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2EFAF74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6CED79F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6D6CFFC0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Rengti edukacines programas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9C4EE2" w14:textId="4B4CCF9A" w:rsidR="00071A65" w:rsidRPr="00A31722" w:rsidRDefault="00071A65" w:rsidP="00071A65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J. </w:t>
            </w:r>
            <w:proofErr w:type="spellStart"/>
            <w:r>
              <w:rPr>
                <w:color w:val="00000A"/>
                <w:szCs w:val="22"/>
              </w:rPr>
              <w:t>Puluikytė</w:t>
            </w:r>
            <w:proofErr w:type="spellEnd"/>
            <w:r>
              <w:rPr>
                <w:color w:val="00000A"/>
                <w:szCs w:val="22"/>
              </w:rPr>
              <w:t>,</w:t>
            </w:r>
          </w:p>
          <w:p w14:paraId="4C8AD764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P. </w:t>
            </w:r>
            <w:proofErr w:type="spellStart"/>
            <w:r w:rsidRPr="00A31722">
              <w:rPr>
                <w:color w:val="00000A"/>
                <w:szCs w:val="22"/>
              </w:rPr>
              <w:t>Vepšas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05760660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Parengtų naujų ar atnaujintų edukacinių programų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BDF4BB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067B5B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5B232D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054953B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48DD7BB4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2791F12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24DD642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5C58C140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53FAA936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523A6B36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62FD45B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13F26374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>
              <w:rPr>
                <w:bCs/>
                <w:color w:val="00000A"/>
                <w:szCs w:val="22"/>
              </w:rPr>
              <w:t>Prav</w:t>
            </w:r>
            <w:r w:rsidRPr="00A31722">
              <w:rPr>
                <w:bCs/>
                <w:color w:val="00000A"/>
                <w:szCs w:val="22"/>
              </w:rPr>
              <w:t>estų edukacinių programų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54DE1C0D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7E7006D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2408506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E01747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329A343F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73DF821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608E235D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47EF886B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4B513E5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06D1AF22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3853D0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4CF42FB3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Edukacinių programų dalyvių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ED6B766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E46A7F0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150</w:t>
            </w:r>
          </w:p>
        </w:tc>
        <w:tc>
          <w:tcPr>
            <w:tcW w:w="1275" w:type="dxa"/>
          </w:tcPr>
          <w:p w14:paraId="17A55A8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250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D8F0406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6B3FE1F0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60D3151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1CDD537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1D8184E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0A294FE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6DEA9280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DFD785" w14:textId="4F60990C" w:rsidR="00071A65" w:rsidRPr="00A31722" w:rsidRDefault="00071A65" w:rsidP="00071A65">
            <w:pPr>
              <w:ind w:right="-112"/>
              <w:rPr>
                <w:b/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5D5BC51C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Lankytojų pasitenkinimo esamomis edukacinėmis programomis vertinimas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4A59B11" w14:textId="77777777" w:rsidR="00071A65" w:rsidRPr="00A31722" w:rsidRDefault="00071A65" w:rsidP="00071A65">
            <w:pPr>
              <w:ind w:left="-108" w:right="-111" w:firstLine="108"/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Teigiamas, patenkinamas, neigiamas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03A912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Apklausa nevykdyta</w:t>
            </w:r>
          </w:p>
        </w:tc>
        <w:tc>
          <w:tcPr>
            <w:tcW w:w="1275" w:type="dxa"/>
          </w:tcPr>
          <w:p w14:paraId="61DE4A1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T</w:t>
            </w:r>
            <w:r w:rsidRPr="00A31722">
              <w:rPr>
                <w:color w:val="00000A"/>
                <w:szCs w:val="22"/>
              </w:rPr>
              <w:t>eigiamas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27CC7F6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133616F6" w14:textId="77777777" w:rsidTr="009454CF">
        <w:trPr>
          <w:cantSplit/>
          <w:trHeight w:val="4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left w:w="108" w:type="dxa"/>
            </w:tcMar>
          </w:tcPr>
          <w:p w14:paraId="0CCBA063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4"/>
              </w:rPr>
              <w:lastRenderedPageBreak/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left w:w="108" w:type="dxa"/>
            </w:tcMar>
          </w:tcPr>
          <w:p w14:paraId="7AD4B487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left w:w="108" w:type="dxa"/>
            </w:tcMar>
          </w:tcPr>
          <w:p w14:paraId="4D1E9295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EA3B9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F08F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Organizuoti naujų formų renginius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7159" w14:textId="1E26D1F0" w:rsidR="00071A65" w:rsidRDefault="00071A65" w:rsidP="00071A65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  <w:r w:rsidR="00D64C4A">
              <w:rPr>
                <w:color w:val="00000A"/>
                <w:szCs w:val="22"/>
              </w:rPr>
              <w:t>,</w:t>
            </w:r>
          </w:p>
          <w:p w14:paraId="52509411" w14:textId="233BAD7A" w:rsidR="00D64C4A" w:rsidRPr="00A31722" w:rsidRDefault="00D64C4A" w:rsidP="00071A65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  <w:p w14:paraId="7E311D2C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D3929E1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Naujų formų kultūros renginių skaičius per metus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508712E" w14:textId="77777777" w:rsidR="00071A65" w:rsidRPr="00A31722" w:rsidRDefault="00071A65" w:rsidP="00071A65">
            <w:pPr>
              <w:ind w:left="-89" w:right="-126" w:firstLine="89"/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FEAE6C0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22F3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A809DE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0867D204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1D1B9AC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470CD19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51D0F115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57BD960F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04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1F3298B7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Skatinti ir plėsti tarptautiškumą stiprinančias veiklas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196118" w14:textId="5A3F87E9" w:rsidR="00071A65" w:rsidRDefault="00071A65" w:rsidP="00071A65">
            <w:pPr>
              <w:ind w:right="-112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V. </w:t>
            </w:r>
            <w:proofErr w:type="spellStart"/>
            <w:r w:rsidRPr="00A31722">
              <w:rPr>
                <w:color w:val="00000A"/>
                <w:szCs w:val="22"/>
              </w:rPr>
              <w:t>Andrijauskaitė</w:t>
            </w:r>
            <w:proofErr w:type="spellEnd"/>
            <w:r w:rsidR="00D64C4A">
              <w:rPr>
                <w:color w:val="00000A"/>
                <w:szCs w:val="22"/>
              </w:rPr>
              <w:t>,</w:t>
            </w:r>
          </w:p>
          <w:p w14:paraId="524DD327" w14:textId="436682EE" w:rsidR="00D64C4A" w:rsidRPr="00A31722" w:rsidRDefault="00D64C4A" w:rsidP="00071A65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  <w:p w14:paraId="2FAED3E6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6103F3E5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Įvykusių tarptautinių renginių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FB0941F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42F53B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6AC317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6F321E3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6D7D7CA8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11F0A10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575F08A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3DC9AFA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7132699F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60ADBE5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A29FA8" w14:textId="77777777" w:rsidR="00071A65" w:rsidRPr="00A31722" w:rsidRDefault="00071A65" w:rsidP="00071A65">
            <w:pPr>
              <w:rPr>
                <w:b/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4ED3C41A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Dalyvavimų tarptautiniuose renginiuose užsienyje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2D16EBA5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35AD66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EDF455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46740F5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57138707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0224232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3F648A9F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0F26C33E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02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5D1CE4F5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Kelti SEMC specialistų kvalifikaciją ir vadybinę kompetenciją</w:t>
            </w:r>
          </w:p>
        </w:tc>
        <w:tc>
          <w:tcPr>
            <w:tcW w:w="1985" w:type="dxa"/>
            <w:shd w:val="clear" w:color="auto" w:fill="auto"/>
          </w:tcPr>
          <w:p w14:paraId="38887720" w14:textId="4E46A446" w:rsidR="00071A65" w:rsidRPr="00A31722" w:rsidRDefault="00D64C4A" w:rsidP="00071A65">
            <w:pPr>
              <w:rPr>
                <w:b/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 xml:space="preserve">V. </w:t>
            </w:r>
            <w:proofErr w:type="spellStart"/>
            <w:r>
              <w:rPr>
                <w:color w:val="00000A"/>
                <w:szCs w:val="22"/>
              </w:rPr>
              <w:t>Andrijauskaitė</w:t>
            </w:r>
            <w:proofErr w:type="spellEnd"/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664EE495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Kvalifikaciją kėlusių specialistų per metus dalis nuo visų specialistų skaičiaus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7BA41FC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Proc.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264654B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14:paraId="408ED11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60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41F7B625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I–IV </w:t>
            </w:r>
            <w:proofErr w:type="spellStart"/>
            <w:r w:rsidRPr="00A31722">
              <w:rPr>
                <w:color w:val="00000A"/>
                <w:szCs w:val="22"/>
              </w:rPr>
              <w:t>ketv</w:t>
            </w:r>
            <w:proofErr w:type="spellEnd"/>
            <w:r w:rsidRPr="00A31722">
              <w:rPr>
                <w:color w:val="00000A"/>
                <w:szCs w:val="22"/>
              </w:rPr>
              <w:t>.</w:t>
            </w:r>
          </w:p>
        </w:tc>
      </w:tr>
      <w:tr w:rsidR="00071A65" w:rsidRPr="00A31722" w14:paraId="059AB5FE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232FEC5D" w14:textId="77777777" w:rsidR="00071A65" w:rsidRPr="00A31722" w:rsidRDefault="00071A65" w:rsidP="00071A65">
            <w:pPr>
              <w:jc w:val="center"/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008B76F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015EB626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03</w:t>
            </w:r>
          </w:p>
        </w:tc>
        <w:tc>
          <w:tcPr>
            <w:tcW w:w="2979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297E84EF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SEMC kultūrinių paslaugų ir veiklos skaitmeni</w:t>
            </w:r>
            <w:r>
              <w:rPr>
                <w:color w:val="00000A"/>
                <w:szCs w:val="22"/>
              </w:rPr>
              <w:t>n</w:t>
            </w:r>
            <w:r w:rsidRPr="00A31722">
              <w:rPr>
                <w:color w:val="00000A"/>
                <w:szCs w:val="22"/>
              </w:rPr>
              <w:t>imas</w:t>
            </w:r>
          </w:p>
        </w:tc>
        <w:tc>
          <w:tcPr>
            <w:tcW w:w="1985" w:type="dxa"/>
            <w:shd w:val="clear" w:color="auto" w:fill="auto"/>
          </w:tcPr>
          <w:p w14:paraId="27940726" w14:textId="43DA6CDD" w:rsidR="00071A65" w:rsidRPr="00A31722" w:rsidRDefault="00D64C4A" w:rsidP="00D64C4A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74E2F66C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Peržiūrų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2148139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7AE4871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</w:tcPr>
          <w:p w14:paraId="641DDDA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8CC6DB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</w:tr>
      <w:tr w:rsidR="00071A65" w:rsidRPr="00A31722" w14:paraId="49181674" w14:textId="77777777" w:rsidTr="009454CF">
        <w:trPr>
          <w:cantSplit/>
          <w:trHeight w:val="402"/>
          <w:jc w:val="center"/>
        </w:trPr>
        <w:tc>
          <w:tcPr>
            <w:tcW w:w="561" w:type="dxa"/>
            <w:vMerge w:val="restart"/>
            <w:shd w:val="clear" w:color="auto" w:fill="D5DCE4" w:themeFill="text2" w:themeFillTint="33"/>
            <w:tcMar>
              <w:left w:w="108" w:type="dxa"/>
            </w:tcMar>
          </w:tcPr>
          <w:p w14:paraId="1B448BF2" w14:textId="77777777" w:rsidR="00071A65" w:rsidRPr="00A31722" w:rsidRDefault="00071A65" w:rsidP="00071A65">
            <w:pPr>
              <w:jc w:val="center"/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vMerge w:val="restart"/>
            <w:shd w:val="clear" w:color="auto" w:fill="C9C9C9" w:themeFill="accent3" w:themeFillTint="99"/>
            <w:tcMar>
              <w:left w:w="108" w:type="dxa"/>
            </w:tcMar>
          </w:tcPr>
          <w:p w14:paraId="2FB97F02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7A4A3D20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8" w:type="dxa"/>
            </w:tcMar>
          </w:tcPr>
          <w:p w14:paraId="0D17E6D2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  <w:r w:rsidRPr="00A31722">
              <w:rPr>
                <w:szCs w:val="24"/>
              </w:rPr>
              <w:t>01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</w:tcPr>
          <w:p w14:paraId="68FEB2DF" w14:textId="77777777" w:rsidR="00071A65" w:rsidRPr="00A31722" w:rsidRDefault="00071A65" w:rsidP="00071A65">
            <w:pPr>
              <w:rPr>
                <w:szCs w:val="22"/>
              </w:rPr>
            </w:pPr>
            <w:r w:rsidRPr="00A31722">
              <w:rPr>
                <w:bCs/>
                <w:szCs w:val="22"/>
              </w:rPr>
              <w:t>Vykdyti SEMC fondų eksponatų skaitmeninimą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E20F1C7" w14:textId="54548330" w:rsidR="00071A65" w:rsidRPr="00D64C4A" w:rsidRDefault="00D64C4A" w:rsidP="00D64C4A">
            <w:pPr>
              <w:pStyle w:val="Sraopastraipa"/>
              <w:numPr>
                <w:ilvl w:val="0"/>
                <w:numId w:val="1"/>
              </w:numPr>
              <w:ind w:right="-112"/>
              <w:rPr>
                <w:szCs w:val="22"/>
              </w:rPr>
            </w:pPr>
            <w:proofErr w:type="spellStart"/>
            <w:r>
              <w:rPr>
                <w:szCs w:val="22"/>
              </w:rPr>
              <w:t>Astramskas</w:t>
            </w:r>
            <w:proofErr w:type="spellEnd"/>
          </w:p>
          <w:p w14:paraId="20E80DD3" w14:textId="77777777" w:rsidR="00071A65" w:rsidRPr="00A31722" w:rsidRDefault="00071A65" w:rsidP="00071A65">
            <w:pPr>
              <w:rPr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016729C7" w14:textId="77777777" w:rsidR="00071A65" w:rsidRPr="00A31722" w:rsidRDefault="00071A65" w:rsidP="00071A65">
            <w:pPr>
              <w:rPr>
                <w:szCs w:val="22"/>
              </w:rPr>
            </w:pPr>
            <w:r w:rsidRPr="00A31722">
              <w:rPr>
                <w:szCs w:val="22"/>
              </w:rPr>
              <w:t>Suskaitmenintų eksponatų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6DBA6DC3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  <w:r w:rsidRPr="00A31722">
              <w:rPr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11D412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</w:tcPr>
          <w:p w14:paraId="5B0169B7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60416DA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</w:tr>
      <w:tr w:rsidR="00071A65" w:rsidRPr="00A31722" w14:paraId="6E2ACF1B" w14:textId="77777777" w:rsidTr="009454CF">
        <w:trPr>
          <w:cantSplit/>
          <w:trHeight w:val="402"/>
          <w:jc w:val="center"/>
        </w:trPr>
        <w:tc>
          <w:tcPr>
            <w:tcW w:w="561" w:type="dxa"/>
            <w:vMerge/>
            <w:shd w:val="clear" w:color="auto" w:fill="D5DCE4" w:themeFill="text2" w:themeFillTint="33"/>
            <w:tcMar>
              <w:left w:w="108" w:type="dxa"/>
            </w:tcMar>
          </w:tcPr>
          <w:p w14:paraId="3C222CDE" w14:textId="77777777" w:rsidR="00071A65" w:rsidRPr="00A31722" w:rsidRDefault="00071A65" w:rsidP="00071A65">
            <w:pPr>
              <w:jc w:val="center"/>
              <w:rPr>
                <w:bCs/>
                <w:color w:val="00000A"/>
                <w:szCs w:val="24"/>
              </w:rPr>
            </w:pPr>
          </w:p>
        </w:tc>
        <w:tc>
          <w:tcPr>
            <w:tcW w:w="566" w:type="dxa"/>
            <w:vMerge/>
            <w:shd w:val="clear" w:color="auto" w:fill="C9C9C9" w:themeFill="accent3" w:themeFillTint="99"/>
            <w:tcMar>
              <w:left w:w="108" w:type="dxa"/>
            </w:tcMar>
          </w:tcPr>
          <w:p w14:paraId="06201A7E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18A4FF16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8" w:type="dxa"/>
            </w:tcMar>
          </w:tcPr>
          <w:p w14:paraId="0CDAA206" w14:textId="77777777" w:rsidR="00071A65" w:rsidRPr="00A31722" w:rsidRDefault="00071A65" w:rsidP="00071A65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</w:tcPr>
          <w:p w14:paraId="3A86680B" w14:textId="77777777" w:rsidR="00071A65" w:rsidRPr="00A31722" w:rsidRDefault="00071A65" w:rsidP="00071A65">
            <w:pPr>
              <w:rPr>
                <w:bCs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5239BF" w14:textId="77777777" w:rsidR="00071A65" w:rsidRPr="00A31722" w:rsidRDefault="00071A65" w:rsidP="00071A65">
            <w:pPr>
              <w:rPr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5A7E46BA" w14:textId="77777777" w:rsidR="00071A65" w:rsidRPr="00A31722" w:rsidRDefault="00071A65" w:rsidP="00071A65">
            <w:pPr>
              <w:rPr>
                <w:szCs w:val="22"/>
              </w:rPr>
            </w:pPr>
            <w:r w:rsidRPr="00A31722">
              <w:rPr>
                <w:bCs/>
                <w:szCs w:val="22"/>
              </w:rPr>
              <w:t>Paskelbtų suskaitmenintų eksponatų skaičius per metus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396C2E74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  <w:r w:rsidRPr="00A31722">
              <w:rPr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63EECAA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</w:tcPr>
          <w:p w14:paraId="3709E50A" w14:textId="77777777" w:rsidR="00071A65" w:rsidRPr="00A31722" w:rsidRDefault="00071A65" w:rsidP="00071A65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11A47BB7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</w:tr>
      <w:tr w:rsidR="00071A65" w:rsidRPr="00A31722" w14:paraId="59536BFB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7B581E6A" w14:textId="77777777" w:rsidR="00071A65" w:rsidRPr="00A31722" w:rsidRDefault="00071A65" w:rsidP="00071A65">
            <w:pPr>
              <w:jc w:val="center"/>
              <w:rPr>
                <w:bCs/>
                <w:color w:val="00000A"/>
                <w:szCs w:val="24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7E93C004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053A4EDF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8F06667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02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29954966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Vykdyti kultūrinių paslaugų skaitmeninimą</w:t>
            </w:r>
          </w:p>
        </w:tc>
        <w:tc>
          <w:tcPr>
            <w:tcW w:w="1985" w:type="dxa"/>
            <w:shd w:val="clear" w:color="auto" w:fill="auto"/>
          </w:tcPr>
          <w:p w14:paraId="70DD43EB" w14:textId="5E30DF5B" w:rsidR="00071A65" w:rsidRPr="00A31722" w:rsidRDefault="00D64C4A" w:rsidP="00D64C4A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73838A60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Suskaitmenintų kultūros produktų skaičius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18607665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7AABB5C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275" w:type="dxa"/>
          </w:tcPr>
          <w:p w14:paraId="7BE29AE0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3F5C772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–</w:t>
            </w:r>
          </w:p>
        </w:tc>
      </w:tr>
      <w:tr w:rsidR="00071A65" w:rsidRPr="00A31722" w14:paraId="0F81056C" w14:textId="77777777" w:rsidTr="009454CF">
        <w:trPr>
          <w:cantSplit/>
          <w:trHeight w:val="402"/>
          <w:jc w:val="center"/>
        </w:trPr>
        <w:tc>
          <w:tcPr>
            <w:tcW w:w="561" w:type="dxa"/>
            <w:shd w:val="clear" w:color="auto" w:fill="D5DCE4" w:themeFill="text2" w:themeFillTint="33"/>
            <w:tcMar>
              <w:left w:w="108" w:type="dxa"/>
            </w:tcMar>
          </w:tcPr>
          <w:p w14:paraId="70625618" w14:textId="77777777" w:rsidR="00071A65" w:rsidRPr="00A31722" w:rsidRDefault="00071A65" w:rsidP="00071A65">
            <w:pPr>
              <w:jc w:val="center"/>
              <w:rPr>
                <w:bCs/>
                <w:color w:val="00000A"/>
                <w:szCs w:val="24"/>
              </w:rPr>
            </w:pPr>
            <w:r w:rsidRPr="00A31722">
              <w:rPr>
                <w:bCs/>
                <w:color w:val="00000A"/>
                <w:szCs w:val="24"/>
              </w:rPr>
              <w:t>01</w:t>
            </w:r>
          </w:p>
        </w:tc>
        <w:tc>
          <w:tcPr>
            <w:tcW w:w="566" w:type="dxa"/>
            <w:shd w:val="clear" w:color="auto" w:fill="C9C9C9" w:themeFill="accent3" w:themeFillTint="99"/>
            <w:tcMar>
              <w:left w:w="108" w:type="dxa"/>
            </w:tcMar>
          </w:tcPr>
          <w:p w14:paraId="078DD5BA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C5E0B3" w:themeFill="accent6" w:themeFillTint="66"/>
            <w:tcMar>
              <w:left w:w="108" w:type="dxa"/>
            </w:tcMar>
          </w:tcPr>
          <w:p w14:paraId="674CEF8C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D8EC9CB" w14:textId="77777777" w:rsidR="00071A65" w:rsidRPr="00A31722" w:rsidRDefault="00071A65" w:rsidP="00071A65">
            <w:pPr>
              <w:jc w:val="center"/>
              <w:rPr>
                <w:color w:val="00000A"/>
                <w:szCs w:val="24"/>
              </w:rPr>
            </w:pPr>
            <w:r w:rsidRPr="00A31722">
              <w:rPr>
                <w:color w:val="00000A"/>
                <w:szCs w:val="24"/>
              </w:rPr>
              <w:t>03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39E034DB" w14:textId="77777777" w:rsidR="00071A65" w:rsidRPr="00A31722" w:rsidRDefault="00071A65" w:rsidP="00071A65">
            <w:pPr>
              <w:rPr>
                <w:bCs/>
                <w:color w:val="00000A"/>
                <w:szCs w:val="22"/>
              </w:rPr>
            </w:pPr>
            <w:r w:rsidRPr="00A31722">
              <w:rPr>
                <w:bCs/>
                <w:color w:val="00000A"/>
                <w:szCs w:val="22"/>
              </w:rPr>
              <w:t>Sukurti J. Čerkeso-Besparnio sodybos interneto svetainę</w:t>
            </w:r>
          </w:p>
        </w:tc>
        <w:tc>
          <w:tcPr>
            <w:tcW w:w="1985" w:type="dxa"/>
            <w:shd w:val="clear" w:color="auto" w:fill="auto"/>
          </w:tcPr>
          <w:p w14:paraId="695893AB" w14:textId="618E5547" w:rsidR="00071A65" w:rsidRPr="00A31722" w:rsidRDefault="00D64C4A" w:rsidP="00071A65">
            <w:pPr>
              <w:ind w:right="-112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S. Leonavičius</w:t>
            </w:r>
          </w:p>
          <w:p w14:paraId="0625E65C" w14:textId="77777777" w:rsidR="00071A65" w:rsidRPr="00A31722" w:rsidRDefault="00071A65" w:rsidP="00071A65">
            <w:pPr>
              <w:ind w:right="-112"/>
              <w:rPr>
                <w:color w:val="00000A"/>
                <w:szCs w:val="22"/>
              </w:rPr>
            </w:pPr>
          </w:p>
        </w:tc>
        <w:tc>
          <w:tcPr>
            <w:tcW w:w="2838" w:type="dxa"/>
            <w:shd w:val="clear" w:color="auto" w:fill="auto"/>
            <w:tcMar>
              <w:left w:w="108" w:type="dxa"/>
            </w:tcMar>
          </w:tcPr>
          <w:p w14:paraId="770305B9" w14:textId="77777777" w:rsidR="00071A65" w:rsidRPr="00A31722" w:rsidRDefault="00071A65" w:rsidP="00071A65">
            <w:pPr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 xml:space="preserve">Sukurta </w:t>
            </w:r>
            <w:r>
              <w:rPr>
                <w:color w:val="00000A"/>
                <w:szCs w:val="22"/>
              </w:rPr>
              <w:t xml:space="preserve">interneto </w:t>
            </w:r>
            <w:r w:rsidRPr="00A31722">
              <w:rPr>
                <w:color w:val="00000A"/>
                <w:szCs w:val="22"/>
              </w:rPr>
              <w:t>svetainė</w:t>
            </w:r>
          </w:p>
        </w:tc>
        <w:tc>
          <w:tcPr>
            <w:tcW w:w="1556" w:type="dxa"/>
            <w:shd w:val="clear" w:color="auto" w:fill="auto"/>
            <w:tcMar>
              <w:left w:w="108" w:type="dxa"/>
            </w:tcMar>
          </w:tcPr>
          <w:p w14:paraId="49FF9426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 w:rsidRPr="00A31722">
              <w:rPr>
                <w:color w:val="00000A"/>
                <w:szCs w:val="22"/>
              </w:rPr>
              <w:t>Vnt.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CE35F14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0,5</w:t>
            </w:r>
          </w:p>
        </w:tc>
        <w:tc>
          <w:tcPr>
            <w:tcW w:w="1275" w:type="dxa"/>
          </w:tcPr>
          <w:p w14:paraId="69C363F8" w14:textId="77777777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14:paraId="07DF1BE8" w14:textId="00C1FA7A" w:rsidR="00071A65" w:rsidRPr="00535EBA" w:rsidRDefault="00071A65" w:rsidP="00071A65">
            <w:pPr>
              <w:jc w:val="center"/>
              <w:rPr>
                <w:color w:val="000000" w:themeColor="text1"/>
                <w:szCs w:val="22"/>
              </w:rPr>
            </w:pPr>
            <w:r w:rsidRPr="00535EBA">
              <w:rPr>
                <w:color w:val="000000" w:themeColor="text1"/>
                <w:szCs w:val="22"/>
              </w:rPr>
              <w:t xml:space="preserve">II </w:t>
            </w:r>
            <w:proofErr w:type="spellStart"/>
            <w:r w:rsidRPr="00535EBA">
              <w:rPr>
                <w:color w:val="000000" w:themeColor="text1"/>
                <w:szCs w:val="22"/>
              </w:rPr>
              <w:t>ketv</w:t>
            </w:r>
            <w:proofErr w:type="spellEnd"/>
            <w:r w:rsidRPr="00535EBA">
              <w:rPr>
                <w:color w:val="000000" w:themeColor="text1"/>
                <w:szCs w:val="22"/>
              </w:rPr>
              <w:t>.</w:t>
            </w:r>
          </w:p>
          <w:p w14:paraId="153E3B98" w14:textId="2CB2CCAC" w:rsidR="00071A65" w:rsidRPr="00A31722" w:rsidRDefault="00071A65" w:rsidP="00071A65">
            <w:pPr>
              <w:jc w:val="center"/>
              <w:rPr>
                <w:color w:val="00000A"/>
                <w:szCs w:val="22"/>
              </w:rPr>
            </w:pPr>
          </w:p>
        </w:tc>
      </w:tr>
    </w:tbl>
    <w:p w14:paraId="63B9B37C" w14:textId="77777777" w:rsidR="006D4967" w:rsidRPr="00A31722" w:rsidRDefault="006D4967" w:rsidP="006D4967">
      <w:pPr>
        <w:tabs>
          <w:tab w:val="left" w:pos="9624"/>
        </w:tabs>
        <w:ind w:left="5102"/>
        <w:rPr>
          <w:rFonts w:eastAsia="Calibri"/>
          <w:color w:val="00000A"/>
          <w:szCs w:val="22"/>
        </w:rPr>
      </w:pPr>
    </w:p>
    <w:p w14:paraId="1446C71A" w14:textId="77777777" w:rsidR="006D4967" w:rsidRPr="00A31722" w:rsidRDefault="006D4967" w:rsidP="006D4967">
      <w:pPr>
        <w:rPr>
          <w:rFonts w:eastAsia="Calibri"/>
          <w:color w:val="00000A"/>
          <w:szCs w:val="22"/>
        </w:rPr>
      </w:pPr>
    </w:p>
    <w:p w14:paraId="7A50FD8B" w14:textId="77777777" w:rsidR="006D4967" w:rsidRPr="00A31722" w:rsidRDefault="006D4967" w:rsidP="006D4967">
      <w:pPr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br w:type="page"/>
      </w:r>
    </w:p>
    <w:p w14:paraId="101BBA2E" w14:textId="77777777" w:rsidR="006D4967" w:rsidRPr="00A31722" w:rsidRDefault="006D4967" w:rsidP="006D4967">
      <w:pPr>
        <w:rPr>
          <w:rFonts w:eastAsia="Calibri"/>
          <w:b/>
          <w:color w:val="00000A"/>
          <w:szCs w:val="24"/>
        </w:rPr>
      </w:pPr>
      <w:r w:rsidRPr="00A31722">
        <w:rPr>
          <w:rFonts w:eastAsia="Calibri"/>
          <w:b/>
          <w:color w:val="00000A"/>
          <w:szCs w:val="24"/>
        </w:rPr>
        <w:t>LĖŠŲ POREIKIS IR NUMATOMI FINANSAVIMO ŠALTINIAI</w:t>
      </w:r>
    </w:p>
    <w:p w14:paraId="12C233C8" w14:textId="77777777" w:rsidR="006D4967" w:rsidRPr="00A31722" w:rsidRDefault="006D4967" w:rsidP="006D4967">
      <w:pPr>
        <w:jc w:val="center"/>
        <w:rPr>
          <w:rFonts w:eastAsia="Calibri"/>
          <w:b/>
          <w:color w:val="00000A"/>
          <w:szCs w:val="24"/>
        </w:rPr>
      </w:pPr>
    </w:p>
    <w:p w14:paraId="3F49348E" w14:textId="77777777" w:rsidR="006D4967" w:rsidRPr="00A31722" w:rsidRDefault="006D4967" w:rsidP="006D4967">
      <w:pPr>
        <w:jc w:val="center"/>
        <w:rPr>
          <w:rFonts w:eastAsia="Calibri"/>
          <w:b/>
          <w:bCs/>
          <w:color w:val="00000A"/>
          <w:szCs w:val="22"/>
        </w:rPr>
      </w:pPr>
      <w:r w:rsidRPr="00A31722">
        <w:rPr>
          <w:rFonts w:eastAsia="Calibri"/>
          <w:color w:val="00000A"/>
          <w:szCs w:val="22"/>
        </w:rPr>
        <w:t xml:space="preserve">                                                                                                                                         </w:t>
      </w:r>
      <w:r w:rsidRPr="00A31722">
        <w:rPr>
          <w:rFonts w:eastAsia="Calibri"/>
          <w:b/>
          <w:bCs/>
          <w:color w:val="00000A"/>
          <w:szCs w:val="22"/>
        </w:rPr>
        <w:t>Tūkst. Eur</w:t>
      </w:r>
    </w:p>
    <w:tbl>
      <w:tblPr>
        <w:tblW w:w="12059" w:type="dxa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6D4967" w:rsidRPr="00A31722" w14:paraId="36E2B2BC" w14:textId="77777777" w:rsidTr="009454CF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6720E90" w14:textId="77777777" w:rsidR="006D4967" w:rsidRPr="00A31722" w:rsidRDefault="006D4967" w:rsidP="009454CF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0A5A87F" w14:textId="77777777" w:rsidR="006D4967" w:rsidRPr="00A31722" w:rsidRDefault="006D4967" w:rsidP="009454CF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Asignavimai </w:t>
            </w:r>
          </w:p>
          <w:p w14:paraId="3E3DBF1E" w14:textId="2681E923" w:rsidR="006D4967" w:rsidRPr="00A31722" w:rsidRDefault="006D4967" w:rsidP="009454CF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202</w:t>
            </w:r>
            <w:r w:rsidR="00364719">
              <w:rPr>
                <w:rFonts w:eastAsia="Calibri"/>
                <w:b/>
                <w:bCs/>
                <w:color w:val="00000A"/>
                <w:szCs w:val="24"/>
              </w:rPr>
              <w:t>2</w:t>
            </w: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 metams </w:t>
            </w:r>
          </w:p>
          <w:p w14:paraId="61D9B777" w14:textId="77777777" w:rsidR="006D4967" w:rsidRPr="00A31722" w:rsidRDefault="006D4967" w:rsidP="009454CF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603AB3" w14:textId="77777777" w:rsidR="006D4967" w:rsidRPr="00A31722" w:rsidRDefault="006D4967" w:rsidP="009454CF">
            <w:pPr>
              <w:jc w:val="center"/>
              <w:rPr>
                <w:rFonts w:eastAsia="Calibri"/>
                <w:b/>
                <w:bCs/>
                <w:color w:val="00000A"/>
                <w:szCs w:val="24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Asignavimai biudžetiniams </w:t>
            </w:r>
          </w:p>
          <w:p w14:paraId="1EB8E981" w14:textId="176FFA21" w:rsidR="006D4967" w:rsidRPr="00A31722" w:rsidRDefault="006D4967" w:rsidP="009454CF">
            <w:pPr>
              <w:jc w:val="center"/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>202</w:t>
            </w:r>
            <w:r w:rsidR="00364719">
              <w:rPr>
                <w:rFonts w:eastAsia="Calibri"/>
                <w:b/>
                <w:bCs/>
                <w:color w:val="00000A"/>
                <w:szCs w:val="24"/>
              </w:rPr>
              <w:t>3</w:t>
            </w:r>
            <w:r w:rsidRPr="00A31722">
              <w:rPr>
                <w:rFonts w:eastAsia="Calibri"/>
                <w:b/>
                <w:bCs/>
                <w:color w:val="00000A"/>
                <w:szCs w:val="24"/>
              </w:rPr>
              <w:t xml:space="preserve"> metams</w:t>
            </w:r>
          </w:p>
        </w:tc>
      </w:tr>
      <w:tr w:rsidR="006D4967" w:rsidRPr="00A31722" w14:paraId="7EBE664A" w14:textId="77777777" w:rsidTr="009454CF">
        <w:trPr>
          <w:trHeight w:val="42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EFAAF8" w14:textId="77777777" w:rsidR="006D4967" w:rsidRPr="00A31722" w:rsidRDefault="006D4967" w:rsidP="009454CF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7EA94F" w14:textId="524D33CF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161,9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224E6" w14:textId="32A188E8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709,3</w:t>
            </w:r>
          </w:p>
        </w:tc>
      </w:tr>
      <w:tr w:rsidR="006D4967" w:rsidRPr="00A31722" w14:paraId="37C7A55D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723CF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D5B103" w14:textId="18105D5A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161,9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4A0C0" w14:textId="7E8B6953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707,3</w:t>
            </w:r>
          </w:p>
        </w:tc>
      </w:tr>
      <w:tr w:rsidR="006D4967" w:rsidRPr="00A31722" w14:paraId="5EF7124A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C2CC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0AFB3" w14:textId="565FF6C0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122,3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4A94" w14:textId="442C26A3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213,5</w:t>
            </w:r>
          </w:p>
        </w:tc>
      </w:tr>
      <w:tr w:rsidR="006D4967" w:rsidRPr="00A31722" w14:paraId="1E87D503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858AE8" w14:textId="77777777" w:rsidR="006D4967" w:rsidRPr="00A31722" w:rsidRDefault="006D4967" w:rsidP="009454CF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92EC0F1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b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CD583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3B7C3CF9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3A66F" w14:textId="77777777" w:rsidR="006D4967" w:rsidRPr="00A31722" w:rsidRDefault="006D4967" w:rsidP="009454CF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4E212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b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75AD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4BCA579E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BEF1B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2.1.1. Savivaldybės biudžeto lėšos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SB</w:t>
            </w:r>
            <w:r w:rsidRPr="00A31722">
              <w:rPr>
                <w:rFonts w:eastAsia="Calibri"/>
                <w:color w:val="00000A"/>
                <w:szCs w:val="22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09FB3" w14:textId="5ED94405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161,9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550C" w14:textId="27F34ED7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707,3</w:t>
            </w:r>
          </w:p>
        </w:tc>
      </w:tr>
      <w:tr w:rsidR="006D4967" w:rsidRPr="00A31722" w14:paraId="53FBFD05" w14:textId="77777777" w:rsidTr="009454CF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3353" w14:textId="77777777" w:rsidR="006D4967" w:rsidRPr="009744CD" w:rsidRDefault="006D4967" w:rsidP="009454CF">
            <w:pPr>
              <w:rPr>
                <w:rFonts w:eastAsia="Calibri"/>
                <w:szCs w:val="22"/>
              </w:rPr>
            </w:pPr>
            <w:r w:rsidRPr="009744CD">
              <w:rPr>
                <w:rFonts w:eastAsia="Calibri"/>
                <w:szCs w:val="22"/>
              </w:rPr>
              <w:t>2.1.2. Valstybės biudžeto specialiosios tikslinės dotacijos lėšos valstybės funkcijoms atlikti (</w:t>
            </w:r>
            <w:r w:rsidRPr="009744CD">
              <w:rPr>
                <w:rFonts w:eastAsia="Calibri"/>
                <w:b/>
                <w:szCs w:val="22"/>
              </w:rPr>
              <w:t>VBSF</w:t>
            </w:r>
            <w:r w:rsidRPr="009744CD">
              <w:rPr>
                <w:rFonts w:eastAsia="Calibri"/>
                <w:szCs w:val="22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DB259" w14:textId="77777777" w:rsidR="006D4967" w:rsidRPr="009744CD" w:rsidRDefault="006D4967" w:rsidP="009454CF">
            <w:pPr>
              <w:snapToGri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C6D7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39C9D1E1" w14:textId="77777777" w:rsidTr="009454CF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69DA2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2.1.3. Valstybės biudžeto specialiosios tikslinės dotacijos lėšos regioninėms įstaigoms ir klasėms finansuoti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VBSR</w:t>
            </w:r>
            <w:r w:rsidRPr="00A31722">
              <w:rPr>
                <w:rFonts w:eastAsia="Calibri"/>
                <w:color w:val="00000A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0A26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136C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7275E980" w14:textId="77777777" w:rsidTr="009454CF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56EB2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2.1.4. Įstaigų pajamos už paslaugas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SP</w:t>
            </w:r>
            <w:r w:rsidRPr="00A31722">
              <w:rPr>
                <w:rFonts w:eastAsia="Calibri"/>
                <w:color w:val="00000A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60DB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8242" w14:textId="2F5D33C3" w:rsidR="006D4967" w:rsidRPr="00A31722" w:rsidRDefault="00364719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  <w:r>
              <w:rPr>
                <w:rFonts w:eastAsia="Calibri"/>
                <w:color w:val="00000A"/>
                <w:szCs w:val="24"/>
              </w:rPr>
              <w:t>2,0</w:t>
            </w:r>
          </w:p>
        </w:tc>
      </w:tr>
      <w:tr w:rsidR="006D4967" w:rsidRPr="00A31722" w14:paraId="003E71E5" w14:textId="77777777" w:rsidTr="009454CF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BD74D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>2.1.5. Valstybės biudžeto lėšos (</w:t>
            </w:r>
            <w:r w:rsidRPr="00A31722">
              <w:rPr>
                <w:rFonts w:eastAsia="Calibri"/>
                <w:b/>
                <w:color w:val="00000A"/>
                <w:szCs w:val="22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6BED" w14:textId="50134A0F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63D3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472EB96A" w14:textId="77777777" w:rsidTr="009454CF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4024E" w14:textId="77777777" w:rsidR="006D4967" w:rsidRPr="00A31722" w:rsidRDefault="006D4967" w:rsidP="009454CF">
            <w:pPr>
              <w:rPr>
                <w:rFonts w:eastAsia="Calibri"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22"/>
              </w:rPr>
              <w:t xml:space="preserve">2.1.6. </w:t>
            </w:r>
            <w:r w:rsidRPr="00A31722">
              <w:rPr>
                <w:rFonts w:eastAsia="Calibri"/>
                <w:color w:val="00000A"/>
                <w:szCs w:val="18"/>
                <w:lang w:eastAsia="lt-LT"/>
              </w:rPr>
              <w:t>Paskolos lėšos (</w:t>
            </w:r>
            <w:r w:rsidRPr="00A31722">
              <w:rPr>
                <w:rFonts w:eastAsia="Calibri"/>
                <w:b/>
                <w:bCs/>
                <w:color w:val="00000A"/>
                <w:szCs w:val="18"/>
                <w:lang w:eastAsia="lt-LT"/>
              </w:rPr>
              <w:t>P</w:t>
            </w:r>
            <w:r w:rsidRPr="00A31722">
              <w:rPr>
                <w:rFonts w:eastAsia="Calibri"/>
                <w:bCs/>
                <w:color w:val="00000A"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9594F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EE03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68E45D23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BE68E" w14:textId="77777777" w:rsidR="006D4967" w:rsidRPr="00A31722" w:rsidRDefault="006D4967" w:rsidP="009454CF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color w:val="00000A"/>
                <w:szCs w:val="18"/>
                <w:lang w:eastAsia="lt-LT"/>
              </w:rPr>
              <w:t>2.1.7. Europos Sąjungos struktūrinių fondų lėšos (</w:t>
            </w:r>
            <w:r w:rsidRPr="00A31722">
              <w:rPr>
                <w:rFonts w:eastAsia="Calibri"/>
                <w:b/>
                <w:bCs/>
                <w:color w:val="00000A"/>
                <w:szCs w:val="18"/>
                <w:lang w:eastAsia="lt-LT"/>
              </w:rPr>
              <w:t>ES</w:t>
            </w:r>
            <w:r w:rsidRPr="00A31722">
              <w:rPr>
                <w:rFonts w:eastAsia="Calibri"/>
                <w:bCs/>
                <w:color w:val="00000A"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C7A1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b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307F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27942BDB" w14:textId="77777777" w:rsidTr="009454CF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023A" w14:textId="77777777" w:rsidR="006D4967" w:rsidRPr="00A31722" w:rsidRDefault="006D4967" w:rsidP="009454CF">
            <w:pPr>
              <w:rPr>
                <w:rFonts w:eastAsia="Calibri"/>
                <w:b/>
                <w:color w:val="00000A"/>
                <w:szCs w:val="22"/>
              </w:rPr>
            </w:pPr>
            <w:r w:rsidRPr="00A31722">
              <w:rPr>
                <w:rFonts w:eastAsia="Calibri"/>
                <w:b/>
                <w:color w:val="00000A"/>
                <w:szCs w:val="22"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1DDE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D3B1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08B62A1A" w14:textId="77777777" w:rsidTr="009454CF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4274" w14:textId="77777777" w:rsidR="006D4967" w:rsidRPr="00A31722" w:rsidRDefault="006D4967" w:rsidP="009454CF">
            <w:pPr>
              <w:rPr>
                <w:rFonts w:eastAsia="Calibri"/>
                <w:bCs/>
                <w:color w:val="00000A"/>
                <w:szCs w:val="24"/>
                <w:lang w:eastAsia="lt-LT"/>
              </w:rPr>
            </w:pP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2.2.1. Gyventojų pajamų mokestis (</w:t>
            </w:r>
            <w:r w:rsidRPr="00B96F84">
              <w:rPr>
                <w:rFonts w:eastAsia="Calibri"/>
                <w:b/>
                <w:bCs/>
                <w:color w:val="00000A"/>
                <w:szCs w:val="24"/>
                <w:lang w:eastAsia="lt-LT"/>
              </w:rPr>
              <w:t>GPM</w:t>
            </w: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4A6F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6C8D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7C8D27EC" w14:textId="77777777" w:rsidTr="009454CF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9E8DB" w14:textId="77777777" w:rsidR="006D4967" w:rsidRPr="00A31722" w:rsidRDefault="006D4967" w:rsidP="009454CF">
            <w:pPr>
              <w:rPr>
                <w:rFonts w:eastAsia="Calibri"/>
                <w:bCs/>
                <w:color w:val="00000A"/>
                <w:szCs w:val="24"/>
                <w:lang w:eastAsia="lt-LT"/>
              </w:rPr>
            </w:pP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2.2.2. Rėmėjų lėšos (</w:t>
            </w:r>
            <w:r w:rsidRPr="00B96F84">
              <w:rPr>
                <w:rFonts w:eastAsia="Calibri"/>
                <w:b/>
                <w:bCs/>
                <w:color w:val="00000A"/>
                <w:szCs w:val="24"/>
                <w:lang w:eastAsia="lt-LT"/>
              </w:rPr>
              <w:t>RL</w:t>
            </w: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7095B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9BD6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  <w:tr w:rsidR="006D4967" w:rsidRPr="00A31722" w14:paraId="3328045B" w14:textId="77777777" w:rsidTr="009454CF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7801" w14:textId="77777777" w:rsidR="006D4967" w:rsidRPr="00A31722" w:rsidRDefault="006D4967" w:rsidP="009454CF">
            <w:pPr>
              <w:rPr>
                <w:rFonts w:eastAsia="Calibri"/>
                <w:bCs/>
                <w:color w:val="00000A"/>
                <w:szCs w:val="24"/>
                <w:lang w:eastAsia="lt-LT"/>
              </w:rPr>
            </w:pPr>
            <w:r w:rsidRPr="00A31722">
              <w:rPr>
                <w:rFonts w:eastAsia="Calibri"/>
                <w:bCs/>
                <w:color w:val="00000A"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8E2A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A5E5" w14:textId="77777777" w:rsidR="006D4967" w:rsidRPr="00A31722" w:rsidRDefault="006D4967" w:rsidP="009454CF">
            <w:pPr>
              <w:snapToGrid w:val="0"/>
              <w:jc w:val="center"/>
              <w:rPr>
                <w:rFonts w:eastAsia="Calibri"/>
                <w:color w:val="00000A"/>
                <w:szCs w:val="24"/>
              </w:rPr>
            </w:pPr>
          </w:p>
        </w:tc>
      </w:tr>
    </w:tbl>
    <w:p w14:paraId="213BD973" w14:textId="77777777" w:rsidR="006D4967" w:rsidRPr="00A31722" w:rsidRDefault="006D4967" w:rsidP="006D4967">
      <w:pPr>
        <w:tabs>
          <w:tab w:val="left" w:pos="6663"/>
        </w:tabs>
        <w:jc w:val="both"/>
        <w:rPr>
          <w:szCs w:val="24"/>
        </w:rPr>
      </w:pPr>
    </w:p>
    <w:p w14:paraId="1011C1B5" w14:textId="77777777" w:rsidR="00897DDA" w:rsidRDefault="00897DDA"/>
    <w:sectPr w:rsidR="00897DDA" w:rsidSect="00A31722">
      <w:pgSz w:w="16840" w:h="11907" w:orient="landscape" w:code="9"/>
      <w:pgMar w:top="1701" w:right="1134" w:bottom="567" w:left="1134" w:header="0" w:footer="0" w:gutter="0"/>
      <w:paperSrc w:first="1" w:other="1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02F46"/>
    <w:multiLevelType w:val="hybridMultilevel"/>
    <w:tmpl w:val="3F5AAA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67"/>
    <w:rsid w:val="00071A65"/>
    <w:rsid w:val="00157D45"/>
    <w:rsid w:val="002553CD"/>
    <w:rsid w:val="0034487D"/>
    <w:rsid w:val="00364719"/>
    <w:rsid w:val="0044625B"/>
    <w:rsid w:val="00535EBA"/>
    <w:rsid w:val="0068533C"/>
    <w:rsid w:val="006D4967"/>
    <w:rsid w:val="00752E79"/>
    <w:rsid w:val="00792712"/>
    <w:rsid w:val="00897DDA"/>
    <w:rsid w:val="0095083D"/>
    <w:rsid w:val="00C66241"/>
    <w:rsid w:val="00D64C4A"/>
    <w:rsid w:val="00E322CB"/>
    <w:rsid w:val="00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90A1"/>
  <w15:chartTrackingRefBased/>
  <w15:docId w15:val="{43842050-FBE5-4B0D-B65C-71C85D2C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4967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6D4967"/>
    <w:rPr>
      <w:rFonts w:eastAsia="Calibri" w:cs="Times New Roman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4987</Words>
  <Characters>2844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Diana Brazdžiunienė</cp:lastModifiedBy>
  <cp:revision>2</cp:revision>
  <dcterms:created xsi:type="dcterms:W3CDTF">2023-03-08T13:56:00Z</dcterms:created>
  <dcterms:modified xsi:type="dcterms:W3CDTF">2023-03-08T13:56:00Z</dcterms:modified>
</cp:coreProperties>
</file>