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7A6D" w14:textId="77777777" w:rsidR="000D6A10" w:rsidRDefault="003B08D0">
      <w:pPr>
        <w:jc w:val="center"/>
      </w:pPr>
      <w:bookmarkStart w:id="0" w:name="_GoBack"/>
      <w:bookmarkEnd w:id="0"/>
      <w:r>
        <w:rPr>
          <w:noProof/>
          <w:lang w:eastAsia="lt-LT"/>
        </w:rPr>
        <w:drawing>
          <wp:inline distT="0" distB="0" distL="0" distR="0" wp14:anchorId="43ABF4DA" wp14:editId="36DD1EF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DD87226" w14:textId="77777777" w:rsidR="000D6A10" w:rsidRDefault="000D6A10">
      <w:pPr>
        <w:jc w:val="center"/>
      </w:pPr>
    </w:p>
    <w:p w14:paraId="53A011BE" w14:textId="77777777" w:rsidR="000D6A10" w:rsidRDefault="003B08D0">
      <w:pPr>
        <w:jc w:val="center"/>
        <w:rPr>
          <w:b/>
          <w:sz w:val="28"/>
        </w:rPr>
      </w:pPr>
      <w:r>
        <w:rPr>
          <w:b/>
          <w:sz w:val="28"/>
        </w:rPr>
        <w:t>PANEVĖŽIO MIESTO SAVIVALDYBĖS TARYBA</w:t>
      </w:r>
    </w:p>
    <w:p w14:paraId="3ED57C1E" w14:textId="77777777" w:rsidR="000D6A10" w:rsidRDefault="000D6A10">
      <w:pPr>
        <w:keepNext/>
        <w:jc w:val="center"/>
        <w:outlineLvl w:val="1"/>
      </w:pPr>
    </w:p>
    <w:p w14:paraId="1F07596D" w14:textId="77777777" w:rsidR="000D6A10" w:rsidRDefault="000D6A10">
      <w:pPr>
        <w:jc w:val="center"/>
        <w:rPr>
          <w:b/>
          <w:bCs/>
        </w:rPr>
      </w:pPr>
    </w:p>
    <w:p w14:paraId="77FE6BDB" w14:textId="77777777" w:rsidR="000D6A10" w:rsidRDefault="003B08D0">
      <w:pPr>
        <w:keepNext/>
        <w:jc w:val="center"/>
        <w:outlineLvl w:val="1"/>
        <w:rPr>
          <w:b/>
          <w:bCs/>
        </w:rPr>
      </w:pPr>
      <w:r>
        <w:rPr>
          <w:b/>
          <w:bCs/>
        </w:rPr>
        <w:t>SPRENDIMAS</w:t>
      </w:r>
    </w:p>
    <w:p w14:paraId="767CB8C6" w14:textId="77777777" w:rsidR="000D6A10" w:rsidRDefault="003B08D0">
      <w:pPr>
        <w:pStyle w:val="Antrat1"/>
      </w:pPr>
      <w:r>
        <w:t>DĖL DIDŽIAUSIO LEISTINO PAREIGYBIŲ SKAIČIAUS PANEVĖŽIO ATVIRAME JAUNIMO CENTRE PATVIRTINIMO IR SAVIVALDYBĖS TARYBOS 2016 M. BIRŽELIO 30 D. SPRENDIMO NR. 1-191 PRIPAŽINIMO NETEKUSIU GALIOS</w:t>
      </w:r>
      <w:bookmarkStart w:id="1" w:name="Pavadinimas"/>
      <w:bookmarkEnd w:id="1"/>
    </w:p>
    <w:p w14:paraId="29C98CD3" w14:textId="77777777" w:rsidR="000D6A10" w:rsidRDefault="000D6A10">
      <w:pPr>
        <w:jc w:val="center"/>
        <w:rPr>
          <w:b/>
          <w:color w:val="000000"/>
          <w:lang w:eastAsia="lt-LT"/>
        </w:rPr>
      </w:pPr>
    </w:p>
    <w:p w14:paraId="342C4F19" w14:textId="77777777" w:rsidR="000D6A10" w:rsidRDefault="003B08D0">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2" w:name="registravimoDataIlga"/>
      <w:r>
        <w:rPr>
          <w:rStyle w:val="Style3"/>
        </w:rPr>
        <w:t>2023 m. gegužės 10 d.</w:t>
      </w:r>
      <w:r>
        <w:rPr>
          <w:rStyle w:val="Style3"/>
        </w:rPr>
        <w:fldChar w:fldCharType="end"/>
      </w:r>
      <w:bookmarkEnd w:id="2"/>
      <w:r>
        <w:t xml:space="preserve"> Nr. </w:t>
      </w:r>
      <w:r>
        <w:fldChar w:fldCharType="begin">
          <w:ffData>
            <w:name w:val="registravimoNr"/>
            <w:enabled/>
            <w:calcOnExit w:val="0"/>
            <w:textInput/>
          </w:ffData>
        </w:fldChar>
      </w:r>
      <w:r>
        <w:instrText>FORMTEXT</w:instrText>
      </w:r>
      <w:r>
        <w:fldChar w:fldCharType="separate"/>
      </w:r>
      <w:bookmarkStart w:id="3" w:name="registravimoNr"/>
      <w:r>
        <w:t>TSP-169</w:t>
      </w:r>
      <w:r>
        <w:fldChar w:fldCharType="end"/>
      </w:r>
      <w:bookmarkEnd w:id="3"/>
    </w:p>
    <w:p w14:paraId="22E340C2" w14:textId="77777777" w:rsidR="000D6A10" w:rsidRDefault="003B08D0">
      <w:pPr>
        <w:keepNext/>
        <w:jc w:val="center"/>
        <w:outlineLvl w:val="2"/>
        <w:rPr>
          <w:b/>
        </w:rPr>
      </w:pPr>
      <w:r>
        <w:t>Panevėžys</w:t>
      </w:r>
    </w:p>
    <w:p w14:paraId="033821AE" w14:textId="77777777" w:rsidR="000D6A10" w:rsidRDefault="000D6A10">
      <w:pPr>
        <w:jc w:val="center"/>
      </w:pPr>
    </w:p>
    <w:p w14:paraId="1B70C377" w14:textId="77777777" w:rsidR="000D6A10" w:rsidRDefault="000D6A10">
      <w:pPr>
        <w:jc w:val="center"/>
      </w:pPr>
    </w:p>
    <w:p w14:paraId="50076900" w14:textId="61DDF213" w:rsidR="000D6A10" w:rsidRDefault="003B08D0">
      <w:pPr>
        <w:spacing w:line="360" w:lineRule="auto"/>
        <w:ind w:firstLine="840"/>
        <w:jc w:val="both"/>
      </w:pPr>
      <w:r>
        <w:t xml:space="preserve">Vadovaudamasi </w:t>
      </w:r>
      <w:r>
        <w:rPr>
          <w:color w:val="000000"/>
          <w:shd w:val="clear" w:color="auto" w:fill="FFFFFF"/>
        </w:rPr>
        <w:t>Lietuvos Respublikos vietos savivaldos įstatymo 15 straipsnio 2 dalies 9 punktu, Lietuvos Respublikos biudžetinių įstaigų įstatymo 9 straipsnio 2 dalies 4 punktu</w:t>
      </w:r>
      <w:r>
        <w:t xml:space="preserve">, atsižvelgdama į Panevėžio miesto savivaldybės mero 2023 m. </w:t>
      </w:r>
      <w:r w:rsidRPr="000F124C">
        <w:t xml:space="preserve">gegužės </w:t>
      </w:r>
      <w:r w:rsidR="000F124C" w:rsidRPr="000F124C">
        <w:t>10</w:t>
      </w:r>
      <w:r w:rsidRPr="000F124C">
        <w:t xml:space="preserve"> d. teikimą Nr.</w:t>
      </w:r>
      <w:r w:rsidR="000F124C" w:rsidRPr="000F124C">
        <w:t xml:space="preserve"> D2-557</w:t>
      </w:r>
      <w:r w:rsidRPr="000F124C">
        <w:t xml:space="preserve">, </w:t>
      </w:r>
      <w:r>
        <w:t>Panevėžio miesto savivaldybės taryba  n u s p r e n d ž i a:</w:t>
      </w:r>
    </w:p>
    <w:p w14:paraId="0BC313F9" w14:textId="330037DC" w:rsidR="00E27A8C" w:rsidRDefault="003B08D0" w:rsidP="00E27A8C">
      <w:pPr>
        <w:pStyle w:val="Sraopastraipa"/>
        <w:numPr>
          <w:ilvl w:val="0"/>
          <w:numId w:val="1"/>
        </w:numPr>
        <w:tabs>
          <w:tab w:val="left" w:pos="1134"/>
        </w:tabs>
        <w:spacing w:line="360" w:lineRule="auto"/>
        <w:ind w:left="0" w:firstLine="851"/>
        <w:jc w:val="both"/>
        <w:rPr>
          <w:rFonts w:ascii="TimesLT" w:hAnsi="TimesLT"/>
          <w:color w:val="000000"/>
          <w:highlight w:val="white"/>
        </w:rPr>
      </w:pPr>
      <w:r>
        <w:rPr>
          <w:color w:val="000000"/>
          <w:shd w:val="clear" w:color="auto" w:fill="FFFFFF"/>
        </w:rPr>
        <w:t>Patvirtinti didžiausią leistiną Panevėžio atviro jaunimo centro pareigybių skaičių</w:t>
      </w:r>
      <w:r w:rsidR="00E27A8C">
        <w:rPr>
          <w:rFonts w:ascii="TimesLT" w:hAnsi="TimesLT"/>
          <w:color w:val="000000"/>
          <w:shd w:val="clear" w:color="auto" w:fill="FFFFFF"/>
        </w:rPr>
        <w:t>:</w:t>
      </w:r>
    </w:p>
    <w:tbl>
      <w:tblPr>
        <w:tblStyle w:val="Lentelstinklelis"/>
        <w:tblW w:w="9493" w:type="dxa"/>
        <w:tblLook w:val="01E0" w:firstRow="1" w:lastRow="1" w:firstColumn="1" w:lastColumn="1" w:noHBand="0" w:noVBand="0"/>
      </w:tblPr>
      <w:tblGrid>
        <w:gridCol w:w="1924"/>
        <w:gridCol w:w="1937"/>
        <w:gridCol w:w="5632"/>
      </w:tblGrid>
      <w:tr w:rsidR="00E27A8C" w:rsidRPr="000F124C" w14:paraId="03CC780E" w14:textId="77777777" w:rsidTr="00E27A8C">
        <w:trPr>
          <w:trHeight w:val="481"/>
        </w:trPr>
        <w:tc>
          <w:tcPr>
            <w:tcW w:w="1924" w:type="dxa"/>
            <w:vMerge w:val="restart"/>
            <w:shd w:val="clear" w:color="auto" w:fill="auto"/>
            <w:vAlign w:val="center"/>
          </w:tcPr>
          <w:p w14:paraId="55526999" w14:textId="77777777" w:rsidR="00E27A8C" w:rsidRPr="000F124C" w:rsidRDefault="00E27A8C" w:rsidP="007E39AF">
            <w:pPr>
              <w:jc w:val="center"/>
              <w:rPr>
                <w:rFonts w:eastAsia="Calibri"/>
              </w:rPr>
            </w:pPr>
            <w:r w:rsidRPr="000F124C">
              <w:rPr>
                <w:rFonts w:eastAsia="Calibri"/>
              </w:rPr>
              <w:t xml:space="preserve">Tvirtinamas </w:t>
            </w:r>
          </w:p>
          <w:p w14:paraId="55A9F497" w14:textId="77777777" w:rsidR="00E27A8C" w:rsidRPr="000F124C" w:rsidRDefault="00E27A8C" w:rsidP="007E39AF">
            <w:pPr>
              <w:jc w:val="center"/>
              <w:rPr>
                <w:rFonts w:eastAsia="Calibri"/>
              </w:rPr>
            </w:pPr>
            <w:r w:rsidRPr="000F124C">
              <w:rPr>
                <w:rFonts w:eastAsia="Calibri"/>
              </w:rPr>
              <w:t>pareigybių skaičius</w:t>
            </w:r>
          </w:p>
        </w:tc>
        <w:tc>
          <w:tcPr>
            <w:tcW w:w="7569" w:type="dxa"/>
            <w:gridSpan w:val="2"/>
            <w:shd w:val="clear" w:color="auto" w:fill="auto"/>
            <w:vAlign w:val="center"/>
          </w:tcPr>
          <w:p w14:paraId="741925CF" w14:textId="77777777" w:rsidR="00E27A8C" w:rsidRPr="000F124C" w:rsidRDefault="00E27A8C" w:rsidP="007E39AF">
            <w:pPr>
              <w:jc w:val="center"/>
              <w:rPr>
                <w:rFonts w:eastAsia="Calibri"/>
              </w:rPr>
            </w:pPr>
            <w:r w:rsidRPr="000F124C">
              <w:rPr>
                <w:rFonts w:eastAsia="Calibri"/>
              </w:rPr>
              <w:t>Iš jų</w:t>
            </w:r>
          </w:p>
        </w:tc>
      </w:tr>
      <w:tr w:rsidR="00E27A8C" w:rsidRPr="000F124C" w14:paraId="1EB00E9C" w14:textId="77777777" w:rsidTr="00E27A8C">
        <w:tc>
          <w:tcPr>
            <w:tcW w:w="1924" w:type="dxa"/>
            <w:vMerge/>
            <w:shd w:val="clear" w:color="auto" w:fill="auto"/>
            <w:vAlign w:val="center"/>
          </w:tcPr>
          <w:p w14:paraId="18B08837" w14:textId="77777777" w:rsidR="00E27A8C" w:rsidRPr="000F124C" w:rsidRDefault="00E27A8C" w:rsidP="007E39AF">
            <w:pPr>
              <w:jc w:val="center"/>
              <w:rPr>
                <w:rFonts w:eastAsia="Calibri"/>
              </w:rPr>
            </w:pPr>
          </w:p>
        </w:tc>
        <w:tc>
          <w:tcPr>
            <w:tcW w:w="1937" w:type="dxa"/>
            <w:shd w:val="clear" w:color="auto" w:fill="auto"/>
            <w:vAlign w:val="center"/>
          </w:tcPr>
          <w:p w14:paraId="476651F7" w14:textId="77777777" w:rsidR="00E27A8C" w:rsidRPr="000F124C" w:rsidRDefault="00E27A8C" w:rsidP="007E39AF">
            <w:pPr>
              <w:jc w:val="center"/>
              <w:rPr>
                <w:rFonts w:eastAsia="Calibri"/>
              </w:rPr>
            </w:pPr>
            <w:r w:rsidRPr="000F124C">
              <w:rPr>
                <w:rFonts w:eastAsia="Calibri"/>
              </w:rPr>
              <w:t>finansuojama iš savivaldybės biudžeto</w:t>
            </w:r>
          </w:p>
        </w:tc>
        <w:tc>
          <w:tcPr>
            <w:tcW w:w="5632" w:type="dxa"/>
            <w:shd w:val="clear" w:color="auto" w:fill="auto"/>
            <w:vAlign w:val="center"/>
          </w:tcPr>
          <w:p w14:paraId="3B633C1C" w14:textId="77777777" w:rsidR="00E27A8C" w:rsidRPr="000F124C" w:rsidRDefault="00E27A8C" w:rsidP="007E39AF">
            <w:pPr>
              <w:jc w:val="center"/>
              <w:rPr>
                <w:rFonts w:eastAsia="Calibri"/>
              </w:rPr>
            </w:pPr>
            <w:r w:rsidRPr="000F124C">
              <w:rPr>
                <w:rFonts w:eastAsia="Calibri"/>
              </w:rPr>
              <w:t>finansuojama iš kitų finansavimo šaltinių</w:t>
            </w:r>
          </w:p>
          <w:p w14:paraId="6905CDAB" w14:textId="77777777" w:rsidR="00E27A8C" w:rsidRPr="000F124C" w:rsidRDefault="00E27A8C" w:rsidP="007E39AF">
            <w:pPr>
              <w:jc w:val="center"/>
              <w:rPr>
                <w:rFonts w:eastAsia="Calibri"/>
              </w:rPr>
            </w:pPr>
            <w:r w:rsidRPr="000F124C">
              <w:rPr>
                <w:rFonts w:eastAsia="Calibri"/>
                <w:sz w:val="16"/>
                <w:szCs w:val="16"/>
              </w:rPr>
              <w:t>(Europos Sąjungos projektams, Užimtumo tarnybos užimtumo didinimo programa</w:t>
            </w:r>
            <w:r>
              <w:rPr>
                <w:rFonts w:eastAsia="Calibri"/>
                <w:sz w:val="16"/>
                <w:szCs w:val="16"/>
              </w:rPr>
              <w:t>i</w:t>
            </w:r>
            <w:r w:rsidRPr="000F124C">
              <w:rPr>
                <w:rFonts w:eastAsia="Calibri"/>
                <w:sz w:val="16"/>
                <w:szCs w:val="16"/>
              </w:rPr>
              <w:t xml:space="preserve"> vykdyti skirtos lėšos ir kt.)</w:t>
            </w:r>
          </w:p>
        </w:tc>
      </w:tr>
      <w:tr w:rsidR="00E27A8C" w:rsidRPr="000F124C" w14:paraId="7146FB39" w14:textId="77777777" w:rsidTr="00E27A8C">
        <w:tc>
          <w:tcPr>
            <w:tcW w:w="1924" w:type="dxa"/>
            <w:shd w:val="clear" w:color="auto" w:fill="auto"/>
            <w:vAlign w:val="center"/>
          </w:tcPr>
          <w:p w14:paraId="5B628FAD" w14:textId="77777777" w:rsidR="00E27A8C" w:rsidRPr="000F124C" w:rsidRDefault="00E27A8C" w:rsidP="007E39AF">
            <w:pPr>
              <w:jc w:val="center"/>
              <w:rPr>
                <w:b/>
              </w:rPr>
            </w:pPr>
            <w:r w:rsidRPr="000F124C">
              <w:rPr>
                <w:rFonts w:eastAsia="Calibri"/>
                <w:b/>
              </w:rPr>
              <w:t>11,5</w:t>
            </w:r>
          </w:p>
        </w:tc>
        <w:tc>
          <w:tcPr>
            <w:tcW w:w="1937" w:type="dxa"/>
            <w:shd w:val="clear" w:color="auto" w:fill="auto"/>
            <w:vAlign w:val="center"/>
          </w:tcPr>
          <w:p w14:paraId="6F2EC539" w14:textId="77777777" w:rsidR="00E27A8C" w:rsidRPr="000F124C" w:rsidRDefault="00E27A8C" w:rsidP="007E39AF">
            <w:pPr>
              <w:jc w:val="center"/>
              <w:rPr>
                <w:rFonts w:eastAsia="Calibri"/>
              </w:rPr>
            </w:pPr>
            <w:r w:rsidRPr="000F124C">
              <w:rPr>
                <w:rFonts w:eastAsia="Calibri"/>
              </w:rPr>
              <w:t>9,5</w:t>
            </w:r>
          </w:p>
        </w:tc>
        <w:tc>
          <w:tcPr>
            <w:tcW w:w="5632" w:type="dxa"/>
            <w:shd w:val="clear" w:color="auto" w:fill="auto"/>
            <w:vAlign w:val="center"/>
          </w:tcPr>
          <w:p w14:paraId="705112B1" w14:textId="77777777" w:rsidR="00E27A8C" w:rsidRPr="000F124C" w:rsidRDefault="00E27A8C" w:rsidP="007E39AF">
            <w:pPr>
              <w:jc w:val="center"/>
              <w:rPr>
                <w:rFonts w:eastAsia="Calibri"/>
              </w:rPr>
            </w:pPr>
            <w:r w:rsidRPr="000F124C">
              <w:rPr>
                <w:rFonts w:eastAsia="Calibri"/>
              </w:rPr>
              <w:t>2</w:t>
            </w:r>
          </w:p>
        </w:tc>
      </w:tr>
    </w:tbl>
    <w:p w14:paraId="1ADEA51E" w14:textId="77777777" w:rsidR="00E27A8C" w:rsidRPr="00E27A8C" w:rsidRDefault="00E27A8C" w:rsidP="00C86900">
      <w:pPr>
        <w:pStyle w:val="Sraopastraipa"/>
        <w:numPr>
          <w:ilvl w:val="0"/>
          <w:numId w:val="1"/>
        </w:numPr>
        <w:tabs>
          <w:tab w:val="left" w:pos="1134"/>
        </w:tabs>
        <w:spacing w:line="360" w:lineRule="atLeast"/>
        <w:ind w:left="0" w:firstLine="851"/>
        <w:jc w:val="both"/>
        <w:rPr>
          <w:rFonts w:ascii="TimesLT" w:hAnsi="TimesLT"/>
          <w:color w:val="000000"/>
          <w:shd w:val="clear" w:color="auto" w:fill="FFFFFF"/>
        </w:rPr>
      </w:pPr>
      <w:r>
        <w:rPr>
          <w:color w:val="000000"/>
          <w:lang w:eastAsia="lt-LT"/>
        </w:rPr>
        <w:t>Nustatyti, kad 2025 m. sausio 1 d. įsigalioja tokia ši</w:t>
      </w:r>
      <w:r w:rsidRPr="00E27A8C">
        <w:rPr>
          <w:color w:val="000000"/>
          <w:lang w:eastAsia="lt-LT"/>
        </w:rPr>
        <w:t xml:space="preserve">o </w:t>
      </w:r>
      <w:r>
        <w:rPr>
          <w:color w:val="000000"/>
          <w:lang w:eastAsia="lt-LT"/>
        </w:rPr>
        <w:t xml:space="preserve">sprendimo 1 punkto redakcija: </w:t>
      </w:r>
    </w:p>
    <w:p w14:paraId="6897027D" w14:textId="7B108D33" w:rsidR="00E27A8C" w:rsidRDefault="00E27A8C" w:rsidP="00E27A8C">
      <w:pPr>
        <w:pStyle w:val="Sraopastraipa"/>
        <w:spacing w:line="360" w:lineRule="atLeast"/>
        <w:ind w:left="851"/>
        <w:jc w:val="both"/>
        <w:rPr>
          <w:rFonts w:ascii="TimesLT" w:hAnsi="TimesLT"/>
          <w:color w:val="000000"/>
          <w:shd w:val="clear" w:color="auto" w:fill="FFFFFF"/>
        </w:rPr>
      </w:pPr>
      <w:r>
        <w:rPr>
          <w:color w:val="000000"/>
          <w:lang w:eastAsia="lt-LT"/>
        </w:rPr>
        <w:t xml:space="preserve">„1. </w:t>
      </w:r>
      <w:r>
        <w:rPr>
          <w:color w:val="000000"/>
          <w:shd w:val="clear" w:color="auto" w:fill="FFFFFF"/>
        </w:rPr>
        <w:t>Patvirtinti didžiausią leistiną Panevėžio atviro jaunimo centro pareigybių skaičių</w:t>
      </w:r>
      <w:r>
        <w:rPr>
          <w:rFonts w:ascii="TimesLT" w:hAnsi="TimesLT"/>
          <w:color w:val="000000"/>
          <w:shd w:val="clear" w:color="auto" w:fill="FFFFFF"/>
        </w:rPr>
        <w:t>:</w:t>
      </w:r>
    </w:p>
    <w:tbl>
      <w:tblPr>
        <w:tblStyle w:val="Lentelstinklelis"/>
        <w:tblW w:w="9493" w:type="dxa"/>
        <w:tblLook w:val="01E0" w:firstRow="1" w:lastRow="1" w:firstColumn="1" w:lastColumn="1" w:noHBand="0" w:noVBand="0"/>
      </w:tblPr>
      <w:tblGrid>
        <w:gridCol w:w="1924"/>
        <w:gridCol w:w="1937"/>
        <w:gridCol w:w="5632"/>
      </w:tblGrid>
      <w:tr w:rsidR="00E27A8C" w:rsidRPr="000F124C" w14:paraId="2632F70A" w14:textId="77777777" w:rsidTr="007E39AF">
        <w:trPr>
          <w:trHeight w:val="481"/>
        </w:trPr>
        <w:tc>
          <w:tcPr>
            <w:tcW w:w="1924" w:type="dxa"/>
            <w:vMerge w:val="restart"/>
            <w:shd w:val="clear" w:color="auto" w:fill="auto"/>
            <w:vAlign w:val="center"/>
          </w:tcPr>
          <w:p w14:paraId="6A712D30" w14:textId="77777777" w:rsidR="00E27A8C" w:rsidRPr="000F124C" w:rsidRDefault="00E27A8C" w:rsidP="007E39AF">
            <w:pPr>
              <w:jc w:val="center"/>
              <w:rPr>
                <w:rFonts w:eastAsia="Calibri"/>
              </w:rPr>
            </w:pPr>
            <w:r w:rsidRPr="000F124C">
              <w:rPr>
                <w:rFonts w:eastAsia="Calibri"/>
              </w:rPr>
              <w:t xml:space="preserve">Tvirtinamas </w:t>
            </w:r>
          </w:p>
          <w:p w14:paraId="12DF7A9C" w14:textId="77777777" w:rsidR="00E27A8C" w:rsidRPr="000F124C" w:rsidRDefault="00E27A8C" w:rsidP="007E39AF">
            <w:pPr>
              <w:jc w:val="center"/>
              <w:rPr>
                <w:rFonts w:eastAsia="Calibri"/>
              </w:rPr>
            </w:pPr>
            <w:r w:rsidRPr="000F124C">
              <w:rPr>
                <w:rFonts w:eastAsia="Calibri"/>
              </w:rPr>
              <w:t>pareigybių skaičius</w:t>
            </w:r>
          </w:p>
        </w:tc>
        <w:tc>
          <w:tcPr>
            <w:tcW w:w="7569" w:type="dxa"/>
            <w:gridSpan w:val="2"/>
            <w:shd w:val="clear" w:color="auto" w:fill="auto"/>
            <w:vAlign w:val="center"/>
          </w:tcPr>
          <w:p w14:paraId="226F62EE" w14:textId="77777777" w:rsidR="00E27A8C" w:rsidRPr="000F124C" w:rsidRDefault="00E27A8C" w:rsidP="007E39AF">
            <w:pPr>
              <w:jc w:val="center"/>
              <w:rPr>
                <w:rFonts w:eastAsia="Calibri"/>
              </w:rPr>
            </w:pPr>
            <w:r w:rsidRPr="000F124C">
              <w:rPr>
                <w:rFonts w:eastAsia="Calibri"/>
              </w:rPr>
              <w:t>Iš jų</w:t>
            </w:r>
          </w:p>
        </w:tc>
      </w:tr>
      <w:tr w:rsidR="00E27A8C" w:rsidRPr="000F124C" w14:paraId="38F49B51" w14:textId="77777777" w:rsidTr="007E39AF">
        <w:tc>
          <w:tcPr>
            <w:tcW w:w="1924" w:type="dxa"/>
            <w:vMerge/>
            <w:shd w:val="clear" w:color="auto" w:fill="auto"/>
            <w:vAlign w:val="center"/>
          </w:tcPr>
          <w:p w14:paraId="0C3C056A" w14:textId="77777777" w:rsidR="00E27A8C" w:rsidRPr="000F124C" w:rsidRDefault="00E27A8C" w:rsidP="007E39AF">
            <w:pPr>
              <w:jc w:val="center"/>
              <w:rPr>
                <w:rFonts w:eastAsia="Calibri"/>
              </w:rPr>
            </w:pPr>
          </w:p>
        </w:tc>
        <w:tc>
          <w:tcPr>
            <w:tcW w:w="1937" w:type="dxa"/>
            <w:shd w:val="clear" w:color="auto" w:fill="auto"/>
            <w:vAlign w:val="center"/>
          </w:tcPr>
          <w:p w14:paraId="75A8719F" w14:textId="77777777" w:rsidR="00E27A8C" w:rsidRPr="000F124C" w:rsidRDefault="00E27A8C" w:rsidP="007E39AF">
            <w:pPr>
              <w:jc w:val="center"/>
              <w:rPr>
                <w:rFonts w:eastAsia="Calibri"/>
              </w:rPr>
            </w:pPr>
            <w:r w:rsidRPr="000F124C">
              <w:rPr>
                <w:rFonts w:eastAsia="Calibri"/>
              </w:rPr>
              <w:t>finansuojama iš savivaldybės biudžeto</w:t>
            </w:r>
          </w:p>
        </w:tc>
        <w:tc>
          <w:tcPr>
            <w:tcW w:w="5632" w:type="dxa"/>
            <w:shd w:val="clear" w:color="auto" w:fill="auto"/>
            <w:vAlign w:val="center"/>
          </w:tcPr>
          <w:p w14:paraId="5A1BD0DA" w14:textId="77777777" w:rsidR="00E27A8C" w:rsidRPr="000F124C" w:rsidRDefault="00E27A8C" w:rsidP="007E39AF">
            <w:pPr>
              <w:jc w:val="center"/>
              <w:rPr>
                <w:rFonts w:eastAsia="Calibri"/>
              </w:rPr>
            </w:pPr>
            <w:r w:rsidRPr="000F124C">
              <w:rPr>
                <w:rFonts w:eastAsia="Calibri"/>
              </w:rPr>
              <w:t>finansuojama iš kitų finansavimo šaltinių</w:t>
            </w:r>
          </w:p>
          <w:p w14:paraId="78283134" w14:textId="77777777" w:rsidR="00E27A8C" w:rsidRPr="000F124C" w:rsidRDefault="00E27A8C" w:rsidP="007E39AF">
            <w:pPr>
              <w:jc w:val="center"/>
              <w:rPr>
                <w:rFonts w:eastAsia="Calibri"/>
              </w:rPr>
            </w:pPr>
            <w:r w:rsidRPr="000F124C">
              <w:rPr>
                <w:rFonts w:eastAsia="Calibri"/>
                <w:sz w:val="16"/>
                <w:szCs w:val="16"/>
              </w:rPr>
              <w:t>(Europos Sąjungos projektams, Užimtumo tarnybos užimtumo didinimo programa</w:t>
            </w:r>
            <w:r>
              <w:rPr>
                <w:rFonts w:eastAsia="Calibri"/>
                <w:sz w:val="16"/>
                <w:szCs w:val="16"/>
              </w:rPr>
              <w:t>i</w:t>
            </w:r>
            <w:r w:rsidRPr="000F124C">
              <w:rPr>
                <w:rFonts w:eastAsia="Calibri"/>
                <w:sz w:val="16"/>
                <w:szCs w:val="16"/>
              </w:rPr>
              <w:t xml:space="preserve"> vykdyti skirtos lėšos ir kt.)</w:t>
            </w:r>
          </w:p>
        </w:tc>
      </w:tr>
      <w:tr w:rsidR="00E27A8C" w:rsidRPr="000F124C" w14:paraId="7BD2EF90" w14:textId="77777777" w:rsidTr="007E39AF">
        <w:tc>
          <w:tcPr>
            <w:tcW w:w="1924" w:type="dxa"/>
            <w:shd w:val="clear" w:color="auto" w:fill="auto"/>
            <w:vAlign w:val="center"/>
          </w:tcPr>
          <w:p w14:paraId="1AF73CFB" w14:textId="674A38D7" w:rsidR="00E27A8C" w:rsidRPr="00E27A8C" w:rsidRDefault="00E27A8C" w:rsidP="007E39AF">
            <w:pPr>
              <w:jc w:val="center"/>
              <w:rPr>
                <w:b/>
              </w:rPr>
            </w:pPr>
            <w:r w:rsidRPr="00E27A8C">
              <w:rPr>
                <w:rFonts w:eastAsia="Calibri"/>
                <w:b/>
              </w:rPr>
              <w:t>9,5</w:t>
            </w:r>
          </w:p>
        </w:tc>
        <w:tc>
          <w:tcPr>
            <w:tcW w:w="1937" w:type="dxa"/>
            <w:shd w:val="clear" w:color="auto" w:fill="auto"/>
            <w:vAlign w:val="center"/>
          </w:tcPr>
          <w:p w14:paraId="19EB38C3" w14:textId="23C2EC04" w:rsidR="00E27A8C" w:rsidRPr="000F124C" w:rsidRDefault="00E27A8C" w:rsidP="007E39AF">
            <w:pPr>
              <w:jc w:val="center"/>
              <w:rPr>
                <w:rFonts w:eastAsia="Calibri"/>
              </w:rPr>
            </w:pPr>
            <w:r>
              <w:rPr>
                <w:rFonts w:eastAsia="Calibri"/>
              </w:rPr>
              <w:t>9,5</w:t>
            </w:r>
          </w:p>
        </w:tc>
        <w:tc>
          <w:tcPr>
            <w:tcW w:w="5632" w:type="dxa"/>
            <w:shd w:val="clear" w:color="auto" w:fill="auto"/>
            <w:vAlign w:val="center"/>
          </w:tcPr>
          <w:p w14:paraId="6FED4091" w14:textId="4868218F" w:rsidR="00E27A8C" w:rsidRPr="000F124C" w:rsidRDefault="00E27A8C" w:rsidP="007E39AF">
            <w:pPr>
              <w:jc w:val="center"/>
              <w:rPr>
                <w:rFonts w:eastAsia="Calibri"/>
              </w:rPr>
            </w:pPr>
            <w:r>
              <w:rPr>
                <w:rFonts w:eastAsia="Calibri"/>
              </w:rPr>
              <w:t>0</w:t>
            </w:r>
            <w:r w:rsidR="006871CD">
              <w:rPr>
                <w:rFonts w:eastAsia="Calibri"/>
              </w:rPr>
              <w:t>“</w:t>
            </w:r>
          </w:p>
        </w:tc>
      </w:tr>
    </w:tbl>
    <w:p w14:paraId="7BE015B9" w14:textId="56DF9817" w:rsidR="000D6A10" w:rsidRPr="00E27A8C" w:rsidRDefault="003B08D0" w:rsidP="00C86900">
      <w:pPr>
        <w:pStyle w:val="Sraopastraipa"/>
        <w:numPr>
          <w:ilvl w:val="0"/>
          <w:numId w:val="1"/>
        </w:numPr>
        <w:tabs>
          <w:tab w:val="left" w:pos="1134"/>
        </w:tabs>
        <w:spacing w:line="360" w:lineRule="auto"/>
        <w:ind w:left="0" w:firstLine="851"/>
        <w:jc w:val="both"/>
      </w:pPr>
      <w:r w:rsidRPr="00E27A8C">
        <w:rPr>
          <w:color w:val="000000"/>
          <w:shd w:val="clear" w:color="auto" w:fill="FFFFFF"/>
        </w:rPr>
        <w:t xml:space="preserve">Pripažinti netekusiu galios Panevėžio miesto </w:t>
      </w:r>
      <w:r w:rsidRPr="00E27A8C">
        <w:t xml:space="preserve">savivaldybės tarybos 2016 m. birželio 30 d. sprendimą Nr. 1-191 „Dėl didžiausio leistino pareigybių skaičiaus Panevėžio atvirame jaunimo centre patvirtinimo“ su visais vėlesniais pakeitimais. </w:t>
      </w:r>
    </w:p>
    <w:p w14:paraId="6167C48C" w14:textId="77777777" w:rsidR="000D6A10" w:rsidRDefault="003B08D0">
      <w:pPr>
        <w:pStyle w:val="Sraopastraipa"/>
        <w:numPr>
          <w:ilvl w:val="0"/>
          <w:numId w:val="1"/>
        </w:numPr>
        <w:tabs>
          <w:tab w:val="left" w:pos="1134"/>
        </w:tabs>
        <w:spacing w:line="360" w:lineRule="auto"/>
        <w:ind w:left="0" w:firstLine="851"/>
        <w:jc w:val="both"/>
      </w:pPr>
      <w: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E4D2A3E" w14:textId="77777777" w:rsidR="000D6A10" w:rsidRDefault="000D6A10">
      <w:pPr>
        <w:jc w:val="both"/>
      </w:pPr>
    </w:p>
    <w:p w14:paraId="03C832F4" w14:textId="668AEF70" w:rsidR="000D6A10" w:rsidRDefault="003B08D0" w:rsidP="00E27A8C">
      <w:pPr>
        <w:tabs>
          <w:tab w:val="left" w:pos="6804"/>
        </w:tabs>
      </w:pPr>
      <w:r>
        <w:t>Savivaldybės meras                                                                               Rytis Mykolas Račkauskas</w:t>
      </w:r>
    </w:p>
    <w:sectPr w:rsidR="000D6A10" w:rsidSect="00C86900">
      <w:headerReference w:type="default" r:id="rId8"/>
      <w:pgSz w:w="11906" w:h="16838"/>
      <w:pgMar w:top="1134" w:right="707" w:bottom="851"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8B20C" w14:textId="77777777" w:rsidR="00DF286B" w:rsidRDefault="00DF286B">
      <w:r>
        <w:separator/>
      </w:r>
    </w:p>
  </w:endnote>
  <w:endnote w:type="continuationSeparator" w:id="0">
    <w:p w14:paraId="16B50498" w14:textId="77777777" w:rsidR="00DF286B" w:rsidRDefault="00DF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7DA1B" w14:textId="77777777" w:rsidR="00DF286B" w:rsidRDefault="00DF286B">
      <w:r>
        <w:separator/>
      </w:r>
    </w:p>
  </w:footnote>
  <w:footnote w:type="continuationSeparator" w:id="0">
    <w:p w14:paraId="2055ECD9" w14:textId="77777777" w:rsidR="00DF286B" w:rsidRDefault="00DF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296947"/>
      <w:docPartObj>
        <w:docPartGallery w:val="Page Numbers (Top of Page)"/>
        <w:docPartUnique/>
      </w:docPartObj>
    </w:sdtPr>
    <w:sdtEndPr/>
    <w:sdtContent>
      <w:p w14:paraId="45F6424C" w14:textId="77777777" w:rsidR="000D6A10" w:rsidRDefault="003B08D0">
        <w:pPr>
          <w:pStyle w:val="Antrats"/>
          <w:jc w:val="center"/>
        </w:pPr>
        <w:r>
          <w:fldChar w:fldCharType="begin"/>
        </w:r>
        <w:r>
          <w:instrText>PAGE</w:instrText>
        </w:r>
        <w:r>
          <w:fldChar w:fldCharType="separate"/>
        </w:r>
        <w:r w:rsidR="00E27A8C">
          <w:rPr>
            <w:noProof/>
          </w:rPr>
          <w:t>2</w:t>
        </w:r>
        <w:r>
          <w:fldChar w:fldCharType="end"/>
        </w:r>
      </w:p>
    </w:sdtContent>
  </w:sdt>
  <w:p w14:paraId="135A49A9" w14:textId="77777777" w:rsidR="000D6A10" w:rsidRDefault="000D6A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24D"/>
    <w:multiLevelType w:val="multilevel"/>
    <w:tmpl w:val="7DCA3FD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464342A8"/>
    <w:multiLevelType w:val="multilevel"/>
    <w:tmpl w:val="E71001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10"/>
    <w:rsid w:val="00092E87"/>
    <w:rsid w:val="000D6A10"/>
    <w:rsid w:val="000F124C"/>
    <w:rsid w:val="002123F3"/>
    <w:rsid w:val="003B08D0"/>
    <w:rsid w:val="006871CD"/>
    <w:rsid w:val="006B1DFB"/>
    <w:rsid w:val="00906CCA"/>
    <w:rsid w:val="00A15E9E"/>
    <w:rsid w:val="00C86900"/>
    <w:rsid w:val="00DF286B"/>
    <w:rsid w:val="00E27A8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753"/>
  <w15:docId w15:val="{FABB4338-7890-451E-BBD8-E74DF86F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E0"/>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E470E0"/>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E470E0"/>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E470E0"/>
    <w:rPr>
      <w:rFonts w:ascii="Tahoma" w:eastAsia="Times New Roman" w:hAnsi="Tahoma" w:cs="Tahoma"/>
      <w:sz w:val="16"/>
      <w:szCs w:val="16"/>
    </w:rPr>
  </w:style>
  <w:style w:type="character" w:customStyle="1" w:styleId="Antrat1Diagrama">
    <w:name w:val="Antraštė 1 Diagrama"/>
    <w:basedOn w:val="Numatytasispastraiposriftas"/>
    <w:link w:val="Antrat1"/>
    <w:uiPriority w:val="99"/>
    <w:qFormat/>
    <w:rsid w:val="00E470E0"/>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sid w:val="00F25DD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F25DD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uiPriority w:val="99"/>
    <w:qFormat/>
    <w:rsid w:val="00E470E0"/>
    <w:pPr>
      <w:ind w:left="720"/>
      <w:contextualSpacing/>
    </w:pPr>
  </w:style>
  <w:style w:type="paragraph" w:styleId="Debesliotekstas">
    <w:name w:val="Balloon Text"/>
    <w:basedOn w:val="prastasis"/>
    <w:link w:val="DebesliotekstasDiagrama"/>
    <w:uiPriority w:val="99"/>
    <w:semiHidden/>
    <w:unhideWhenUsed/>
    <w:qFormat/>
    <w:rsid w:val="00E470E0"/>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25DD7"/>
    <w:pPr>
      <w:tabs>
        <w:tab w:val="center" w:pos="4819"/>
        <w:tab w:val="right" w:pos="9638"/>
      </w:tabs>
    </w:pPr>
  </w:style>
  <w:style w:type="paragraph" w:styleId="Porat">
    <w:name w:val="footer"/>
    <w:basedOn w:val="prastasis"/>
    <w:link w:val="PoratDiagrama"/>
    <w:uiPriority w:val="99"/>
    <w:unhideWhenUsed/>
    <w:rsid w:val="00F25DD7"/>
    <w:pPr>
      <w:tabs>
        <w:tab w:val="center" w:pos="4819"/>
        <w:tab w:val="right" w:pos="9638"/>
      </w:tabs>
    </w:pPr>
  </w:style>
  <w:style w:type="paragraph" w:customStyle="1" w:styleId="Char3">
    <w:name w:val="Char3"/>
    <w:basedOn w:val="prastasis"/>
    <w:qFormat/>
    <w:rsid w:val="004B21A0"/>
    <w:pPr>
      <w:spacing w:after="160" w:line="240" w:lineRule="exact"/>
    </w:pPr>
    <w:rPr>
      <w:rFonts w:ascii="Tahoma" w:hAnsi="Tahoma"/>
      <w:sz w:val="20"/>
      <w:szCs w:val="20"/>
      <w:lang w:val="en-US"/>
    </w:rPr>
  </w:style>
  <w:style w:type="table" w:styleId="Lentelstinklelis">
    <w:name w:val="Table Grid"/>
    <w:basedOn w:val="prastojilentel"/>
    <w:uiPriority w:val="59"/>
    <w:rsid w:val="004B21A0"/>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796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cp:lastPrinted>2023-05-10T09:59:00Z</cp:lastPrinted>
  <dcterms:created xsi:type="dcterms:W3CDTF">2023-05-10T12:45:00Z</dcterms:created>
  <dcterms:modified xsi:type="dcterms:W3CDTF">2023-05-10T12:45:00Z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