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19670" w14:textId="77777777" w:rsidR="003D425C" w:rsidRPr="002E3CE5" w:rsidRDefault="003D425C" w:rsidP="003D425C">
      <w:pPr>
        <w:jc w:val="center"/>
        <w:rPr>
          <w:b/>
        </w:rPr>
      </w:pPr>
      <w:bookmarkStart w:id="0" w:name="_GoBack"/>
      <w:bookmarkEnd w:id="0"/>
      <w:r w:rsidRPr="002E3CE5">
        <w:rPr>
          <w:b/>
        </w:rPr>
        <w:t>AIŠKINAMASIS RAŠTAS</w:t>
      </w:r>
    </w:p>
    <w:p w14:paraId="665508B3" w14:textId="77777777" w:rsidR="003D425C" w:rsidRPr="002E3CE5" w:rsidRDefault="003D425C" w:rsidP="003D425C">
      <w:pPr>
        <w:jc w:val="center"/>
      </w:pPr>
    </w:p>
    <w:p w14:paraId="05038AC0" w14:textId="77777777" w:rsidR="00053DAE" w:rsidRDefault="00053DAE" w:rsidP="00053DAE">
      <w:pPr>
        <w:pStyle w:val="Antrat1"/>
        <w:rPr>
          <w:b/>
        </w:rPr>
      </w:pPr>
      <w:r>
        <w:rPr>
          <w:b/>
        </w:rPr>
        <w:t>DĖL KELEIVIŲ VEŽIMO VIETINIO (MIESTO) REGULIARAUS SUSISIEKIMO AUTOBUSŲ MARŠRUTAIS PANEVĖŽIO MIESTE BILIETŲ RŪŠIŲ IR KAINŲ NUSTATYMO, SAVIVALDYBĖS TARYBOS 2023 M. BIRŽELIO 22 D. SPRENDIMO NR. PAKEITIMO</w:t>
      </w:r>
    </w:p>
    <w:p w14:paraId="62E69B56" w14:textId="77777777" w:rsidR="00D60415" w:rsidRPr="002E3CE5" w:rsidRDefault="00D60415" w:rsidP="003D425C">
      <w:pPr>
        <w:jc w:val="center"/>
      </w:pPr>
    </w:p>
    <w:p w14:paraId="61B9B5C1" w14:textId="292073DB" w:rsidR="003D425C" w:rsidRPr="002E3CE5" w:rsidRDefault="003D425C" w:rsidP="003D425C">
      <w:pPr>
        <w:jc w:val="center"/>
      </w:pPr>
      <w:r w:rsidRPr="002E3CE5">
        <w:t>202</w:t>
      </w:r>
      <w:r w:rsidR="00D615F5">
        <w:t>3</w:t>
      </w:r>
      <w:r w:rsidRPr="002E3CE5">
        <w:t xml:space="preserve"> m. </w:t>
      </w:r>
      <w:r w:rsidR="00D615F5">
        <w:t>rugpjūčio</w:t>
      </w:r>
      <w:r w:rsidR="003A1712" w:rsidRPr="002E3CE5">
        <w:t xml:space="preserve"> </w:t>
      </w:r>
      <w:r w:rsidR="003C6140" w:rsidRPr="002E3CE5">
        <w:t>d.</w:t>
      </w:r>
    </w:p>
    <w:p w14:paraId="2C7EA6B9" w14:textId="744F1ACC" w:rsidR="003D425C" w:rsidRPr="002E3CE5" w:rsidRDefault="003D425C" w:rsidP="003D425C">
      <w:pPr>
        <w:jc w:val="center"/>
      </w:pPr>
      <w:r w:rsidRPr="002E3CE5">
        <w:t>Panevėžys</w:t>
      </w:r>
    </w:p>
    <w:p w14:paraId="19C3FDB8" w14:textId="77777777" w:rsidR="0070492C" w:rsidRPr="002E3CE5" w:rsidRDefault="0070492C" w:rsidP="003D425C">
      <w:pPr>
        <w:jc w:val="center"/>
      </w:pPr>
    </w:p>
    <w:p w14:paraId="5183B1B9" w14:textId="37F16118" w:rsidR="00E326AC" w:rsidRDefault="00E326AC" w:rsidP="00E326AC">
      <w:pPr>
        <w:pStyle w:val="Betarp"/>
        <w:spacing w:line="360" w:lineRule="auto"/>
        <w:jc w:val="both"/>
      </w:pPr>
    </w:p>
    <w:p w14:paraId="6DF766B7" w14:textId="77777777" w:rsidR="00D615F5" w:rsidRPr="00DC5831" w:rsidRDefault="00D615F5" w:rsidP="00D615F5">
      <w:pPr>
        <w:ind w:firstLine="709"/>
        <w:jc w:val="both"/>
        <w:rPr>
          <w:b/>
          <w:bCs/>
        </w:rPr>
      </w:pPr>
      <w:r>
        <w:rPr>
          <w:b/>
          <w:bCs/>
          <w:lang w:val="en-US"/>
        </w:rPr>
        <w:t xml:space="preserve">1. </w:t>
      </w:r>
      <w:r w:rsidRPr="00514750">
        <w:rPr>
          <w:b/>
          <w:bCs/>
        </w:rPr>
        <w:t>Sprendimo projekto tikslai ir uždaviniai:</w:t>
      </w:r>
      <w:r w:rsidRPr="00DC5831">
        <w:rPr>
          <w:b/>
          <w:bCs/>
        </w:rPr>
        <w:t xml:space="preserve"> </w:t>
      </w:r>
    </w:p>
    <w:p w14:paraId="472C61F5" w14:textId="77777777" w:rsidR="00D615F5" w:rsidRPr="00E75F87" w:rsidRDefault="00D615F5" w:rsidP="00D615F5">
      <w:pPr>
        <w:tabs>
          <w:tab w:val="left" w:pos="0"/>
        </w:tabs>
        <w:spacing w:line="276" w:lineRule="auto"/>
        <w:ind w:firstLine="720"/>
        <w:jc w:val="both"/>
      </w:pPr>
      <w:r w:rsidRPr="00E75F87">
        <w:t>Lietuvos Respublikos vietos savivaldos įstatymo 15 straipsnio 2 dalies 29 punkte numatyta išimtinė Savivaldybės tarybos kompetencija įstatymų nustatyta tvarka nustatyti (tvirtinti) kainas ir tarifus už savivaldybės valdomų įmonių, biudžetinių ir viešųjų įstaigų (kurių savininkė yra Savivaldybė) teikiamas atlygintinas viešąsias paslaugas, keleivių vežimą vietiniais maršrutais, centralizuotai tiekiamą šilumą, šaltą ir karštą vandenį, vietines rinkliavas ir mokesčius.</w:t>
      </w:r>
    </w:p>
    <w:p w14:paraId="0CB6C801" w14:textId="1E64D4CF" w:rsidR="00D615F5" w:rsidRPr="00E75F87" w:rsidRDefault="00D615F5" w:rsidP="00D615F5">
      <w:pPr>
        <w:tabs>
          <w:tab w:val="left" w:pos="0"/>
        </w:tabs>
        <w:spacing w:line="276" w:lineRule="auto"/>
        <w:ind w:firstLine="720"/>
        <w:jc w:val="both"/>
      </w:pPr>
      <w:r w:rsidRPr="00E75F87">
        <w:t xml:space="preserve">Siekiant įgyvendinti „Darnaus judumo priemonių diegimas Panevėžio mieste“ projektą (toliau – Projektas), kuris yra Europos Sąjungos (toliau – ES) lėšomis iš dalies finansuojamo projekto 2014 – 2020 m. ES fondų investicijų veiksmų programos 4 prioriteto „Energijos efektyvumo ir atsinaujinančių išteklių energijos gamybos ir naudojimo skatinimas“ Nr. 04.5.1-TID-R-514 priemonė, </w:t>
      </w:r>
      <w:r>
        <w:t>2023 birželio 22 d. tarybos sprendimu buvo nustatytos</w:t>
      </w:r>
      <w:r w:rsidRPr="00E75F87">
        <w:t xml:space="preserve"> keleivių vežimo vietinio (miesto) reguliaraus susisiekimo autobusų maršrutais Panevė</w:t>
      </w:r>
      <w:r>
        <w:t>žio mieste bilietų rūšys ir kaino</w:t>
      </w:r>
      <w:r w:rsidRPr="00E75F87">
        <w:t xml:space="preserve">s, kurios </w:t>
      </w:r>
      <w:r>
        <w:t>įsigalios 2023 m. spalio 1 d</w:t>
      </w:r>
      <w:r w:rsidRPr="00E75F87">
        <w:t>.</w:t>
      </w:r>
      <w:r>
        <w:t xml:space="preserve"> Priimant sprendimą buvo pakelta vienkartinio bilieto, įsigyjamo kitose platinimo vietose kaina. </w:t>
      </w:r>
    </w:p>
    <w:p w14:paraId="5B23733A" w14:textId="5C40EF53" w:rsidR="00D615F5" w:rsidRPr="007B2C2A" w:rsidRDefault="00D615F5" w:rsidP="00D615F5">
      <w:pPr>
        <w:tabs>
          <w:tab w:val="left" w:pos="0"/>
        </w:tabs>
        <w:spacing w:line="276" w:lineRule="auto"/>
        <w:ind w:firstLine="720"/>
        <w:jc w:val="both"/>
      </w:pPr>
      <w:r>
        <w:t>Tikimasi, kad elektroninio bilieto sistema bus patraukli p</w:t>
      </w:r>
      <w:r w:rsidRPr="0028558E">
        <w:t>anevėžiečiams</w:t>
      </w:r>
      <w:r>
        <w:t>,</w:t>
      </w:r>
      <w:r w:rsidRPr="0028558E">
        <w:t xml:space="preserve"> </w:t>
      </w:r>
      <w:r>
        <w:t>tačiau įkainiai keičiami diegiant modernias naujoves, ne visiems vienodai greitai perprantamas. Atsižvelgiant į tai, kad Panevėžys senstantis miestas, viešuoju transportu naudojasi ir asmenys su negalia, jaunimo dienos centrų lankytojai, siūlome, vienkartinio bilieto įkainio, platinamo kitose pardavimų vietose, nekelti.</w:t>
      </w:r>
    </w:p>
    <w:p w14:paraId="7A085FFE" w14:textId="77777777" w:rsidR="00D615F5" w:rsidRPr="007B2C2A" w:rsidRDefault="00D615F5" w:rsidP="00D615F5">
      <w:pPr>
        <w:ind w:firstLine="709"/>
        <w:jc w:val="both"/>
      </w:pPr>
      <w:r w:rsidRPr="007B2C2A">
        <w:rPr>
          <w:b/>
        </w:rPr>
        <w:t xml:space="preserve">2. </w:t>
      </w:r>
      <w:r w:rsidRPr="007B2C2A">
        <w:rPr>
          <w:b/>
          <w:bCs/>
        </w:rPr>
        <w:t>Siūlomos teisinio reguliavimo nuostatos, laukiami rezultatai:</w:t>
      </w:r>
      <w:r w:rsidRPr="007B2C2A">
        <w:t xml:space="preserve"> </w:t>
      </w:r>
    </w:p>
    <w:p w14:paraId="2E579101" w14:textId="61E87DBB" w:rsidR="00D615F5" w:rsidRDefault="00D615F5" w:rsidP="00D615F5">
      <w:pPr>
        <w:spacing w:line="276" w:lineRule="auto"/>
        <w:ind w:firstLine="709"/>
        <w:jc w:val="both"/>
      </w:pPr>
      <w:r w:rsidRPr="007B2C2A">
        <w:t xml:space="preserve">Parengtas Tarybos sprendimo projektas, kuriuo siūloma </w:t>
      </w:r>
      <w:r w:rsidR="00053DAE">
        <w:t xml:space="preserve">nuo 2023 m. spalio 1 d. vienkartinio bilieto, platinamo kitose pardavimo vietose, įkainio nedidinti, t.y. </w:t>
      </w:r>
      <w:r>
        <w:t>palikti dabar galiojantį vienkartinio bilieto įkainį.</w:t>
      </w:r>
    </w:p>
    <w:p w14:paraId="0F7C1B08" w14:textId="77777777" w:rsidR="00D615F5" w:rsidRPr="007B2C2A" w:rsidRDefault="00D615F5" w:rsidP="00D615F5">
      <w:pPr>
        <w:spacing w:line="276" w:lineRule="auto"/>
        <w:ind w:firstLine="709"/>
        <w:jc w:val="both"/>
      </w:pPr>
    </w:p>
    <w:p w14:paraId="7062A568" w14:textId="77777777" w:rsidR="00D615F5" w:rsidRPr="007B2C2A" w:rsidRDefault="00D615F5" w:rsidP="00D615F5">
      <w:pPr>
        <w:spacing w:line="276" w:lineRule="auto"/>
        <w:jc w:val="center"/>
        <w:rPr>
          <w:b/>
          <w:sz w:val="22"/>
          <w:szCs w:val="22"/>
        </w:rPr>
      </w:pPr>
      <w:r w:rsidRPr="007B2C2A">
        <w:rPr>
          <w:b/>
          <w:sz w:val="22"/>
          <w:szCs w:val="22"/>
        </w:rPr>
        <w:t xml:space="preserve">KELEIVIŲ VEŽIMO VIETINIO (MIESTO) REGULIARAUS SUSISIEKIMO AUTOBUSŲ MARŠRUTAIS PANEVĖŽIO MIESTE BILIETŲ RŪŠIŲ IR KAINŲ PALYGINIMAS SU ŠIUO METU GALIOJANČIOMIS KAINOMIS (EURAIS SU PVM) </w:t>
      </w:r>
    </w:p>
    <w:p w14:paraId="13708304" w14:textId="77777777" w:rsidR="00D615F5" w:rsidRPr="007B2C2A" w:rsidRDefault="00D615F5" w:rsidP="00D615F5">
      <w:pPr>
        <w:jc w:val="center"/>
        <w:rPr>
          <w:b/>
          <w:sz w:val="22"/>
          <w:szCs w:val="22"/>
        </w:rPr>
      </w:pPr>
    </w:p>
    <w:tbl>
      <w:tblPr>
        <w:tblStyle w:val="Lentelstinklelis"/>
        <w:tblpPr w:leftFromText="180" w:rightFromText="180" w:vertAnchor="text" w:tblpY="1"/>
        <w:tblOverlap w:val="never"/>
        <w:tblW w:w="9623" w:type="dxa"/>
        <w:tblLook w:val="04A0" w:firstRow="1" w:lastRow="0" w:firstColumn="1" w:lastColumn="0" w:noHBand="0" w:noVBand="1"/>
      </w:tblPr>
      <w:tblGrid>
        <w:gridCol w:w="754"/>
        <w:gridCol w:w="3031"/>
        <w:gridCol w:w="1312"/>
        <w:gridCol w:w="1215"/>
        <w:gridCol w:w="1733"/>
        <w:gridCol w:w="1578"/>
      </w:tblGrid>
      <w:tr w:rsidR="00D615F5" w:rsidRPr="007B2C2A" w14:paraId="4B0AB0DE" w14:textId="77777777" w:rsidTr="003D02FD">
        <w:tc>
          <w:tcPr>
            <w:tcW w:w="754" w:type="dxa"/>
            <w:vMerge w:val="restart"/>
            <w:vAlign w:val="center"/>
          </w:tcPr>
          <w:p w14:paraId="5E5EEA39" w14:textId="77777777" w:rsidR="00D615F5" w:rsidRPr="007B2C2A" w:rsidRDefault="00D615F5" w:rsidP="003D02FD">
            <w:pPr>
              <w:jc w:val="both"/>
              <w:rPr>
                <w:sz w:val="22"/>
                <w:szCs w:val="22"/>
              </w:rPr>
            </w:pPr>
            <w:r w:rsidRPr="007B2C2A">
              <w:rPr>
                <w:sz w:val="22"/>
                <w:szCs w:val="22"/>
              </w:rPr>
              <w:t>Eil. Nr.</w:t>
            </w:r>
          </w:p>
        </w:tc>
        <w:tc>
          <w:tcPr>
            <w:tcW w:w="3031" w:type="dxa"/>
            <w:vMerge w:val="restart"/>
            <w:vAlign w:val="center"/>
          </w:tcPr>
          <w:p w14:paraId="7A4C6844" w14:textId="77777777" w:rsidR="00D615F5" w:rsidRPr="007B2C2A" w:rsidRDefault="00D615F5" w:rsidP="003D02FD">
            <w:pPr>
              <w:jc w:val="center"/>
              <w:rPr>
                <w:sz w:val="22"/>
                <w:szCs w:val="22"/>
              </w:rPr>
            </w:pPr>
            <w:r w:rsidRPr="007B2C2A">
              <w:rPr>
                <w:sz w:val="22"/>
                <w:szCs w:val="22"/>
              </w:rPr>
              <w:t>Pavadinimas</w:t>
            </w:r>
          </w:p>
        </w:tc>
        <w:tc>
          <w:tcPr>
            <w:tcW w:w="1312" w:type="dxa"/>
          </w:tcPr>
          <w:p w14:paraId="6048F78E" w14:textId="77777777" w:rsidR="00D615F5" w:rsidRPr="007B2C2A" w:rsidRDefault="00D615F5" w:rsidP="003D02FD">
            <w:pPr>
              <w:ind w:left="-677" w:firstLine="677"/>
              <w:jc w:val="center"/>
              <w:rPr>
                <w:color w:val="000000" w:themeColor="text1"/>
                <w:sz w:val="22"/>
                <w:szCs w:val="22"/>
              </w:rPr>
            </w:pPr>
          </w:p>
        </w:tc>
        <w:tc>
          <w:tcPr>
            <w:tcW w:w="4526" w:type="dxa"/>
            <w:gridSpan w:val="3"/>
            <w:vAlign w:val="center"/>
          </w:tcPr>
          <w:p w14:paraId="6A4DF05B" w14:textId="77777777" w:rsidR="00D615F5" w:rsidRPr="007B2C2A" w:rsidRDefault="00D615F5" w:rsidP="003D02FD">
            <w:pPr>
              <w:jc w:val="center"/>
              <w:rPr>
                <w:sz w:val="22"/>
                <w:szCs w:val="22"/>
              </w:rPr>
            </w:pPr>
            <w:r w:rsidRPr="007B2C2A">
              <w:rPr>
                <w:color w:val="000000" w:themeColor="text1"/>
                <w:sz w:val="22"/>
                <w:szCs w:val="22"/>
              </w:rPr>
              <w:t>Bilieto</w:t>
            </w:r>
            <w:r w:rsidRPr="007B2C2A">
              <w:rPr>
                <w:sz w:val="22"/>
                <w:szCs w:val="22"/>
              </w:rPr>
              <w:t xml:space="preserve"> kaina eurais su PVM</w:t>
            </w:r>
          </w:p>
        </w:tc>
      </w:tr>
      <w:tr w:rsidR="00D615F5" w:rsidRPr="007B2C2A" w14:paraId="30F82237" w14:textId="77777777" w:rsidTr="003D02FD">
        <w:tc>
          <w:tcPr>
            <w:tcW w:w="754" w:type="dxa"/>
            <w:vMerge/>
            <w:vAlign w:val="center"/>
          </w:tcPr>
          <w:p w14:paraId="74301E5F" w14:textId="77777777" w:rsidR="00D615F5" w:rsidRPr="007B2C2A" w:rsidRDefault="00D615F5" w:rsidP="003D02FD">
            <w:pPr>
              <w:jc w:val="both"/>
              <w:rPr>
                <w:sz w:val="22"/>
                <w:szCs w:val="22"/>
              </w:rPr>
            </w:pPr>
          </w:p>
        </w:tc>
        <w:tc>
          <w:tcPr>
            <w:tcW w:w="3031" w:type="dxa"/>
            <w:vMerge/>
            <w:vAlign w:val="center"/>
          </w:tcPr>
          <w:p w14:paraId="750A07A9" w14:textId="77777777" w:rsidR="00D615F5" w:rsidRPr="007B2C2A" w:rsidRDefault="00D615F5" w:rsidP="003D02FD">
            <w:pPr>
              <w:jc w:val="center"/>
              <w:rPr>
                <w:sz w:val="22"/>
                <w:szCs w:val="22"/>
              </w:rPr>
            </w:pPr>
          </w:p>
        </w:tc>
        <w:tc>
          <w:tcPr>
            <w:tcW w:w="1312" w:type="dxa"/>
          </w:tcPr>
          <w:p w14:paraId="1CD4E6FE" w14:textId="77777777" w:rsidR="00D615F5" w:rsidRPr="007B2C2A" w:rsidRDefault="00D615F5" w:rsidP="003D02FD">
            <w:pPr>
              <w:ind w:left="-677" w:firstLine="677"/>
              <w:jc w:val="right"/>
              <w:rPr>
                <w:sz w:val="22"/>
                <w:szCs w:val="22"/>
              </w:rPr>
            </w:pPr>
            <w:r w:rsidRPr="007B2C2A">
              <w:rPr>
                <w:sz w:val="22"/>
                <w:szCs w:val="22"/>
              </w:rPr>
              <w:t>Šiuo metu galiojanti</w:t>
            </w:r>
          </w:p>
          <w:p w14:paraId="2EAE56D8" w14:textId="77777777" w:rsidR="00D615F5" w:rsidRPr="007B2C2A" w:rsidRDefault="00D615F5" w:rsidP="003D02FD">
            <w:pPr>
              <w:ind w:left="-677" w:firstLine="677"/>
              <w:jc w:val="center"/>
              <w:rPr>
                <w:sz w:val="22"/>
                <w:szCs w:val="22"/>
              </w:rPr>
            </w:pPr>
            <w:r w:rsidRPr="007B2C2A">
              <w:rPr>
                <w:sz w:val="22"/>
                <w:szCs w:val="22"/>
              </w:rPr>
              <w:t>kaina</w:t>
            </w:r>
          </w:p>
        </w:tc>
        <w:tc>
          <w:tcPr>
            <w:tcW w:w="1215" w:type="dxa"/>
            <w:vMerge w:val="restart"/>
            <w:vAlign w:val="center"/>
          </w:tcPr>
          <w:p w14:paraId="71467BA0" w14:textId="77777777" w:rsidR="00D615F5" w:rsidRPr="007B2C2A" w:rsidRDefault="00D615F5" w:rsidP="003D02FD">
            <w:pPr>
              <w:ind w:left="121" w:hanging="121"/>
              <w:jc w:val="center"/>
              <w:rPr>
                <w:sz w:val="22"/>
                <w:szCs w:val="22"/>
              </w:rPr>
            </w:pPr>
            <w:r w:rsidRPr="007B2C2A">
              <w:rPr>
                <w:sz w:val="22"/>
                <w:szCs w:val="22"/>
              </w:rPr>
              <w:t xml:space="preserve">Visa kaina </w:t>
            </w:r>
          </w:p>
        </w:tc>
        <w:tc>
          <w:tcPr>
            <w:tcW w:w="3311" w:type="dxa"/>
            <w:gridSpan w:val="2"/>
            <w:vAlign w:val="center"/>
          </w:tcPr>
          <w:p w14:paraId="38019D31" w14:textId="77777777" w:rsidR="00D615F5" w:rsidRPr="007B2C2A" w:rsidRDefault="00D615F5" w:rsidP="003D02FD">
            <w:pPr>
              <w:jc w:val="center"/>
              <w:rPr>
                <w:sz w:val="22"/>
                <w:szCs w:val="22"/>
              </w:rPr>
            </w:pPr>
            <w:r w:rsidRPr="007B2C2A">
              <w:rPr>
                <w:sz w:val="22"/>
                <w:szCs w:val="22"/>
              </w:rPr>
              <w:t>Vardinis bilietas asmenims, kuriems pagal Lietuvos Respublikos transporto lengvatų įstatymą taikoma nuolaida</w:t>
            </w:r>
          </w:p>
        </w:tc>
      </w:tr>
      <w:tr w:rsidR="00D615F5" w:rsidRPr="007B2C2A" w14:paraId="786F63ED" w14:textId="77777777" w:rsidTr="003D02FD">
        <w:tc>
          <w:tcPr>
            <w:tcW w:w="754" w:type="dxa"/>
            <w:vMerge/>
          </w:tcPr>
          <w:p w14:paraId="3A456169" w14:textId="77777777" w:rsidR="00D615F5" w:rsidRPr="007B2C2A" w:rsidRDefault="00D615F5" w:rsidP="003D02FD">
            <w:pPr>
              <w:jc w:val="both"/>
              <w:rPr>
                <w:sz w:val="22"/>
                <w:szCs w:val="22"/>
              </w:rPr>
            </w:pPr>
          </w:p>
        </w:tc>
        <w:tc>
          <w:tcPr>
            <w:tcW w:w="3031" w:type="dxa"/>
            <w:vMerge/>
          </w:tcPr>
          <w:p w14:paraId="12B6D349" w14:textId="77777777" w:rsidR="00D615F5" w:rsidRPr="007B2C2A" w:rsidRDefault="00D615F5" w:rsidP="003D02FD">
            <w:pPr>
              <w:jc w:val="center"/>
              <w:rPr>
                <w:sz w:val="22"/>
                <w:szCs w:val="22"/>
              </w:rPr>
            </w:pPr>
          </w:p>
        </w:tc>
        <w:tc>
          <w:tcPr>
            <w:tcW w:w="1312" w:type="dxa"/>
          </w:tcPr>
          <w:p w14:paraId="0AD45EB4" w14:textId="77777777" w:rsidR="00D615F5" w:rsidRPr="007B2C2A" w:rsidRDefault="00D615F5" w:rsidP="003D02FD">
            <w:pPr>
              <w:ind w:left="-677" w:firstLine="677"/>
              <w:jc w:val="center"/>
              <w:rPr>
                <w:sz w:val="22"/>
                <w:szCs w:val="22"/>
              </w:rPr>
            </w:pPr>
          </w:p>
        </w:tc>
        <w:tc>
          <w:tcPr>
            <w:tcW w:w="1215" w:type="dxa"/>
            <w:vMerge/>
          </w:tcPr>
          <w:p w14:paraId="1041E84D" w14:textId="77777777" w:rsidR="00D615F5" w:rsidRPr="007B2C2A" w:rsidRDefault="00D615F5" w:rsidP="003D02FD">
            <w:pPr>
              <w:jc w:val="center"/>
              <w:rPr>
                <w:sz w:val="22"/>
                <w:szCs w:val="22"/>
              </w:rPr>
            </w:pPr>
          </w:p>
        </w:tc>
        <w:tc>
          <w:tcPr>
            <w:tcW w:w="1733" w:type="dxa"/>
          </w:tcPr>
          <w:p w14:paraId="4B797B55" w14:textId="77777777" w:rsidR="00D615F5" w:rsidRPr="007B2C2A" w:rsidRDefault="00D615F5" w:rsidP="003D02FD">
            <w:pPr>
              <w:jc w:val="center"/>
              <w:rPr>
                <w:sz w:val="22"/>
                <w:szCs w:val="22"/>
              </w:rPr>
            </w:pPr>
            <w:r w:rsidRPr="007B2C2A">
              <w:rPr>
                <w:sz w:val="22"/>
                <w:szCs w:val="22"/>
              </w:rPr>
              <w:t xml:space="preserve">50 proc. </w:t>
            </w:r>
          </w:p>
        </w:tc>
        <w:tc>
          <w:tcPr>
            <w:tcW w:w="1578" w:type="dxa"/>
          </w:tcPr>
          <w:p w14:paraId="0E7D4FE9" w14:textId="77777777" w:rsidR="00D615F5" w:rsidRPr="007B2C2A" w:rsidRDefault="00D615F5" w:rsidP="003D02FD">
            <w:pPr>
              <w:jc w:val="center"/>
              <w:rPr>
                <w:sz w:val="22"/>
                <w:szCs w:val="22"/>
              </w:rPr>
            </w:pPr>
            <w:r w:rsidRPr="007B2C2A">
              <w:rPr>
                <w:sz w:val="22"/>
                <w:szCs w:val="22"/>
              </w:rPr>
              <w:t>80 proc.</w:t>
            </w:r>
          </w:p>
        </w:tc>
      </w:tr>
      <w:tr w:rsidR="00D615F5" w:rsidRPr="007B2C2A" w14:paraId="7C5F348D" w14:textId="77777777" w:rsidTr="003D02FD">
        <w:tc>
          <w:tcPr>
            <w:tcW w:w="754" w:type="dxa"/>
          </w:tcPr>
          <w:p w14:paraId="64596379" w14:textId="77777777" w:rsidR="00D615F5" w:rsidRPr="007B2C2A" w:rsidRDefault="00D615F5" w:rsidP="003D02FD">
            <w:pPr>
              <w:jc w:val="both"/>
              <w:rPr>
                <w:sz w:val="22"/>
                <w:szCs w:val="22"/>
              </w:rPr>
            </w:pPr>
            <w:r w:rsidRPr="007B2C2A">
              <w:rPr>
                <w:sz w:val="22"/>
                <w:szCs w:val="22"/>
              </w:rPr>
              <w:t>1</w:t>
            </w:r>
          </w:p>
        </w:tc>
        <w:tc>
          <w:tcPr>
            <w:tcW w:w="3031" w:type="dxa"/>
          </w:tcPr>
          <w:p w14:paraId="5449F3D8" w14:textId="77777777" w:rsidR="00D615F5" w:rsidRPr="007B2C2A" w:rsidRDefault="00D615F5" w:rsidP="003D02FD">
            <w:pPr>
              <w:jc w:val="center"/>
              <w:rPr>
                <w:sz w:val="22"/>
                <w:szCs w:val="22"/>
              </w:rPr>
            </w:pPr>
            <w:r w:rsidRPr="007B2C2A">
              <w:rPr>
                <w:sz w:val="22"/>
                <w:szCs w:val="22"/>
              </w:rPr>
              <w:t>2</w:t>
            </w:r>
          </w:p>
        </w:tc>
        <w:tc>
          <w:tcPr>
            <w:tcW w:w="1312" w:type="dxa"/>
          </w:tcPr>
          <w:p w14:paraId="341C8BF9" w14:textId="77777777" w:rsidR="00D615F5" w:rsidRPr="007B2C2A" w:rsidRDefault="00D615F5" w:rsidP="003D02FD">
            <w:pPr>
              <w:ind w:left="-677" w:firstLine="677"/>
              <w:jc w:val="center"/>
              <w:rPr>
                <w:sz w:val="22"/>
                <w:szCs w:val="22"/>
              </w:rPr>
            </w:pPr>
          </w:p>
        </w:tc>
        <w:tc>
          <w:tcPr>
            <w:tcW w:w="1215" w:type="dxa"/>
          </w:tcPr>
          <w:p w14:paraId="46329584" w14:textId="77777777" w:rsidR="00D615F5" w:rsidRPr="007B2C2A" w:rsidRDefault="00D615F5" w:rsidP="003D02FD">
            <w:pPr>
              <w:jc w:val="center"/>
              <w:rPr>
                <w:sz w:val="22"/>
                <w:szCs w:val="22"/>
              </w:rPr>
            </w:pPr>
            <w:r w:rsidRPr="007B2C2A">
              <w:rPr>
                <w:sz w:val="22"/>
                <w:szCs w:val="22"/>
              </w:rPr>
              <w:t>3</w:t>
            </w:r>
          </w:p>
        </w:tc>
        <w:tc>
          <w:tcPr>
            <w:tcW w:w="1733" w:type="dxa"/>
          </w:tcPr>
          <w:p w14:paraId="1D9EBC6D" w14:textId="77777777" w:rsidR="00D615F5" w:rsidRPr="007B2C2A" w:rsidRDefault="00D615F5" w:rsidP="003D02FD">
            <w:pPr>
              <w:jc w:val="center"/>
              <w:rPr>
                <w:sz w:val="22"/>
                <w:szCs w:val="22"/>
              </w:rPr>
            </w:pPr>
            <w:r w:rsidRPr="007B2C2A">
              <w:rPr>
                <w:sz w:val="22"/>
                <w:szCs w:val="22"/>
              </w:rPr>
              <w:t>4</w:t>
            </w:r>
          </w:p>
        </w:tc>
        <w:tc>
          <w:tcPr>
            <w:tcW w:w="1578" w:type="dxa"/>
          </w:tcPr>
          <w:p w14:paraId="6DAF6268" w14:textId="77777777" w:rsidR="00D615F5" w:rsidRPr="007B2C2A" w:rsidRDefault="00D615F5" w:rsidP="003D02FD">
            <w:pPr>
              <w:jc w:val="center"/>
              <w:rPr>
                <w:sz w:val="22"/>
                <w:szCs w:val="22"/>
              </w:rPr>
            </w:pPr>
            <w:r w:rsidRPr="007B2C2A">
              <w:rPr>
                <w:sz w:val="22"/>
                <w:szCs w:val="22"/>
              </w:rPr>
              <w:t>5</w:t>
            </w:r>
          </w:p>
        </w:tc>
      </w:tr>
      <w:tr w:rsidR="00D615F5" w:rsidRPr="007B2C2A" w14:paraId="476C07D6" w14:textId="77777777" w:rsidTr="003D02FD">
        <w:tc>
          <w:tcPr>
            <w:tcW w:w="754" w:type="dxa"/>
          </w:tcPr>
          <w:p w14:paraId="6B700054" w14:textId="77777777" w:rsidR="00D615F5" w:rsidRPr="007B2C2A" w:rsidRDefault="00D615F5" w:rsidP="003D02FD">
            <w:pPr>
              <w:pStyle w:val="Sraopastraipa"/>
              <w:ind w:left="22"/>
              <w:jc w:val="center"/>
              <w:rPr>
                <w:rFonts w:ascii="Times New Roman" w:hAnsi="Times New Roman"/>
                <w:b/>
              </w:rPr>
            </w:pPr>
          </w:p>
        </w:tc>
        <w:tc>
          <w:tcPr>
            <w:tcW w:w="8869" w:type="dxa"/>
            <w:gridSpan w:val="5"/>
          </w:tcPr>
          <w:p w14:paraId="42C98124" w14:textId="77777777" w:rsidR="00D615F5" w:rsidRPr="007B2C2A" w:rsidRDefault="00D615F5" w:rsidP="003D02FD">
            <w:pPr>
              <w:pStyle w:val="Sraopastraipa"/>
              <w:ind w:left="-677" w:firstLine="677"/>
              <w:jc w:val="center"/>
              <w:rPr>
                <w:rFonts w:ascii="Times New Roman" w:hAnsi="Times New Roman"/>
                <w:b/>
                <w:highlight w:val="yellow"/>
              </w:rPr>
            </w:pPr>
            <w:r w:rsidRPr="007B2C2A">
              <w:rPr>
                <w:rFonts w:ascii="Times New Roman" w:hAnsi="Times New Roman"/>
                <w:b/>
              </w:rPr>
              <w:t>1. Vienkartiniai bilietai**</w:t>
            </w:r>
          </w:p>
        </w:tc>
      </w:tr>
      <w:tr w:rsidR="00D615F5" w:rsidRPr="007B2C2A" w14:paraId="7A3CC9FD" w14:textId="77777777" w:rsidTr="003D02FD">
        <w:tc>
          <w:tcPr>
            <w:tcW w:w="754" w:type="dxa"/>
          </w:tcPr>
          <w:p w14:paraId="753F89A1" w14:textId="77777777" w:rsidR="00D615F5" w:rsidRPr="007B2C2A" w:rsidRDefault="00D615F5" w:rsidP="003D02FD">
            <w:pPr>
              <w:jc w:val="both"/>
              <w:rPr>
                <w:sz w:val="22"/>
                <w:szCs w:val="22"/>
              </w:rPr>
            </w:pPr>
            <w:r w:rsidRPr="007B2C2A">
              <w:rPr>
                <w:sz w:val="22"/>
                <w:szCs w:val="22"/>
              </w:rPr>
              <w:t xml:space="preserve">1.2. </w:t>
            </w:r>
          </w:p>
        </w:tc>
        <w:tc>
          <w:tcPr>
            <w:tcW w:w="3031" w:type="dxa"/>
          </w:tcPr>
          <w:p w14:paraId="218FCF97" w14:textId="77777777" w:rsidR="00D615F5" w:rsidRPr="00053DAE" w:rsidRDefault="00D615F5" w:rsidP="003D02FD">
            <w:pPr>
              <w:jc w:val="both"/>
              <w:rPr>
                <w:sz w:val="22"/>
                <w:szCs w:val="22"/>
              </w:rPr>
            </w:pPr>
            <w:r w:rsidRPr="00053DAE">
              <w:rPr>
                <w:sz w:val="22"/>
                <w:szCs w:val="22"/>
              </w:rPr>
              <w:t>Vienkartinis popierinis bilietas</w:t>
            </w:r>
          </w:p>
          <w:p w14:paraId="251B8F20" w14:textId="201D45B6" w:rsidR="00D615F5" w:rsidRPr="00053DAE" w:rsidRDefault="00D615F5" w:rsidP="00D615F5">
            <w:pPr>
              <w:jc w:val="both"/>
              <w:rPr>
                <w:sz w:val="22"/>
                <w:szCs w:val="22"/>
              </w:rPr>
            </w:pPr>
            <w:r w:rsidRPr="00053DAE">
              <w:rPr>
                <w:sz w:val="22"/>
                <w:szCs w:val="22"/>
              </w:rPr>
              <w:t>(su QR kodu įsigyjamas autobuse)</w:t>
            </w:r>
          </w:p>
        </w:tc>
        <w:tc>
          <w:tcPr>
            <w:tcW w:w="1312" w:type="dxa"/>
          </w:tcPr>
          <w:p w14:paraId="2D4E8C1A" w14:textId="77777777" w:rsidR="00D615F5" w:rsidRPr="00053DAE" w:rsidRDefault="00D615F5" w:rsidP="003D02FD">
            <w:pPr>
              <w:ind w:left="-677" w:firstLine="677"/>
              <w:jc w:val="center"/>
              <w:rPr>
                <w:sz w:val="22"/>
                <w:szCs w:val="22"/>
              </w:rPr>
            </w:pPr>
          </w:p>
          <w:p w14:paraId="3961943E" w14:textId="77777777" w:rsidR="00D615F5" w:rsidRPr="00053DAE" w:rsidRDefault="00D615F5" w:rsidP="003D02FD">
            <w:pPr>
              <w:ind w:left="-677" w:firstLine="677"/>
              <w:jc w:val="center"/>
              <w:rPr>
                <w:sz w:val="22"/>
                <w:szCs w:val="22"/>
              </w:rPr>
            </w:pPr>
          </w:p>
          <w:p w14:paraId="6F80DD58" w14:textId="77777777" w:rsidR="00D615F5" w:rsidRPr="00053DAE" w:rsidRDefault="00D615F5" w:rsidP="003D02FD">
            <w:pPr>
              <w:ind w:left="-677" w:firstLine="677"/>
              <w:jc w:val="center"/>
              <w:rPr>
                <w:sz w:val="22"/>
                <w:szCs w:val="22"/>
              </w:rPr>
            </w:pPr>
            <w:r w:rsidRPr="00053DAE">
              <w:rPr>
                <w:sz w:val="22"/>
                <w:szCs w:val="22"/>
              </w:rPr>
              <w:t>1,00</w:t>
            </w:r>
          </w:p>
          <w:p w14:paraId="3DB87C78" w14:textId="77777777" w:rsidR="00D615F5" w:rsidRPr="00053DAE" w:rsidRDefault="00D615F5" w:rsidP="003D02FD">
            <w:pPr>
              <w:ind w:left="-677" w:firstLine="677"/>
              <w:jc w:val="center"/>
              <w:rPr>
                <w:sz w:val="22"/>
                <w:szCs w:val="22"/>
              </w:rPr>
            </w:pPr>
            <w:r w:rsidRPr="00053DAE">
              <w:rPr>
                <w:sz w:val="22"/>
                <w:szCs w:val="22"/>
              </w:rPr>
              <w:t>0,50</w:t>
            </w:r>
          </w:p>
          <w:p w14:paraId="698BD90A" w14:textId="77777777" w:rsidR="00D615F5" w:rsidRPr="00053DAE" w:rsidRDefault="00D615F5" w:rsidP="003D02FD">
            <w:pPr>
              <w:ind w:left="-677" w:firstLine="677"/>
              <w:jc w:val="center"/>
              <w:rPr>
                <w:sz w:val="22"/>
                <w:szCs w:val="22"/>
              </w:rPr>
            </w:pPr>
            <w:r w:rsidRPr="00053DAE">
              <w:rPr>
                <w:sz w:val="22"/>
                <w:szCs w:val="22"/>
              </w:rPr>
              <w:lastRenderedPageBreak/>
              <w:t>0,20</w:t>
            </w:r>
          </w:p>
        </w:tc>
        <w:tc>
          <w:tcPr>
            <w:tcW w:w="1215" w:type="dxa"/>
            <w:vAlign w:val="center"/>
          </w:tcPr>
          <w:p w14:paraId="35123F7B" w14:textId="77777777" w:rsidR="00D615F5" w:rsidRPr="007B2C2A" w:rsidRDefault="00D615F5" w:rsidP="003D02FD">
            <w:pPr>
              <w:jc w:val="center"/>
              <w:rPr>
                <w:sz w:val="22"/>
                <w:szCs w:val="22"/>
              </w:rPr>
            </w:pPr>
            <w:r w:rsidRPr="007B2C2A">
              <w:rPr>
                <w:sz w:val="22"/>
                <w:szCs w:val="22"/>
              </w:rPr>
              <w:lastRenderedPageBreak/>
              <w:t>1,00</w:t>
            </w:r>
          </w:p>
        </w:tc>
        <w:tc>
          <w:tcPr>
            <w:tcW w:w="1733" w:type="dxa"/>
            <w:vAlign w:val="center"/>
          </w:tcPr>
          <w:p w14:paraId="181A2C46" w14:textId="77777777" w:rsidR="00D615F5" w:rsidRPr="007B2C2A" w:rsidRDefault="00D615F5" w:rsidP="003D02FD">
            <w:pPr>
              <w:jc w:val="center"/>
              <w:rPr>
                <w:sz w:val="22"/>
                <w:szCs w:val="22"/>
              </w:rPr>
            </w:pPr>
            <w:r w:rsidRPr="007B2C2A">
              <w:rPr>
                <w:sz w:val="22"/>
                <w:szCs w:val="22"/>
              </w:rPr>
              <w:t>0,50</w:t>
            </w:r>
          </w:p>
        </w:tc>
        <w:tc>
          <w:tcPr>
            <w:tcW w:w="1578" w:type="dxa"/>
            <w:vAlign w:val="center"/>
          </w:tcPr>
          <w:p w14:paraId="3F21440F" w14:textId="77777777" w:rsidR="00D615F5" w:rsidRPr="007B2C2A" w:rsidRDefault="00D615F5" w:rsidP="003D02FD">
            <w:pPr>
              <w:jc w:val="center"/>
              <w:rPr>
                <w:sz w:val="22"/>
                <w:szCs w:val="22"/>
              </w:rPr>
            </w:pPr>
            <w:r w:rsidRPr="007B2C2A">
              <w:rPr>
                <w:sz w:val="22"/>
                <w:szCs w:val="22"/>
              </w:rPr>
              <w:t>0,20</w:t>
            </w:r>
          </w:p>
        </w:tc>
      </w:tr>
      <w:tr w:rsidR="00D615F5" w:rsidRPr="007B2C2A" w14:paraId="316C7D2A" w14:textId="77777777" w:rsidTr="003D02FD">
        <w:tc>
          <w:tcPr>
            <w:tcW w:w="754" w:type="dxa"/>
          </w:tcPr>
          <w:p w14:paraId="674ED7BF" w14:textId="061649E3" w:rsidR="00D615F5" w:rsidRPr="007B2C2A" w:rsidRDefault="00D615F5" w:rsidP="00D615F5">
            <w:pPr>
              <w:jc w:val="both"/>
              <w:rPr>
                <w:sz w:val="22"/>
                <w:szCs w:val="22"/>
              </w:rPr>
            </w:pPr>
            <w:r>
              <w:rPr>
                <w:sz w:val="22"/>
                <w:szCs w:val="22"/>
              </w:rPr>
              <w:t>1.3</w:t>
            </w:r>
            <w:r w:rsidRPr="007B2C2A">
              <w:rPr>
                <w:sz w:val="22"/>
                <w:szCs w:val="22"/>
              </w:rPr>
              <w:t xml:space="preserve">. </w:t>
            </w:r>
          </w:p>
        </w:tc>
        <w:tc>
          <w:tcPr>
            <w:tcW w:w="3031" w:type="dxa"/>
          </w:tcPr>
          <w:p w14:paraId="60E4948E" w14:textId="77777777" w:rsidR="00D615F5" w:rsidRPr="007B2C2A" w:rsidRDefault="00D615F5" w:rsidP="00D615F5">
            <w:pPr>
              <w:jc w:val="both"/>
              <w:rPr>
                <w:b/>
                <w:sz w:val="22"/>
                <w:szCs w:val="22"/>
              </w:rPr>
            </w:pPr>
            <w:r w:rsidRPr="007B2C2A">
              <w:rPr>
                <w:b/>
                <w:sz w:val="22"/>
                <w:szCs w:val="22"/>
              </w:rPr>
              <w:t>Vienkartinis popierinis bilietas</w:t>
            </w:r>
          </w:p>
          <w:p w14:paraId="56B7AB14" w14:textId="35C4B84E" w:rsidR="00D615F5" w:rsidRPr="007B2C2A" w:rsidRDefault="00D615F5" w:rsidP="00D615F5">
            <w:pPr>
              <w:jc w:val="both"/>
              <w:rPr>
                <w:b/>
                <w:sz w:val="22"/>
                <w:szCs w:val="22"/>
              </w:rPr>
            </w:pPr>
            <w:r w:rsidRPr="007B2C2A">
              <w:rPr>
                <w:sz w:val="22"/>
                <w:szCs w:val="22"/>
              </w:rPr>
              <w:t>(įsigyjamas kitose platinimo vietose)</w:t>
            </w:r>
          </w:p>
        </w:tc>
        <w:tc>
          <w:tcPr>
            <w:tcW w:w="1312" w:type="dxa"/>
          </w:tcPr>
          <w:p w14:paraId="1110DBCC" w14:textId="753D52E9" w:rsidR="00D615F5" w:rsidRPr="007B2C2A" w:rsidRDefault="00D615F5" w:rsidP="00D615F5">
            <w:pPr>
              <w:rPr>
                <w:b/>
                <w:sz w:val="22"/>
                <w:szCs w:val="22"/>
              </w:rPr>
            </w:pPr>
            <w:r>
              <w:rPr>
                <w:sz w:val="22"/>
                <w:szCs w:val="22"/>
              </w:rPr>
              <w:t xml:space="preserve">      </w:t>
            </w:r>
            <w:r w:rsidRPr="007B2C2A">
              <w:rPr>
                <w:b/>
                <w:sz w:val="22"/>
                <w:szCs w:val="22"/>
              </w:rPr>
              <w:t>0,52</w:t>
            </w:r>
          </w:p>
          <w:p w14:paraId="4ECCD449" w14:textId="77777777" w:rsidR="00D615F5" w:rsidRPr="007B2C2A" w:rsidRDefault="00D615F5" w:rsidP="00D615F5">
            <w:pPr>
              <w:ind w:left="-677" w:firstLine="677"/>
              <w:jc w:val="center"/>
              <w:rPr>
                <w:b/>
                <w:sz w:val="22"/>
                <w:szCs w:val="22"/>
              </w:rPr>
            </w:pPr>
            <w:r w:rsidRPr="007B2C2A">
              <w:rPr>
                <w:b/>
                <w:sz w:val="22"/>
                <w:szCs w:val="22"/>
              </w:rPr>
              <w:t>0,26</w:t>
            </w:r>
          </w:p>
          <w:p w14:paraId="5F2AFF4C" w14:textId="22F8D0AF" w:rsidR="00D615F5" w:rsidRPr="007B2C2A" w:rsidRDefault="00D615F5" w:rsidP="00D615F5">
            <w:pPr>
              <w:ind w:left="-677" w:firstLine="677"/>
              <w:jc w:val="center"/>
              <w:rPr>
                <w:sz w:val="22"/>
                <w:szCs w:val="22"/>
              </w:rPr>
            </w:pPr>
            <w:r w:rsidRPr="007B2C2A">
              <w:rPr>
                <w:b/>
                <w:sz w:val="22"/>
                <w:szCs w:val="22"/>
              </w:rPr>
              <w:t>0,10</w:t>
            </w:r>
          </w:p>
        </w:tc>
        <w:tc>
          <w:tcPr>
            <w:tcW w:w="1215" w:type="dxa"/>
            <w:vAlign w:val="center"/>
          </w:tcPr>
          <w:p w14:paraId="0F90E912" w14:textId="18B351B9" w:rsidR="00D615F5" w:rsidRPr="007B2C2A" w:rsidRDefault="00D615F5" w:rsidP="00D615F5">
            <w:pPr>
              <w:jc w:val="center"/>
              <w:rPr>
                <w:sz w:val="22"/>
                <w:szCs w:val="22"/>
              </w:rPr>
            </w:pPr>
            <w:r w:rsidRPr="007B2C2A">
              <w:rPr>
                <w:sz w:val="22"/>
                <w:szCs w:val="22"/>
              </w:rPr>
              <w:t>0,52</w:t>
            </w:r>
          </w:p>
        </w:tc>
        <w:tc>
          <w:tcPr>
            <w:tcW w:w="1733" w:type="dxa"/>
            <w:vAlign w:val="center"/>
          </w:tcPr>
          <w:p w14:paraId="4549FE94" w14:textId="2F75E03F" w:rsidR="00D615F5" w:rsidRPr="007B2C2A" w:rsidRDefault="00D615F5" w:rsidP="00D615F5">
            <w:pPr>
              <w:jc w:val="center"/>
              <w:rPr>
                <w:sz w:val="22"/>
                <w:szCs w:val="22"/>
              </w:rPr>
            </w:pPr>
            <w:r w:rsidRPr="007B2C2A">
              <w:rPr>
                <w:sz w:val="22"/>
                <w:szCs w:val="22"/>
              </w:rPr>
              <w:t>0,26</w:t>
            </w:r>
          </w:p>
        </w:tc>
        <w:tc>
          <w:tcPr>
            <w:tcW w:w="1578" w:type="dxa"/>
            <w:vAlign w:val="center"/>
          </w:tcPr>
          <w:p w14:paraId="42B83F98" w14:textId="2B193405" w:rsidR="00D615F5" w:rsidRPr="007B2C2A" w:rsidRDefault="00D615F5" w:rsidP="00D615F5">
            <w:pPr>
              <w:jc w:val="center"/>
              <w:rPr>
                <w:sz w:val="22"/>
                <w:szCs w:val="22"/>
              </w:rPr>
            </w:pPr>
            <w:r w:rsidRPr="007B2C2A">
              <w:rPr>
                <w:sz w:val="22"/>
                <w:szCs w:val="22"/>
              </w:rPr>
              <w:t>0,10</w:t>
            </w:r>
          </w:p>
        </w:tc>
      </w:tr>
    </w:tbl>
    <w:p w14:paraId="03D48114" w14:textId="2D2BAA54" w:rsidR="00D615F5" w:rsidRPr="007B2C2A" w:rsidRDefault="00D615F5" w:rsidP="00D615F5">
      <w:pPr>
        <w:tabs>
          <w:tab w:val="left" w:pos="6663"/>
        </w:tabs>
        <w:jc w:val="both"/>
        <w:rPr>
          <w:b/>
          <w:sz w:val="22"/>
          <w:szCs w:val="22"/>
        </w:rPr>
      </w:pPr>
      <w:r w:rsidRPr="007B2C2A">
        <w:rPr>
          <w:b/>
        </w:rPr>
        <w:t xml:space="preserve">  N.</w:t>
      </w:r>
      <w:r>
        <w:t xml:space="preserve"> naujas įkainis</w:t>
      </w:r>
    </w:p>
    <w:p w14:paraId="057A9FF2" w14:textId="77777777" w:rsidR="00D615F5" w:rsidRPr="007B2C2A" w:rsidRDefault="00D615F5" w:rsidP="00D615F5"/>
    <w:p w14:paraId="4C56BD89" w14:textId="77777777" w:rsidR="00D615F5" w:rsidRPr="007B2C2A" w:rsidRDefault="00D615F5" w:rsidP="00D615F5">
      <w:pPr>
        <w:tabs>
          <w:tab w:val="left" w:pos="0"/>
        </w:tabs>
        <w:ind w:firstLine="720"/>
        <w:jc w:val="both"/>
      </w:pPr>
      <w:r w:rsidRPr="007B2C2A">
        <w:rPr>
          <w:b/>
        </w:rPr>
        <w:t xml:space="preserve">3. </w:t>
      </w:r>
      <w:r w:rsidRPr="007B2C2A">
        <w:rPr>
          <w:b/>
          <w:bCs/>
        </w:rPr>
        <w:t>Lėšų poreikis ir šaltiniai:</w:t>
      </w:r>
      <w:r w:rsidRPr="007B2C2A">
        <w:t xml:space="preserve"> </w:t>
      </w:r>
    </w:p>
    <w:p w14:paraId="69B218CC" w14:textId="2F2C63AC" w:rsidR="00D615F5" w:rsidRPr="007B2C2A" w:rsidRDefault="00D615F5" w:rsidP="00D615F5">
      <w:pPr>
        <w:tabs>
          <w:tab w:val="left" w:pos="7655"/>
        </w:tabs>
        <w:spacing w:line="276" w:lineRule="auto"/>
        <w:ind w:firstLine="720"/>
        <w:jc w:val="both"/>
      </w:pPr>
      <w:r>
        <w:t>Sprendimo proje</w:t>
      </w:r>
      <w:r w:rsidR="00053DAE">
        <w:t>k</w:t>
      </w:r>
      <w:r>
        <w:t>tui įgyvendinti nereikalingos biudžeto lėšos.</w:t>
      </w:r>
    </w:p>
    <w:p w14:paraId="706E2811" w14:textId="77777777" w:rsidR="00D615F5" w:rsidRPr="007B2C2A" w:rsidRDefault="00D615F5" w:rsidP="00D615F5">
      <w:pPr>
        <w:tabs>
          <w:tab w:val="left" w:pos="0"/>
        </w:tabs>
        <w:ind w:firstLine="720"/>
        <w:jc w:val="both"/>
        <w:rPr>
          <w:b/>
        </w:rPr>
      </w:pPr>
    </w:p>
    <w:p w14:paraId="4D040BD6" w14:textId="77777777" w:rsidR="00D615F5" w:rsidRPr="007B2C2A" w:rsidRDefault="00D615F5" w:rsidP="00D615F5">
      <w:pPr>
        <w:tabs>
          <w:tab w:val="left" w:pos="0"/>
        </w:tabs>
        <w:ind w:firstLine="720"/>
        <w:jc w:val="both"/>
        <w:rPr>
          <w:b/>
        </w:rPr>
      </w:pPr>
      <w:r w:rsidRPr="007B2C2A">
        <w:rPr>
          <w:b/>
        </w:rPr>
        <w:t xml:space="preserve">4. </w:t>
      </w:r>
      <w:r w:rsidRPr="007B2C2A">
        <w:rPr>
          <w:b/>
          <w:bCs/>
        </w:rPr>
        <w:t>Sprendimui priimti reikalingi pagrindimai, skaičiavimai ar paaiškinimai:</w:t>
      </w:r>
      <w:r w:rsidRPr="007B2C2A">
        <w:rPr>
          <w:b/>
        </w:rPr>
        <w:t xml:space="preserve"> </w:t>
      </w:r>
    </w:p>
    <w:p w14:paraId="2F46EDBB" w14:textId="77777777" w:rsidR="00D615F5" w:rsidRPr="009F60C0" w:rsidRDefault="00D615F5" w:rsidP="00D615F5">
      <w:pPr>
        <w:tabs>
          <w:tab w:val="left" w:pos="0"/>
        </w:tabs>
        <w:ind w:firstLine="720"/>
        <w:jc w:val="both"/>
      </w:pPr>
      <w:r w:rsidRPr="009F60C0">
        <w:t>Teikiam</w:t>
      </w:r>
      <w:r>
        <w:t>o</w:t>
      </w:r>
      <w:r w:rsidRPr="009F60C0">
        <w:t xml:space="preserve"> sprendimo projekt</w:t>
      </w:r>
      <w:r>
        <w:t>o</w:t>
      </w:r>
      <w:r w:rsidRPr="009F60C0">
        <w:t xml:space="preserve"> </w:t>
      </w:r>
      <w:r>
        <w:t>b</w:t>
      </w:r>
      <w:r w:rsidRPr="009F60C0">
        <w:t xml:space="preserve">azine kaina </w:t>
      </w:r>
      <w:r>
        <w:t>lieka „vienkartinio bilieto, įsigyjamo prekybos vietose – 0,52 Eur“, kuri nustatyta 2011 m. gruodžio 15 d. sprendimu Nr. 1-12-4 (2014 m. rugsėjo  25 d. sprendimu Nr. 1-267 perskaičiuota į eurus).</w:t>
      </w:r>
    </w:p>
    <w:p w14:paraId="4F1AE25E" w14:textId="77777777" w:rsidR="00D615F5" w:rsidRDefault="00D615F5" w:rsidP="00D615F5">
      <w:pPr>
        <w:tabs>
          <w:tab w:val="left" w:pos="0"/>
        </w:tabs>
        <w:ind w:firstLine="720"/>
        <w:jc w:val="both"/>
        <w:rPr>
          <w:b/>
        </w:rPr>
      </w:pPr>
    </w:p>
    <w:p w14:paraId="556B1C45" w14:textId="77777777" w:rsidR="00D615F5" w:rsidRPr="007B2C2A" w:rsidRDefault="00D615F5" w:rsidP="00D615F5">
      <w:pPr>
        <w:tabs>
          <w:tab w:val="left" w:pos="0"/>
        </w:tabs>
        <w:ind w:firstLine="720"/>
        <w:jc w:val="both"/>
      </w:pPr>
      <w:r w:rsidRPr="007B2C2A">
        <w:rPr>
          <w:b/>
        </w:rPr>
        <w:t>5. Kieno iniciatyva parengtas sprendimo projektas:</w:t>
      </w:r>
      <w:r w:rsidRPr="007B2C2A">
        <w:t xml:space="preserve"> </w:t>
      </w:r>
    </w:p>
    <w:p w14:paraId="09286108" w14:textId="3E155FB3" w:rsidR="00D615F5" w:rsidRPr="007B2C2A" w:rsidRDefault="00D615F5" w:rsidP="00D615F5">
      <w:pPr>
        <w:tabs>
          <w:tab w:val="left" w:pos="0"/>
        </w:tabs>
        <w:ind w:firstLine="720"/>
        <w:jc w:val="both"/>
      </w:pPr>
      <w:r w:rsidRPr="007B2C2A">
        <w:t xml:space="preserve">Sprendimo projektas parengtas Savivaldybės </w:t>
      </w:r>
      <w:r>
        <w:t>tarybos opozicijos</w:t>
      </w:r>
      <w:r w:rsidRPr="007B2C2A">
        <w:t xml:space="preserve"> iniciatyva.</w:t>
      </w:r>
    </w:p>
    <w:p w14:paraId="6D1F1AD6" w14:textId="77777777" w:rsidR="00D615F5" w:rsidRPr="007B2C2A" w:rsidRDefault="00D615F5" w:rsidP="00D615F5">
      <w:pPr>
        <w:tabs>
          <w:tab w:val="left" w:pos="0"/>
        </w:tabs>
        <w:ind w:firstLine="720"/>
        <w:jc w:val="both"/>
      </w:pPr>
    </w:p>
    <w:p w14:paraId="438DC377" w14:textId="77777777" w:rsidR="003D425C" w:rsidRPr="002E3CE5" w:rsidRDefault="003D425C" w:rsidP="003D425C">
      <w:pPr>
        <w:spacing w:line="360" w:lineRule="auto"/>
      </w:pPr>
    </w:p>
    <w:p w14:paraId="30908B77" w14:textId="77777777" w:rsidR="003D425C" w:rsidRPr="002E3CE5" w:rsidRDefault="003D425C" w:rsidP="003D425C">
      <w:pPr>
        <w:shd w:val="clear" w:color="auto" w:fill="FFFFFF"/>
        <w:jc w:val="both"/>
        <w:rPr>
          <w:rFonts w:ascii="Calibri" w:hAnsi="Calibri" w:cs="Calibri"/>
          <w:sz w:val="22"/>
          <w:szCs w:val="22"/>
        </w:rPr>
      </w:pPr>
      <w:r w:rsidRPr="002E3CE5">
        <w:t>               </w:t>
      </w:r>
    </w:p>
    <w:p w14:paraId="344328E7" w14:textId="77777777" w:rsidR="003D425C" w:rsidRPr="002E3CE5" w:rsidRDefault="003D425C" w:rsidP="003D425C">
      <w:pPr>
        <w:shd w:val="clear" w:color="auto" w:fill="FFFFFF"/>
        <w:jc w:val="both"/>
      </w:pPr>
      <w:r w:rsidRPr="002E3CE5">
        <w:t> </w:t>
      </w:r>
    </w:p>
    <w:p w14:paraId="5D4401BA" w14:textId="600BD391" w:rsidR="00E326AC" w:rsidRPr="003F4116" w:rsidRDefault="00D615F5" w:rsidP="00E326AC">
      <w:r>
        <w:t>Tarybos narė</w:t>
      </w:r>
      <w:r w:rsidR="00E326AC" w:rsidRPr="003F4116">
        <w:tab/>
      </w:r>
      <w:r w:rsidR="00E326AC" w:rsidRPr="003F4116">
        <w:tab/>
      </w:r>
      <w:r w:rsidR="00E326AC" w:rsidRPr="003F4116">
        <w:tab/>
        <w:t xml:space="preserve">     </w:t>
      </w:r>
      <w:r w:rsidR="00E326AC">
        <w:t xml:space="preserve">            Viktorija Vidžiūnienė</w:t>
      </w:r>
    </w:p>
    <w:p w14:paraId="2F32F2BF" w14:textId="77777777" w:rsidR="00320EC0" w:rsidRPr="002E3CE5" w:rsidRDefault="00320EC0"/>
    <w:sectPr w:rsidR="00320EC0" w:rsidRPr="002E3CE5" w:rsidSect="009A457F">
      <w:pgSz w:w="11906" w:h="16838"/>
      <w:pgMar w:top="1134"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6A4B"/>
    <w:multiLevelType w:val="hybridMultilevel"/>
    <w:tmpl w:val="CFD6CAD4"/>
    <w:lvl w:ilvl="0" w:tplc="51DCDCEC">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C31A59"/>
    <w:multiLevelType w:val="hybridMultilevel"/>
    <w:tmpl w:val="2D6A969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C642C6"/>
    <w:multiLevelType w:val="hybridMultilevel"/>
    <w:tmpl w:val="38A6AABE"/>
    <w:lvl w:ilvl="0" w:tplc="4C7E01FA">
      <w:start w:val="1"/>
      <w:numFmt w:val="decimal"/>
      <w:lvlText w:val="%1."/>
      <w:lvlJc w:val="left"/>
      <w:pPr>
        <w:ind w:left="1211" w:hanging="360"/>
      </w:pPr>
      <w:rPr>
        <w:rFonts w:eastAsia="Calibri"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476344E"/>
    <w:multiLevelType w:val="hybridMultilevel"/>
    <w:tmpl w:val="097E981E"/>
    <w:lvl w:ilvl="0" w:tplc="AF1665A0">
      <w:start w:val="1"/>
      <w:numFmt w:val="decimal"/>
      <w:lvlText w:val="%1."/>
      <w:lvlJc w:val="left"/>
      <w:pPr>
        <w:ind w:left="1080" w:hanging="360"/>
      </w:pPr>
      <w:rPr>
        <w:rFonts w:eastAsia="Calibri"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8C03C5C"/>
    <w:multiLevelType w:val="hybridMultilevel"/>
    <w:tmpl w:val="DE68F04A"/>
    <w:lvl w:ilvl="0" w:tplc="7040B5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6A"/>
    <w:rsid w:val="00053DAE"/>
    <w:rsid w:val="0008290A"/>
    <w:rsid w:val="000C61DB"/>
    <w:rsid w:val="000E70E8"/>
    <w:rsid w:val="00160219"/>
    <w:rsid w:val="00180D7F"/>
    <w:rsid w:val="001B3E06"/>
    <w:rsid w:val="00235794"/>
    <w:rsid w:val="002B2E92"/>
    <w:rsid w:val="002E3CE5"/>
    <w:rsid w:val="00320EC0"/>
    <w:rsid w:val="003A1712"/>
    <w:rsid w:val="003C6140"/>
    <w:rsid w:val="003D425C"/>
    <w:rsid w:val="004D3F83"/>
    <w:rsid w:val="005778CE"/>
    <w:rsid w:val="0058695F"/>
    <w:rsid w:val="00642A3B"/>
    <w:rsid w:val="006D674E"/>
    <w:rsid w:val="0070492C"/>
    <w:rsid w:val="00717D01"/>
    <w:rsid w:val="00781761"/>
    <w:rsid w:val="007C45A7"/>
    <w:rsid w:val="00964FB4"/>
    <w:rsid w:val="0096576A"/>
    <w:rsid w:val="00994532"/>
    <w:rsid w:val="009A457F"/>
    <w:rsid w:val="009E7C11"/>
    <w:rsid w:val="00A42F6E"/>
    <w:rsid w:val="00A804F2"/>
    <w:rsid w:val="00A91F69"/>
    <w:rsid w:val="00AB30BD"/>
    <w:rsid w:val="00BE6E07"/>
    <w:rsid w:val="00C80459"/>
    <w:rsid w:val="00CC74C6"/>
    <w:rsid w:val="00D60415"/>
    <w:rsid w:val="00D615F5"/>
    <w:rsid w:val="00D90DC6"/>
    <w:rsid w:val="00E326AC"/>
    <w:rsid w:val="00E43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409A"/>
  <w15:chartTrackingRefBased/>
  <w15:docId w15:val="{EA1E6EDD-18B5-42EF-9A59-37C8B86D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425C"/>
    <w:pPr>
      <w:spacing w:after="0" w:line="240" w:lineRule="auto"/>
    </w:pPr>
    <w:rPr>
      <w:rFonts w:ascii="Times New Roman" w:eastAsia="Times New Roman" w:hAnsi="Times New Roman" w:cs="Times New Roman"/>
      <w:sz w:val="24"/>
      <w:szCs w:val="24"/>
      <w:lang w:eastAsia="lt-LT"/>
    </w:rPr>
  </w:style>
  <w:style w:type="paragraph" w:styleId="Antrat1">
    <w:name w:val="heading 1"/>
    <w:aliases w:val="bold"/>
    <w:basedOn w:val="prastasis"/>
    <w:next w:val="prastasis"/>
    <w:link w:val="Antrat1Diagrama"/>
    <w:autoRedefine/>
    <w:uiPriority w:val="99"/>
    <w:qFormat/>
    <w:rsid w:val="00053DAE"/>
    <w:pPr>
      <w:keepNext/>
      <w:jc w:val="center"/>
      <w:outlineLvl w:val="0"/>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3D425C"/>
    <w:pPr>
      <w:ind w:left="720"/>
    </w:pPr>
    <w:rPr>
      <w:rFonts w:ascii="Calibri" w:eastAsia="Calibri" w:hAnsi="Calibri"/>
      <w:sz w:val="22"/>
      <w:szCs w:val="22"/>
      <w:lang w:eastAsia="en-US"/>
    </w:rPr>
  </w:style>
  <w:style w:type="character" w:customStyle="1" w:styleId="spelle">
    <w:name w:val="spelle"/>
    <w:rsid w:val="003D425C"/>
  </w:style>
  <w:style w:type="paragraph" w:styleId="Debesliotekstas">
    <w:name w:val="Balloon Text"/>
    <w:basedOn w:val="prastasis"/>
    <w:link w:val="DebesliotekstasDiagrama"/>
    <w:uiPriority w:val="99"/>
    <w:semiHidden/>
    <w:unhideWhenUsed/>
    <w:rsid w:val="003C61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140"/>
    <w:rPr>
      <w:rFonts w:ascii="Segoe UI" w:eastAsia="Times New Roman" w:hAnsi="Segoe UI" w:cs="Segoe UI"/>
      <w:sz w:val="18"/>
      <w:szCs w:val="18"/>
      <w:lang w:eastAsia="lt-LT"/>
    </w:rPr>
  </w:style>
  <w:style w:type="paragraph" w:styleId="Betarp">
    <w:name w:val="No Spacing"/>
    <w:uiPriority w:val="1"/>
    <w:qFormat/>
    <w:rsid w:val="00E326AC"/>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34"/>
    <w:locked/>
    <w:rsid w:val="00D615F5"/>
    <w:rPr>
      <w:rFonts w:ascii="Calibri" w:eastAsia="Calibri" w:hAnsi="Calibri" w:cs="Times New Roman"/>
    </w:rPr>
  </w:style>
  <w:style w:type="table" w:styleId="Lentelstinklelis">
    <w:name w:val="Table Grid"/>
    <w:basedOn w:val="prastojilentel"/>
    <w:uiPriority w:val="39"/>
    <w:rsid w:val="00D615F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053DA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5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2189</Words>
  <Characters>1248</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Diana Brazdžiunienė</cp:lastModifiedBy>
  <cp:revision>2</cp:revision>
  <dcterms:created xsi:type="dcterms:W3CDTF">2023-08-23T05:58:00Z</dcterms:created>
  <dcterms:modified xsi:type="dcterms:W3CDTF">2023-08-23T05:58:00Z</dcterms:modified>
</cp:coreProperties>
</file>