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86E24" w14:textId="77777777" w:rsidR="005F3950" w:rsidRDefault="005F3950" w:rsidP="005F3950">
      <w:pPr>
        <w:jc w:val="center"/>
        <w:rPr>
          <w:b/>
          <w:sz w:val="24"/>
          <w:szCs w:val="24"/>
        </w:rPr>
      </w:pPr>
      <w:bookmarkStart w:id="0" w:name="_GoBack"/>
      <w:bookmarkEnd w:id="0"/>
      <w:r w:rsidRPr="00B32970">
        <w:rPr>
          <w:b/>
          <w:sz w:val="24"/>
          <w:szCs w:val="24"/>
        </w:rPr>
        <w:t>AIŠKINAMASIS RAŠTAS</w:t>
      </w:r>
    </w:p>
    <w:p w14:paraId="04386E25" w14:textId="77777777" w:rsidR="005F3950" w:rsidRDefault="005F3950" w:rsidP="005F3950">
      <w:pPr>
        <w:jc w:val="center"/>
        <w:rPr>
          <w:b/>
          <w:sz w:val="24"/>
          <w:szCs w:val="24"/>
        </w:rPr>
      </w:pPr>
    </w:p>
    <w:p w14:paraId="04386E26" w14:textId="77777777" w:rsidR="005F3950" w:rsidRDefault="005F3950" w:rsidP="005F3950">
      <w:pPr>
        <w:pStyle w:val="Antrat2"/>
      </w:pPr>
      <w:r>
        <w:t>SPRENDIMAS</w:t>
      </w:r>
    </w:p>
    <w:p w14:paraId="04386E27" w14:textId="77777777" w:rsidR="005F3950" w:rsidRPr="00E66E57" w:rsidRDefault="005F3950" w:rsidP="005F3950">
      <w:pPr>
        <w:widowControl w:val="0"/>
        <w:suppressAutoHyphens/>
        <w:spacing w:line="360" w:lineRule="auto"/>
        <w:jc w:val="center"/>
        <w:rPr>
          <w:rFonts w:eastAsia="Lucida Sans Unicode"/>
          <w:b/>
          <w:sz w:val="24"/>
          <w:szCs w:val="24"/>
          <w:shd w:val="clear" w:color="auto" w:fill="FFFFFF"/>
          <w:lang w:eastAsia="ar-SA"/>
        </w:rPr>
      </w:pPr>
      <w:r w:rsidRPr="00E66E57">
        <w:rPr>
          <w:rFonts w:eastAsia="Lucida Sans Unicode"/>
          <w:b/>
          <w:sz w:val="24"/>
          <w:szCs w:val="24"/>
          <w:shd w:val="clear" w:color="auto" w:fill="FFFFFF"/>
          <w:lang w:eastAsia="ar-SA"/>
        </w:rPr>
        <w:t xml:space="preserve">DĖL </w:t>
      </w:r>
      <w:r w:rsidRPr="00E66E57">
        <w:rPr>
          <w:rFonts w:eastAsia="Lucida Sans Unicode"/>
          <w:b/>
          <w:sz w:val="24"/>
          <w:szCs w:val="24"/>
          <w:lang w:eastAsia="ar-SA"/>
        </w:rPr>
        <w:t>BŪSTO NUOMOS SĄLYGŲ PAKEITIMO</w:t>
      </w:r>
    </w:p>
    <w:p w14:paraId="04386E28" w14:textId="77777777" w:rsidR="005F3950" w:rsidRPr="00B32970" w:rsidRDefault="005F3950" w:rsidP="005F3950">
      <w:pPr>
        <w:jc w:val="center"/>
        <w:rPr>
          <w:sz w:val="24"/>
          <w:szCs w:val="24"/>
        </w:rPr>
      </w:pPr>
      <w:r>
        <w:rPr>
          <w:sz w:val="24"/>
          <w:szCs w:val="24"/>
        </w:rPr>
        <w:t xml:space="preserve">2023 m. rugsėjo 7 </w:t>
      </w:r>
      <w:r w:rsidRPr="00B32970">
        <w:rPr>
          <w:sz w:val="24"/>
          <w:szCs w:val="24"/>
        </w:rPr>
        <w:t>d.</w:t>
      </w:r>
    </w:p>
    <w:p w14:paraId="04386E29" w14:textId="77777777" w:rsidR="005F3950" w:rsidRPr="00B32970" w:rsidRDefault="005F3950" w:rsidP="005F3950">
      <w:pPr>
        <w:jc w:val="center"/>
        <w:rPr>
          <w:sz w:val="24"/>
          <w:szCs w:val="24"/>
        </w:rPr>
      </w:pPr>
      <w:r w:rsidRPr="00B32970">
        <w:rPr>
          <w:sz w:val="24"/>
          <w:szCs w:val="24"/>
        </w:rPr>
        <w:t>Panevėžys</w:t>
      </w:r>
    </w:p>
    <w:p w14:paraId="04386E2A" w14:textId="77777777" w:rsidR="005F3950" w:rsidRDefault="005F3950" w:rsidP="005F3950">
      <w:pPr>
        <w:jc w:val="both"/>
      </w:pPr>
      <w:r>
        <w:tab/>
      </w:r>
    </w:p>
    <w:p w14:paraId="04386E2B" w14:textId="77777777" w:rsidR="005F3950" w:rsidRPr="00377E8F" w:rsidRDefault="005F3950" w:rsidP="005F3950">
      <w:pPr>
        <w:ind w:firstLine="720"/>
        <w:jc w:val="both"/>
        <w:rPr>
          <w:b/>
          <w:sz w:val="24"/>
          <w:szCs w:val="24"/>
        </w:rPr>
      </w:pPr>
      <w:r>
        <w:rPr>
          <w:sz w:val="24"/>
          <w:szCs w:val="24"/>
        </w:rPr>
        <w:t>1.</w:t>
      </w:r>
      <w:r w:rsidRPr="00377E8F">
        <w:rPr>
          <w:b/>
          <w:sz w:val="24"/>
          <w:szCs w:val="24"/>
        </w:rPr>
        <w:t>Problemos esmė.</w:t>
      </w:r>
    </w:p>
    <w:p w14:paraId="04386E2C" w14:textId="77777777" w:rsidR="005F3950" w:rsidRPr="00647E80" w:rsidRDefault="005F3950" w:rsidP="005F3950">
      <w:pPr>
        <w:ind w:firstLine="720"/>
        <w:jc w:val="both"/>
        <w:rPr>
          <w:sz w:val="24"/>
          <w:szCs w:val="24"/>
        </w:rPr>
      </w:pPr>
      <w:r w:rsidRPr="0034260F">
        <w:rPr>
          <w:sz w:val="24"/>
          <w:szCs w:val="24"/>
        </w:rPr>
        <w:t>Lietuvos Respublikos paramos būstui įsigyti ar išsinuomoti įstatym</w:t>
      </w:r>
      <w:r>
        <w:rPr>
          <w:sz w:val="24"/>
          <w:szCs w:val="24"/>
        </w:rPr>
        <w:t xml:space="preserve">e (toliau – Įstatymas) numatyta prievolė socialinio būsto nuomininkams kasmet deklaruoti pajamas ir turtą. Pateikus deklaracijas išaiškėjo, kad 9 nuomininkų </w:t>
      </w:r>
      <w:r w:rsidRPr="00647E80">
        <w:rPr>
          <w:sz w:val="24"/>
          <w:szCs w:val="24"/>
        </w:rPr>
        <w:t>de</w:t>
      </w:r>
      <w:r>
        <w:rPr>
          <w:sz w:val="24"/>
          <w:szCs w:val="24"/>
        </w:rPr>
        <w:t xml:space="preserve">klaruotos pajamos daugiau kaip 35 ar 50 </w:t>
      </w:r>
      <w:r w:rsidRPr="00647E80">
        <w:rPr>
          <w:sz w:val="24"/>
          <w:szCs w:val="24"/>
        </w:rPr>
        <w:t xml:space="preserve"> proc. viršija  Paramos būstui įsigyti ar išsinuomoti įstatymo 11 straipsnio </w:t>
      </w:r>
      <w:r>
        <w:rPr>
          <w:sz w:val="24"/>
          <w:szCs w:val="24"/>
        </w:rPr>
        <w:t xml:space="preserve">3 dalyje </w:t>
      </w:r>
      <w:r w:rsidRPr="00647E80">
        <w:rPr>
          <w:sz w:val="24"/>
          <w:szCs w:val="24"/>
        </w:rPr>
        <w:t>nustatytą pajamų dydį</w:t>
      </w:r>
      <w:r>
        <w:rPr>
          <w:sz w:val="24"/>
          <w:szCs w:val="24"/>
        </w:rPr>
        <w:t xml:space="preserve">. </w:t>
      </w:r>
      <w:r w:rsidRPr="00647E80">
        <w:rPr>
          <w:sz w:val="24"/>
          <w:szCs w:val="24"/>
        </w:rPr>
        <w:t>Dėl šios priežasties teisę į socialinio būsto nuomą</w:t>
      </w:r>
      <w:r>
        <w:rPr>
          <w:sz w:val="24"/>
          <w:szCs w:val="24"/>
        </w:rPr>
        <w:t xml:space="preserve"> </w:t>
      </w:r>
      <w:r w:rsidRPr="00647E80">
        <w:rPr>
          <w:sz w:val="24"/>
          <w:szCs w:val="24"/>
        </w:rPr>
        <w:t>nuominink</w:t>
      </w:r>
      <w:r>
        <w:rPr>
          <w:sz w:val="24"/>
          <w:szCs w:val="24"/>
        </w:rPr>
        <w:t xml:space="preserve">ai </w:t>
      </w:r>
      <w:r w:rsidRPr="00647E80">
        <w:rPr>
          <w:sz w:val="24"/>
          <w:szCs w:val="24"/>
        </w:rPr>
        <w:t>yra prarad</w:t>
      </w:r>
      <w:r>
        <w:rPr>
          <w:sz w:val="24"/>
          <w:szCs w:val="24"/>
        </w:rPr>
        <w:t>ę</w:t>
      </w:r>
      <w:r w:rsidRPr="00647E80">
        <w:rPr>
          <w:sz w:val="24"/>
          <w:szCs w:val="24"/>
        </w:rPr>
        <w:t>.</w:t>
      </w:r>
    </w:p>
    <w:p w14:paraId="04386E2D" w14:textId="77777777" w:rsidR="005F3950" w:rsidRPr="005F3950" w:rsidRDefault="005F3950" w:rsidP="005F3950">
      <w:pPr>
        <w:ind w:firstLine="567"/>
        <w:jc w:val="both"/>
        <w:rPr>
          <w:sz w:val="24"/>
          <w:szCs w:val="24"/>
        </w:rPr>
      </w:pPr>
      <w:r w:rsidRPr="005F3950">
        <w:rPr>
          <w:b/>
          <w:sz w:val="24"/>
          <w:szCs w:val="24"/>
        </w:rPr>
        <w:t>2. Kaip šiuo metu sprendžiami projekte aptarti klausimai.</w:t>
      </w:r>
      <w:r w:rsidRPr="005F3950">
        <w:rPr>
          <w:sz w:val="24"/>
          <w:szCs w:val="24"/>
        </w:rPr>
        <w:t xml:space="preserve"> </w:t>
      </w:r>
    </w:p>
    <w:p w14:paraId="04386E2E" w14:textId="77777777" w:rsidR="005F3950" w:rsidRPr="005F3950" w:rsidRDefault="005F3950" w:rsidP="005F3950">
      <w:pPr>
        <w:ind w:firstLine="720"/>
        <w:jc w:val="both"/>
        <w:rPr>
          <w:color w:val="000000"/>
          <w:sz w:val="24"/>
          <w:szCs w:val="24"/>
        </w:rPr>
      </w:pPr>
      <w:r w:rsidRPr="005F3950">
        <w:rPr>
          <w:sz w:val="24"/>
          <w:szCs w:val="24"/>
        </w:rPr>
        <w:t>Įstatymo 20 straipsnio 7 dalyje nurodyta “J</w:t>
      </w:r>
      <w:r w:rsidRPr="005F3950">
        <w:rPr>
          <w:color w:val="000000"/>
          <w:sz w:val="24"/>
          <w:szCs w:val="24"/>
        </w:rPr>
        <w:t>eigu asmens ar šeimos, nuomojančio (nuomojančios) socialinį būstą, Gyventojų turto deklaravimo įstatyme nustatyta tvarka deklaruoto turto vertė ar pajamos, pagal Piniginės socialinės paramos nepasiturintiems gyventojams įstatymo 17 straipsnį įskaitomos į asmens ar šeimos gaunamas pajamas, viršija šio įstatymo 11 straipsnio 3 dalyje nustatytus metinius pajamų ir turto dydžius, kaip numatyta šio straipsnio 5 dalies 2 punkte, šio asmens ar šeimos prašymu šis būstas nuomojamas kaip savivaldybės būstas, jeigu asmuo ar šeima Lietuvos Respublikoje nuosavybės teise neturi kito būsto ir jeigu:</w:t>
      </w:r>
    </w:p>
    <w:p w14:paraId="04386E2F" w14:textId="77777777" w:rsidR="005F3950" w:rsidRPr="005F3950" w:rsidRDefault="005F3950" w:rsidP="005F3950">
      <w:pPr>
        <w:ind w:firstLine="720"/>
        <w:jc w:val="both"/>
        <w:rPr>
          <w:color w:val="000000"/>
          <w:sz w:val="24"/>
          <w:szCs w:val="24"/>
        </w:rPr>
      </w:pPr>
      <w:bookmarkStart w:id="1" w:name="part_7f2294d36e184130a4368c8b6ffe2cb0"/>
      <w:bookmarkEnd w:id="1"/>
      <w:r w:rsidRPr="005F3950">
        <w:rPr>
          <w:color w:val="000000"/>
          <w:sz w:val="24"/>
          <w:szCs w:val="24"/>
        </w:rPr>
        <w:t>1) asmeniui iki senatvės pensijos amžiaus sukakties yra likę 5 ar mažiau metų;</w:t>
      </w:r>
    </w:p>
    <w:p w14:paraId="04386E30" w14:textId="77777777" w:rsidR="005F3950" w:rsidRPr="005F3950" w:rsidRDefault="005F3950" w:rsidP="005F3950">
      <w:pPr>
        <w:ind w:firstLine="720"/>
        <w:jc w:val="both"/>
        <w:rPr>
          <w:color w:val="000000"/>
          <w:sz w:val="24"/>
          <w:szCs w:val="24"/>
        </w:rPr>
      </w:pPr>
      <w:bookmarkStart w:id="2" w:name="part_d57b48f9a196442887480acb907e03e8"/>
      <w:bookmarkEnd w:id="2"/>
      <w:r w:rsidRPr="005F3950">
        <w:rPr>
          <w:color w:val="000000"/>
          <w:sz w:val="24"/>
          <w:szCs w:val="24"/>
        </w:rPr>
        <w:t>2) asmuo yra neįgalusis arba šeimoje yra neįgaliųjų;</w:t>
      </w:r>
    </w:p>
    <w:p w14:paraId="04386E31" w14:textId="77777777" w:rsidR="005F3950" w:rsidRPr="005F3950" w:rsidRDefault="005F3950" w:rsidP="005F3950">
      <w:pPr>
        <w:ind w:firstLine="720"/>
        <w:jc w:val="both"/>
        <w:rPr>
          <w:color w:val="000000"/>
          <w:sz w:val="24"/>
          <w:szCs w:val="24"/>
        </w:rPr>
      </w:pPr>
      <w:bookmarkStart w:id="3" w:name="part_08183bc5df244e2e93e8d9d152468268"/>
      <w:bookmarkEnd w:id="3"/>
      <w:r w:rsidRPr="005F3950">
        <w:rPr>
          <w:color w:val="000000"/>
          <w:sz w:val="24"/>
          <w:szCs w:val="24"/>
        </w:rPr>
        <w:t>3) šeima augina tris ar daugiau vaikų ir (ar) vaikų, kuriems nustatyta nuolatinė globa (rūpyba);</w:t>
      </w:r>
    </w:p>
    <w:p w14:paraId="04386E32" w14:textId="77777777" w:rsidR="005F3950" w:rsidRPr="005F3950" w:rsidRDefault="005F3950" w:rsidP="005F3950">
      <w:pPr>
        <w:ind w:firstLine="720"/>
        <w:jc w:val="both"/>
        <w:rPr>
          <w:color w:val="000000"/>
          <w:sz w:val="24"/>
          <w:szCs w:val="24"/>
        </w:rPr>
      </w:pPr>
      <w:bookmarkStart w:id="4" w:name="part_0b36e856f5c3469d90d696ba0971c9dd"/>
      <w:bookmarkEnd w:id="4"/>
      <w:r w:rsidRPr="005F3950">
        <w:rPr>
          <w:color w:val="000000"/>
          <w:sz w:val="24"/>
          <w:szCs w:val="24"/>
        </w:rPr>
        <w:t>4) kitais savivaldybės tarybos patvirtintame tvarkos apraše nustatytais atvejais.“.</w:t>
      </w:r>
    </w:p>
    <w:p w14:paraId="04386E33" w14:textId="77777777" w:rsidR="005F3950" w:rsidRPr="005F3950" w:rsidRDefault="005F3950" w:rsidP="005F3950">
      <w:pPr>
        <w:ind w:firstLine="720"/>
        <w:jc w:val="both"/>
        <w:rPr>
          <w:color w:val="000000"/>
          <w:sz w:val="24"/>
          <w:szCs w:val="24"/>
        </w:rPr>
      </w:pPr>
      <w:r w:rsidRPr="005F3950">
        <w:rPr>
          <w:sz w:val="24"/>
          <w:szCs w:val="24"/>
        </w:rPr>
        <w:t>Vadovaujantis Panevėžio miesto savivaldybės tarybos sprendimu Nr. 1-497 “</w:t>
      </w:r>
      <w:r w:rsidRPr="005F3950">
        <w:rPr>
          <w:bCs/>
          <w:color w:val="000000"/>
          <w:sz w:val="24"/>
          <w:szCs w:val="24"/>
        </w:rPr>
        <w:t>Dėl Savivaldybės būsto ir socialinio būsto nuomos tvarkos aprašo, Socialinio būsto, Savivaldybės būsto, Savivaldybės būsto (bendrabučiuose) nuomos sutarčių formų patvirtinimo“ patvirtinto Savivaldybės būsto ir socialinio būsto nuomos tvarkos aprašo 22.4 papunkčiu, „</w:t>
      </w:r>
      <w:r w:rsidRPr="005F3950">
        <w:rPr>
          <w:color w:val="000000"/>
          <w:sz w:val="24"/>
          <w:szCs w:val="24"/>
        </w:rPr>
        <w:t xml:space="preserve">jeigu asmens ar šeimos, nuomojančio (nuomojančios) socialinį būstą, deklaruoto turto vertė ar pajamos, kurios, vadovaujantis Piniginės socialinės paramos nepasiturintiems gyventojams įstatymo 17 straipsniu, įskaitomos į asmens ar šeimos gaunamas pajamas, viršija Įstatymo 11 straipsnio 3 dalyje nustatytą metinį pajamų ir turto dydį, kaip numatyta Įstatymo 20 straipsnio 5 dalies 2 punkte, </w:t>
      </w:r>
      <w:r w:rsidRPr="00AA108C">
        <w:rPr>
          <w:color w:val="000000"/>
          <w:sz w:val="24"/>
          <w:szCs w:val="24"/>
        </w:rPr>
        <w:t>asmens ar šeimos prašymu Savivaldybės taryba</w:t>
      </w:r>
      <w:r w:rsidRPr="00AA108C">
        <w:rPr>
          <w:bCs/>
          <w:color w:val="000000"/>
          <w:sz w:val="24"/>
          <w:szCs w:val="24"/>
        </w:rPr>
        <w:t> </w:t>
      </w:r>
      <w:r w:rsidRPr="00AA108C">
        <w:rPr>
          <w:color w:val="000000"/>
          <w:sz w:val="24"/>
          <w:szCs w:val="24"/>
        </w:rPr>
        <w:t>gali priimti sprendimą šį būstą nuomoti kaip savivaldybės būstą rinkos kainomis vadovaudamasi savivaldybės būsto, socialinio būsto nuomos mokesčių ir būsto nuomos ar išperkamosios būsto nuomos mokesčių dalies kompensacijos dydžio apskaičiavimo metodika, jeigu asmuo ar šeima neturi nuosavybės teise kito tinkamo būsto. Šiuo atveju Komisijos siūlymu savivaldybės būstas rinkos</w:t>
      </w:r>
      <w:r w:rsidRPr="005F3950">
        <w:rPr>
          <w:color w:val="000000"/>
          <w:sz w:val="24"/>
          <w:szCs w:val="24"/>
        </w:rPr>
        <w:t xml:space="preserve"> kainomis gali būti nuomojamas dvejų metų terminui asmenims, kuriems iki senatvės pensijos amžiaus sukakties yra likę 5 ar mažiau metų, neįgaliesiems (arba šeimoms, kuriose yra neįgaliųjų), šeimoms, auginančioms tris ar daugiau vaikų ir (ar) vaikų, kuriems nustatyta nuolatinė globa (rūpyba), ir kitais atvejais. Minėtam terminui pasibaigus, asmenys ar šeimos turi teisę kreiptis į Savivaldybės administraciją dėl savivaldybės būsto nuomos rinkos kainomis termino pratęsimo. Asmenims ar šeimoms įgijus teisę privatizuoti savivaldybės būstą, sutartis nebetęsiama.“</w:t>
      </w:r>
    </w:p>
    <w:p w14:paraId="04386E34" w14:textId="77777777" w:rsidR="005F3950" w:rsidRDefault="005F3950" w:rsidP="005F3950">
      <w:pPr>
        <w:ind w:firstLine="851"/>
        <w:jc w:val="both"/>
        <w:rPr>
          <w:bCs/>
          <w:sz w:val="24"/>
          <w:szCs w:val="24"/>
        </w:rPr>
      </w:pPr>
      <w:r w:rsidRPr="00773549">
        <w:rPr>
          <w:bCs/>
          <w:sz w:val="24"/>
          <w:szCs w:val="24"/>
        </w:rPr>
        <w:t>202</w:t>
      </w:r>
      <w:r>
        <w:rPr>
          <w:bCs/>
          <w:sz w:val="24"/>
          <w:szCs w:val="24"/>
        </w:rPr>
        <w:t>3</w:t>
      </w:r>
      <w:r w:rsidRPr="00773549">
        <w:rPr>
          <w:bCs/>
          <w:sz w:val="24"/>
          <w:szCs w:val="24"/>
        </w:rPr>
        <w:t xml:space="preserve"> m. </w:t>
      </w:r>
      <w:r>
        <w:rPr>
          <w:bCs/>
          <w:sz w:val="24"/>
          <w:szCs w:val="24"/>
        </w:rPr>
        <w:t>rugsėjo</w:t>
      </w:r>
      <w:r w:rsidRPr="00773549">
        <w:rPr>
          <w:bCs/>
          <w:sz w:val="24"/>
          <w:szCs w:val="24"/>
        </w:rPr>
        <w:t xml:space="preserve"> </w:t>
      </w:r>
      <w:r>
        <w:rPr>
          <w:bCs/>
          <w:sz w:val="24"/>
          <w:szCs w:val="24"/>
        </w:rPr>
        <w:t>6</w:t>
      </w:r>
      <w:r w:rsidRPr="00773549">
        <w:rPr>
          <w:bCs/>
          <w:sz w:val="24"/>
          <w:szCs w:val="24"/>
        </w:rPr>
        <w:t xml:space="preserve"> d. </w:t>
      </w:r>
      <w:r>
        <w:rPr>
          <w:bCs/>
          <w:sz w:val="24"/>
          <w:szCs w:val="24"/>
        </w:rPr>
        <w:t>Komisija nagrinėjo 9 nuomininkų prašymus dėl nuomos sąlygų pakeitimo ir siūlo Tarybai pakeisti nuomos sąlygas šiems socialinio būsto nuomininkams, perrašant nuomos sutartis į 2 metų terminuotas Savivaldybės būsto sutartis.</w:t>
      </w:r>
    </w:p>
    <w:p w14:paraId="04386E35" w14:textId="77777777" w:rsidR="005F3950" w:rsidRPr="00647E80" w:rsidRDefault="005F3950" w:rsidP="005F3950">
      <w:pPr>
        <w:ind w:firstLine="720"/>
        <w:jc w:val="both"/>
        <w:rPr>
          <w:sz w:val="24"/>
          <w:szCs w:val="24"/>
        </w:rPr>
      </w:pPr>
      <w:r>
        <w:rPr>
          <w:sz w:val="24"/>
          <w:szCs w:val="24"/>
        </w:rPr>
        <w:t>Nuomininkai</w:t>
      </w:r>
      <w:r w:rsidRPr="00647E80">
        <w:rPr>
          <w:sz w:val="24"/>
          <w:szCs w:val="24"/>
        </w:rPr>
        <w:t xml:space="preserve"> supažindint</w:t>
      </w:r>
      <w:r>
        <w:rPr>
          <w:sz w:val="24"/>
          <w:szCs w:val="24"/>
        </w:rPr>
        <w:t>i</w:t>
      </w:r>
      <w:r w:rsidRPr="00647E80">
        <w:rPr>
          <w:sz w:val="24"/>
          <w:szCs w:val="24"/>
        </w:rPr>
        <w:t xml:space="preserve"> su nuomos pakeitimo sąlygų pasekmėmis ir galimybėmis. </w:t>
      </w:r>
      <w:r>
        <w:rPr>
          <w:sz w:val="24"/>
          <w:szCs w:val="24"/>
        </w:rPr>
        <w:t xml:space="preserve"> </w:t>
      </w:r>
    </w:p>
    <w:p w14:paraId="04386E36" w14:textId="77777777" w:rsidR="005F3950" w:rsidRDefault="005F3950" w:rsidP="005F3950">
      <w:pPr>
        <w:ind w:firstLine="780"/>
        <w:jc w:val="both"/>
        <w:rPr>
          <w:b/>
          <w:sz w:val="24"/>
          <w:szCs w:val="24"/>
        </w:rPr>
      </w:pPr>
      <w:r w:rsidRPr="00B32970">
        <w:rPr>
          <w:b/>
          <w:sz w:val="24"/>
          <w:szCs w:val="24"/>
        </w:rPr>
        <w:t>3. Sprendimo priėmimo būtinumo pagrindimas.</w:t>
      </w:r>
    </w:p>
    <w:p w14:paraId="04386E37" w14:textId="77777777" w:rsidR="005F3950" w:rsidRDefault="005F3950" w:rsidP="005F3950">
      <w:pPr>
        <w:ind w:firstLine="720"/>
        <w:jc w:val="both"/>
        <w:rPr>
          <w:sz w:val="24"/>
          <w:szCs w:val="24"/>
        </w:rPr>
      </w:pPr>
      <w:r>
        <w:rPr>
          <w:sz w:val="24"/>
          <w:szCs w:val="24"/>
        </w:rPr>
        <w:t>Tarybai priėmus sprendimą, bus įgyvendintos Įstatymo nuostatos.</w:t>
      </w:r>
    </w:p>
    <w:p w14:paraId="04386E38" w14:textId="77777777" w:rsidR="005F3950" w:rsidRDefault="005F3950" w:rsidP="005F3950">
      <w:pPr>
        <w:ind w:firstLine="720"/>
        <w:jc w:val="both"/>
        <w:rPr>
          <w:b/>
          <w:sz w:val="24"/>
          <w:szCs w:val="24"/>
        </w:rPr>
      </w:pPr>
      <w:r w:rsidRPr="00B32970">
        <w:rPr>
          <w:b/>
          <w:sz w:val="24"/>
          <w:szCs w:val="24"/>
        </w:rPr>
        <w:t>4. Skaičiavimai, išlaidų sąmatos, finansavimo šaltiniai.</w:t>
      </w:r>
    </w:p>
    <w:p w14:paraId="04386E39" w14:textId="77777777" w:rsidR="005F3950" w:rsidRPr="001E2F4B" w:rsidRDefault="005F3950" w:rsidP="005F3950">
      <w:pPr>
        <w:ind w:firstLine="720"/>
        <w:jc w:val="both"/>
        <w:rPr>
          <w:sz w:val="24"/>
          <w:szCs w:val="24"/>
        </w:rPr>
      </w:pPr>
      <w:r w:rsidRPr="001E2F4B">
        <w:rPr>
          <w:sz w:val="24"/>
          <w:szCs w:val="24"/>
        </w:rPr>
        <w:t>Savivaldybė išlaidų neturės</w:t>
      </w:r>
      <w:r>
        <w:rPr>
          <w:sz w:val="24"/>
          <w:szCs w:val="24"/>
        </w:rPr>
        <w:t>.</w:t>
      </w:r>
    </w:p>
    <w:p w14:paraId="04386E3A" w14:textId="77777777" w:rsidR="005F3950" w:rsidRPr="00B32970" w:rsidRDefault="005F3950" w:rsidP="005F3950">
      <w:pPr>
        <w:ind w:firstLine="720"/>
        <w:jc w:val="both"/>
        <w:rPr>
          <w:b/>
          <w:sz w:val="24"/>
          <w:szCs w:val="24"/>
        </w:rPr>
      </w:pPr>
      <w:r w:rsidRPr="00B32970">
        <w:rPr>
          <w:b/>
          <w:sz w:val="24"/>
          <w:szCs w:val="24"/>
        </w:rPr>
        <w:lastRenderedPageBreak/>
        <w:t>5. Galimos neigiamos pasekmės priėmus sprendimą, kokių priemonių reikėtų imtis, kad tokių pasekmių būtų išvengta:</w:t>
      </w:r>
    </w:p>
    <w:p w14:paraId="04386E3B" w14:textId="77777777" w:rsidR="005F3950" w:rsidRDefault="005F3950" w:rsidP="005F3950">
      <w:pPr>
        <w:ind w:firstLine="720"/>
        <w:jc w:val="both"/>
        <w:rPr>
          <w:sz w:val="24"/>
          <w:szCs w:val="24"/>
        </w:rPr>
      </w:pPr>
      <w:r w:rsidRPr="00B32970">
        <w:rPr>
          <w:sz w:val="24"/>
          <w:szCs w:val="24"/>
        </w:rPr>
        <w:t>Neigiamų pasekmių nenumatoma.</w:t>
      </w:r>
    </w:p>
    <w:p w14:paraId="04386E3C" w14:textId="77777777" w:rsidR="005F3950" w:rsidRPr="00B32970" w:rsidRDefault="005F3950" w:rsidP="005F3950">
      <w:pPr>
        <w:tabs>
          <w:tab w:val="left" w:pos="780"/>
        </w:tabs>
        <w:jc w:val="both"/>
        <w:rPr>
          <w:b/>
          <w:sz w:val="24"/>
          <w:szCs w:val="24"/>
        </w:rPr>
      </w:pPr>
      <w:r>
        <w:rPr>
          <w:sz w:val="24"/>
          <w:szCs w:val="24"/>
        </w:rPr>
        <w:tab/>
      </w:r>
      <w:r w:rsidRPr="00B32970">
        <w:rPr>
          <w:b/>
          <w:sz w:val="24"/>
          <w:szCs w:val="24"/>
        </w:rPr>
        <w:t>6. Kieno iniciatyva parengtas sprendimo projektas.</w:t>
      </w:r>
    </w:p>
    <w:p w14:paraId="04386E3D" w14:textId="77777777" w:rsidR="005F3950" w:rsidRDefault="005F3950" w:rsidP="005F3950">
      <w:pPr>
        <w:ind w:firstLine="780"/>
        <w:jc w:val="both"/>
        <w:rPr>
          <w:sz w:val="24"/>
          <w:szCs w:val="24"/>
        </w:rPr>
      </w:pPr>
      <w:r w:rsidRPr="00B32970">
        <w:rPr>
          <w:sz w:val="24"/>
          <w:szCs w:val="24"/>
        </w:rPr>
        <w:t xml:space="preserve">Sprendimo projektą parengė </w:t>
      </w:r>
      <w:r>
        <w:rPr>
          <w:sz w:val="24"/>
          <w:szCs w:val="24"/>
        </w:rPr>
        <w:t>Miesto infrastruktūros skyrius.</w:t>
      </w:r>
    </w:p>
    <w:p w14:paraId="04386E3E" w14:textId="77777777" w:rsidR="005F3950" w:rsidRDefault="005F3950" w:rsidP="005F3950">
      <w:pPr>
        <w:jc w:val="both"/>
        <w:rPr>
          <w:sz w:val="24"/>
          <w:szCs w:val="24"/>
        </w:rPr>
      </w:pPr>
      <w:r w:rsidRPr="00B32970">
        <w:rPr>
          <w:sz w:val="24"/>
          <w:szCs w:val="24"/>
        </w:rPr>
        <w:tab/>
      </w:r>
      <w:r w:rsidRPr="00B32970">
        <w:rPr>
          <w:sz w:val="24"/>
          <w:szCs w:val="24"/>
        </w:rPr>
        <w:tab/>
      </w:r>
    </w:p>
    <w:p w14:paraId="04386E3F" w14:textId="77777777" w:rsidR="005F3950" w:rsidRPr="009E79FE" w:rsidRDefault="005F3950" w:rsidP="005F3950">
      <w:pPr>
        <w:tabs>
          <w:tab w:val="left" w:pos="709"/>
        </w:tabs>
        <w:jc w:val="both"/>
        <w:rPr>
          <w:sz w:val="24"/>
          <w:szCs w:val="24"/>
        </w:rPr>
      </w:pPr>
      <w:r>
        <w:rPr>
          <w:sz w:val="24"/>
          <w:szCs w:val="24"/>
        </w:rPr>
        <w:t xml:space="preserve">Kadangi asmenų duomenys neskelbiami, todėl su pateiktais dokumentais galima susipažinti Miesto infrastruktūros skyriaus 324 kab. </w:t>
      </w:r>
    </w:p>
    <w:p w14:paraId="04386E40" w14:textId="77777777" w:rsidR="005F3950" w:rsidRDefault="005F3950" w:rsidP="005F3950">
      <w:pPr>
        <w:jc w:val="both"/>
      </w:pPr>
    </w:p>
    <w:p w14:paraId="04386E41" w14:textId="77777777" w:rsidR="005F3950" w:rsidRPr="00984974" w:rsidRDefault="005F3950" w:rsidP="005F3950">
      <w:pPr>
        <w:tabs>
          <w:tab w:val="left" w:pos="851"/>
        </w:tabs>
        <w:jc w:val="both"/>
        <w:rPr>
          <w:sz w:val="24"/>
          <w:szCs w:val="24"/>
        </w:rPr>
      </w:pPr>
    </w:p>
    <w:p w14:paraId="04386E42" w14:textId="77777777" w:rsidR="005F3950" w:rsidRDefault="005F3950" w:rsidP="005F3950">
      <w:pPr>
        <w:jc w:val="both"/>
        <w:rPr>
          <w:sz w:val="24"/>
          <w:szCs w:val="24"/>
        </w:rPr>
      </w:pPr>
      <w:r>
        <w:rPr>
          <w:sz w:val="24"/>
          <w:szCs w:val="24"/>
        </w:rPr>
        <w:t>Miesto infrastruktūros skyriaus</w:t>
      </w:r>
    </w:p>
    <w:p w14:paraId="04386E43" w14:textId="77777777" w:rsidR="005F3950" w:rsidRDefault="005F3950" w:rsidP="005F3950">
      <w:pPr>
        <w:jc w:val="both"/>
      </w:pPr>
      <w:r w:rsidRPr="00B32970">
        <w:rPr>
          <w:sz w:val="24"/>
          <w:szCs w:val="24"/>
        </w:rPr>
        <w:t>vyr</w:t>
      </w:r>
      <w:r>
        <w:rPr>
          <w:sz w:val="24"/>
          <w:szCs w:val="24"/>
        </w:rPr>
        <w:t xml:space="preserve">iausioji specialistė    </w:t>
      </w:r>
      <w:r w:rsidRPr="00B32970">
        <w:rPr>
          <w:sz w:val="24"/>
          <w:szCs w:val="24"/>
        </w:rPr>
        <w:t xml:space="preserve">   </w:t>
      </w:r>
      <w:r w:rsidRPr="00B32970">
        <w:rPr>
          <w:sz w:val="24"/>
          <w:szCs w:val="24"/>
        </w:rPr>
        <w:tab/>
      </w:r>
      <w:r w:rsidRPr="00B32970">
        <w:rPr>
          <w:sz w:val="24"/>
          <w:szCs w:val="24"/>
        </w:rPr>
        <w:tab/>
      </w:r>
      <w:r w:rsidRPr="00B32970">
        <w:rPr>
          <w:sz w:val="24"/>
          <w:szCs w:val="24"/>
        </w:rPr>
        <w:tab/>
        <w:t xml:space="preserve">     </w:t>
      </w:r>
      <w:r w:rsidRPr="00B32970">
        <w:rPr>
          <w:sz w:val="24"/>
          <w:szCs w:val="24"/>
        </w:rPr>
        <w:tab/>
      </w:r>
      <w:r>
        <w:rPr>
          <w:sz w:val="24"/>
          <w:szCs w:val="24"/>
        </w:rPr>
        <w:t>Rasa Rimšienė</w:t>
      </w:r>
    </w:p>
    <w:p w14:paraId="04386E44" w14:textId="77777777" w:rsidR="0037357A" w:rsidRDefault="0037357A"/>
    <w:sectPr w:rsidR="0037357A" w:rsidSect="00FD02D8">
      <w:pgSz w:w="11909" w:h="16834"/>
      <w:pgMar w:top="864" w:right="720" w:bottom="720" w:left="1701" w:header="1797" w:footer="1797" w:gutter="0"/>
      <w:cols w:space="1296"/>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950"/>
    <w:rsid w:val="0037357A"/>
    <w:rsid w:val="005F3950"/>
    <w:rsid w:val="00880BF2"/>
    <w:rsid w:val="008C276A"/>
    <w:rsid w:val="00AA10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86E24"/>
  <w15:chartTrackingRefBased/>
  <w15:docId w15:val="{DA3C3F74-EC1C-4996-9C55-D8562B982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F3950"/>
    <w:rPr>
      <w:rFonts w:eastAsia="Times New Roman" w:cs="Times New Roman"/>
      <w:sz w:val="20"/>
      <w:szCs w:val="20"/>
    </w:rPr>
  </w:style>
  <w:style w:type="paragraph" w:styleId="Antrat2">
    <w:name w:val="heading 2"/>
    <w:basedOn w:val="prastasis"/>
    <w:next w:val="prastasis"/>
    <w:link w:val="Antrat2Diagrama"/>
    <w:qFormat/>
    <w:rsid w:val="005F3950"/>
    <w:pPr>
      <w:keepNext/>
      <w:jc w:val="center"/>
      <w:outlineLvl w:val="1"/>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5F3950"/>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2728</Words>
  <Characters>1555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2023-09-12T04:55:00Z</dcterms:created>
  <dcterms:modified xsi:type="dcterms:W3CDTF">2023-09-12T04:55:00Z</dcterms:modified>
</cp:coreProperties>
</file>