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00" w:rsidRPr="002371FE" w:rsidRDefault="007C0200" w:rsidP="007C02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MERO RYČIO MYKOLO RAČKAUSKO </w:t>
      </w:r>
      <w:r w:rsidRPr="002371FE">
        <w:rPr>
          <w:b/>
          <w:sz w:val="24"/>
          <w:szCs w:val="24"/>
        </w:rPr>
        <w:t xml:space="preserve">KOMANDIRUOTĖS </w:t>
      </w:r>
      <w:r>
        <w:rPr>
          <w:b/>
          <w:sz w:val="24"/>
          <w:szCs w:val="24"/>
        </w:rPr>
        <w:t xml:space="preserve">AMARANTĖJE </w:t>
      </w:r>
      <w:r w:rsidRPr="002371FE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PORTUGALIJA)</w:t>
      </w:r>
      <w:r w:rsidRPr="002371FE">
        <w:rPr>
          <w:b/>
          <w:sz w:val="24"/>
          <w:szCs w:val="24"/>
        </w:rPr>
        <w:t xml:space="preserve"> ATASKAITA</w:t>
      </w:r>
    </w:p>
    <w:p w:rsidR="007C0200" w:rsidRPr="002371FE" w:rsidRDefault="007C0200" w:rsidP="007C02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2023 10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</w:p>
    <w:p w:rsidR="007C0200" w:rsidRPr="00A53021" w:rsidRDefault="007C0200" w:rsidP="007C020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7C0200" w:rsidRPr="00D8332F" w:rsidTr="00F7740F">
        <w:tc>
          <w:tcPr>
            <w:tcW w:w="4106" w:type="dxa"/>
            <w:shd w:val="clear" w:color="auto" w:fill="auto"/>
          </w:tcPr>
          <w:p w:rsidR="007C0200" w:rsidRDefault="007C0200" w:rsidP="00F7740F">
            <w:pPr>
              <w:ind w:left="360"/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7C0200" w:rsidRPr="00D8332F" w:rsidRDefault="007C0200" w:rsidP="00F7740F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7C0200" w:rsidRDefault="007C0200" w:rsidP="00F7740F">
            <w:pPr>
              <w:jc w:val="center"/>
              <w:rPr>
                <w:sz w:val="24"/>
                <w:szCs w:val="24"/>
              </w:rPr>
            </w:pPr>
          </w:p>
          <w:p w:rsidR="007C0200" w:rsidRDefault="007C0200" w:rsidP="00F77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2023 m. </w:t>
            </w:r>
            <w:r>
              <w:rPr>
                <w:sz w:val="24"/>
                <w:szCs w:val="24"/>
              </w:rPr>
              <w:t>spalio 2</w:t>
            </w:r>
            <w:r>
              <w:rPr>
                <w:sz w:val="24"/>
                <w:szCs w:val="24"/>
              </w:rPr>
              <w:t xml:space="preserve">4–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7 d. </w:t>
            </w:r>
          </w:p>
          <w:p w:rsidR="007C0200" w:rsidRPr="00D8332F" w:rsidRDefault="007C0200" w:rsidP="00F774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C0200" w:rsidRPr="00D8332F" w:rsidTr="00F7740F">
        <w:tc>
          <w:tcPr>
            <w:tcW w:w="4106" w:type="dxa"/>
            <w:shd w:val="clear" w:color="auto" w:fill="auto"/>
          </w:tcPr>
          <w:p w:rsidR="007C0200" w:rsidRDefault="007C0200" w:rsidP="00F7740F">
            <w:pPr>
              <w:ind w:left="360"/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7C0200" w:rsidRDefault="007C0200" w:rsidP="00F7740F">
            <w:pPr>
              <w:jc w:val="center"/>
              <w:rPr>
                <w:sz w:val="24"/>
                <w:szCs w:val="24"/>
              </w:rPr>
            </w:pPr>
          </w:p>
          <w:p w:rsidR="007C0200" w:rsidRDefault="007C0200" w:rsidP="007C0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ES </w:t>
            </w:r>
            <w:r w:rsidRPr="006E1567">
              <w:rPr>
                <w:sz w:val="24"/>
                <w:szCs w:val="24"/>
              </w:rPr>
              <w:t>„</w:t>
            </w:r>
            <w:r w:rsidRPr="006E1567">
              <w:rPr>
                <w:rFonts w:ascii="TimesNewRomanPSMT" w:hAnsi="TimesNewRomanPSMT" w:cs="TimesNewRomanPSMT"/>
                <w:sz w:val="24"/>
                <w:szCs w:val="24"/>
              </w:rPr>
              <w:t>Piliečių, lygybės, teisių ir vertybių</w:t>
            </w:r>
            <w:r>
              <w:rPr>
                <w:sz w:val="24"/>
                <w:szCs w:val="24"/>
              </w:rPr>
              <w:t>“</w:t>
            </w:r>
            <w:proofErr w:type="gramStart"/>
            <w:r w:rsidRPr="006E1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>programos finansuojamo tarptautinio projekto „</w:t>
            </w:r>
            <w:r>
              <w:rPr>
                <w:sz w:val="24"/>
                <w:szCs w:val="24"/>
              </w:rPr>
              <w:t>Įtrauki ES</w:t>
            </w:r>
            <w:r>
              <w:rPr>
                <w:sz w:val="24"/>
                <w:szCs w:val="24"/>
              </w:rPr>
              <w:t xml:space="preserve">“ </w:t>
            </w:r>
            <w:r>
              <w:rPr>
                <w:sz w:val="24"/>
                <w:szCs w:val="24"/>
              </w:rPr>
              <w:t>šeš</w:t>
            </w:r>
            <w:r>
              <w:rPr>
                <w:sz w:val="24"/>
                <w:szCs w:val="24"/>
              </w:rPr>
              <w:t>tasis partnerių susitikimas.</w:t>
            </w:r>
          </w:p>
          <w:p w:rsidR="00025683" w:rsidRPr="00D8332F" w:rsidRDefault="00025683" w:rsidP="007C0200">
            <w:pPr>
              <w:jc w:val="both"/>
              <w:rPr>
                <w:sz w:val="24"/>
                <w:szCs w:val="24"/>
              </w:rPr>
            </w:pPr>
          </w:p>
        </w:tc>
      </w:tr>
      <w:tr w:rsidR="007C0200" w:rsidRPr="00D8332F" w:rsidTr="00F7740F">
        <w:tc>
          <w:tcPr>
            <w:tcW w:w="4106" w:type="dxa"/>
            <w:shd w:val="clear" w:color="auto" w:fill="auto"/>
          </w:tcPr>
          <w:p w:rsidR="007C0200" w:rsidRDefault="007C0200" w:rsidP="00F7740F">
            <w:pPr>
              <w:ind w:left="360"/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7C0200" w:rsidRDefault="007C0200" w:rsidP="00F7740F">
            <w:pPr>
              <w:jc w:val="both"/>
              <w:rPr>
                <w:sz w:val="24"/>
                <w:szCs w:val="24"/>
              </w:rPr>
            </w:pPr>
          </w:p>
          <w:p w:rsidR="007C0200" w:rsidRDefault="007C0200" w:rsidP="00F7740F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Dalyvauti</w:t>
            </w:r>
            <w:r w:rsidRPr="003230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tarptautinio projekto „</w:t>
            </w:r>
            <w:r>
              <w:rPr>
                <w:sz w:val="24"/>
                <w:szCs w:val="24"/>
              </w:rPr>
              <w:t>Įtrauki ES</w:t>
            </w:r>
            <w:r>
              <w:rPr>
                <w:sz w:val="24"/>
                <w:szCs w:val="24"/>
              </w:rPr>
              <w:t xml:space="preserve">“ partnerių susitikime, projekto veiklose, atstovauti Panevėžiui.  </w:t>
            </w:r>
          </w:p>
          <w:p w:rsidR="007C0200" w:rsidRPr="00D8332F" w:rsidRDefault="007C0200" w:rsidP="00F7740F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7C0200" w:rsidRPr="00D8332F" w:rsidTr="00F7740F">
        <w:tc>
          <w:tcPr>
            <w:tcW w:w="4106" w:type="dxa"/>
            <w:shd w:val="clear" w:color="auto" w:fill="auto"/>
          </w:tcPr>
          <w:p w:rsidR="007C0200" w:rsidRDefault="007C0200" w:rsidP="00F7740F">
            <w:pPr>
              <w:ind w:left="360"/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7C0200" w:rsidRDefault="007C0200" w:rsidP="00F7740F"/>
          <w:p w:rsidR="007C0200" w:rsidRDefault="007C0200" w:rsidP="00F7740F"/>
          <w:p w:rsidR="007C0200" w:rsidRPr="00B92537" w:rsidRDefault="007C0200" w:rsidP="00F7740F"/>
        </w:tc>
        <w:tc>
          <w:tcPr>
            <w:tcW w:w="5522" w:type="dxa"/>
            <w:shd w:val="clear" w:color="auto" w:fill="auto"/>
          </w:tcPr>
          <w:p w:rsidR="007C0200" w:rsidRDefault="007C0200" w:rsidP="00F7740F">
            <w:pPr>
              <w:jc w:val="both"/>
              <w:rPr>
                <w:sz w:val="24"/>
                <w:szCs w:val="24"/>
              </w:rPr>
            </w:pPr>
          </w:p>
          <w:p w:rsidR="0079071F" w:rsidRDefault="007C0200" w:rsidP="00F7740F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Partnerių susitikime dalyvavo Italijos,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Ispanijos, Portugalijos, </w:t>
            </w:r>
            <w:r>
              <w:rPr>
                <w:sz w:val="24"/>
                <w:szCs w:val="24"/>
              </w:rPr>
              <w:t xml:space="preserve">Nyderlandų, Graikijos, </w:t>
            </w:r>
            <w:r>
              <w:rPr>
                <w:sz w:val="24"/>
                <w:szCs w:val="24"/>
              </w:rPr>
              <w:t>Bulgarijos</w:t>
            </w:r>
            <w:r>
              <w:rPr>
                <w:sz w:val="24"/>
                <w:szCs w:val="24"/>
              </w:rPr>
              <w:t>, Vengrijos</w:t>
            </w:r>
            <w:r>
              <w:rPr>
                <w:sz w:val="24"/>
                <w:szCs w:val="24"/>
              </w:rPr>
              <w:t xml:space="preserve"> savivaldybių atstovai. Susitikimo ir projekto veiklų pagrindinė tema– </w:t>
            </w:r>
            <w:r w:rsidR="0079071F">
              <w:rPr>
                <w:sz w:val="24"/>
                <w:szCs w:val="24"/>
              </w:rPr>
              <w:t>Piliečių dalyvavimas ir Europos piliečių teisės savivaldos strategijose</w:t>
            </w:r>
            <w:r w:rsidR="00025683">
              <w:rPr>
                <w:sz w:val="24"/>
                <w:szCs w:val="24"/>
              </w:rPr>
              <w:t xml:space="preserve">, </w:t>
            </w:r>
            <w:r w:rsidR="00025683" w:rsidRPr="006E1567">
              <w:rPr>
                <w:sz w:val="24"/>
                <w:szCs w:val="24"/>
              </w:rPr>
              <w:t>piliečių aktyvumo ir pilietiškumo skatinimas</w:t>
            </w:r>
            <w:r w:rsidR="00025683">
              <w:rPr>
                <w:sz w:val="24"/>
                <w:szCs w:val="24"/>
              </w:rPr>
              <w:t>, ES vertybės</w:t>
            </w:r>
            <w:r w:rsidR="0079071F">
              <w:rPr>
                <w:sz w:val="24"/>
                <w:szCs w:val="24"/>
              </w:rPr>
              <w:t>. Aptarta visų projekte dalyvaujančių partnerių patirtis jų savivaldybėse,</w:t>
            </w:r>
            <w:r w:rsidR="00B5518C">
              <w:rPr>
                <w:sz w:val="24"/>
                <w:szCs w:val="24"/>
              </w:rPr>
              <w:t xml:space="preserve"> pristatyta Panevėžio patirtis, </w:t>
            </w:r>
            <w:r w:rsidR="0079071F">
              <w:rPr>
                <w:sz w:val="24"/>
                <w:szCs w:val="24"/>
              </w:rPr>
              <w:t>dalyvauta diskusijose</w:t>
            </w:r>
            <w:r w:rsidR="00B5518C">
              <w:rPr>
                <w:sz w:val="24"/>
                <w:szCs w:val="24"/>
              </w:rPr>
              <w:t xml:space="preserve">. </w:t>
            </w:r>
            <w:r w:rsidR="0079071F">
              <w:rPr>
                <w:sz w:val="24"/>
                <w:szCs w:val="24"/>
              </w:rPr>
              <w:t xml:space="preserve">Susipažinta su </w:t>
            </w:r>
            <w:proofErr w:type="spellStart"/>
            <w:r w:rsidR="0079071F">
              <w:rPr>
                <w:sz w:val="24"/>
                <w:szCs w:val="24"/>
              </w:rPr>
              <w:t>Amarantės</w:t>
            </w:r>
            <w:proofErr w:type="spellEnd"/>
            <w:r w:rsidR="0079071F">
              <w:rPr>
                <w:sz w:val="24"/>
                <w:szCs w:val="24"/>
              </w:rPr>
              <w:t xml:space="preserve"> patirtimi ir strategija įgyvendinant neįgalių žmonių, senjorų teises</w:t>
            </w:r>
            <w:r w:rsidR="00B5518C">
              <w:rPr>
                <w:sz w:val="24"/>
                <w:szCs w:val="24"/>
              </w:rPr>
              <w:t xml:space="preserve">. Pasirašyta deklaracija dėl piliečių dalyvavimo ir Europos piliečių teisių įtraukimo į savivaldybės strategiją. Dalyvauta projekto partnerių tinklo sukūrimo ir tinklo Statuto kūrimo aptarime.    </w:t>
            </w:r>
          </w:p>
          <w:p w:rsidR="007C0200" w:rsidRPr="00D8332F" w:rsidRDefault="007C0200" w:rsidP="00F7740F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7C0200" w:rsidRPr="00D8332F" w:rsidTr="00F7740F">
        <w:tc>
          <w:tcPr>
            <w:tcW w:w="4106" w:type="dxa"/>
            <w:shd w:val="clear" w:color="auto" w:fill="auto"/>
          </w:tcPr>
          <w:p w:rsidR="007C0200" w:rsidRDefault="007C0200" w:rsidP="00F7740F">
            <w:pPr>
              <w:ind w:left="360"/>
              <w:rPr>
                <w:b/>
                <w:sz w:val="24"/>
                <w:szCs w:val="24"/>
              </w:rPr>
            </w:pPr>
          </w:p>
          <w:p w:rsidR="007C0200" w:rsidRDefault="007C0200" w:rsidP="00F7740F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  <w:p w:rsidR="007C0200" w:rsidRPr="00D8332F" w:rsidRDefault="007C0200" w:rsidP="00F7740F">
            <w:pPr>
              <w:rPr>
                <w:b/>
                <w:sz w:val="24"/>
                <w:szCs w:val="24"/>
              </w:rPr>
            </w:pPr>
          </w:p>
        </w:tc>
        <w:tc>
          <w:tcPr>
            <w:tcW w:w="5522" w:type="dxa"/>
            <w:shd w:val="clear" w:color="auto" w:fill="auto"/>
          </w:tcPr>
          <w:p w:rsidR="007C0200" w:rsidRDefault="007C0200" w:rsidP="00F7740F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7C0200" w:rsidRDefault="007C0200" w:rsidP="007C02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Komandiruotės metu</w:t>
            </w:r>
            <w:r w:rsidRPr="00AF063D">
              <w:rPr>
                <w:b/>
                <w:sz w:val="24"/>
                <w:szCs w:val="24"/>
              </w:rPr>
              <w:t xml:space="preserve"> </w:t>
            </w:r>
            <w:r w:rsidRPr="00AF063D">
              <w:rPr>
                <w:sz w:val="24"/>
                <w:szCs w:val="24"/>
              </w:rPr>
              <w:t>buvo</w:t>
            </w:r>
            <w:r>
              <w:rPr>
                <w:sz w:val="24"/>
                <w:szCs w:val="24"/>
              </w:rPr>
              <w:t xml:space="preserve"> gauta informacija apie projekto įgyvendinimą, numatomas veiklas,</w:t>
            </w:r>
            <w:r w:rsidRPr="00AF063D">
              <w:rPr>
                <w:sz w:val="24"/>
                <w:szCs w:val="24"/>
              </w:rPr>
              <w:t xml:space="preserve"> užmegzti kontaktai su </w:t>
            </w:r>
            <w:r>
              <w:rPr>
                <w:sz w:val="24"/>
                <w:szCs w:val="24"/>
              </w:rPr>
              <w:t xml:space="preserve">užsienio kolegomis, atstovauta Panevėžiui, dalyvauta diskusijose, pristatyta Panevėžio patirtis, </w:t>
            </w:r>
            <w:r w:rsidR="00025683">
              <w:rPr>
                <w:sz w:val="24"/>
                <w:szCs w:val="24"/>
              </w:rPr>
              <w:t>pasirašyta Deklaracija.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  <w:p w:rsidR="007C0200" w:rsidRDefault="007C0200" w:rsidP="00F7740F">
            <w:pPr>
              <w:jc w:val="both"/>
              <w:rPr>
                <w:sz w:val="24"/>
                <w:szCs w:val="24"/>
              </w:rPr>
            </w:pPr>
          </w:p>
          <w:p w:rsidR="007C0200" w:rsidRPr="00D8332F" w:rsidRDefault="007C0200" w:rsidP="00F774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7C0200" w:rsidRDefault="007C0200" w:rsidP="007C0200"/>
    <w:p w:rsidR="00712225" w:rsidRDefault="00712225"/>
    <w:sectPr w:rsidR="007122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00"/>
    <w:rsid w:val="00025683"/>
    <w:rsid w:val="00712225"/>
    <w:rsid w:val="0079071F"/>
    <w:rsid w:val="007C0200"/>
    <w:rsid w:val="00B5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5A4CC-1213-48FB-B99B-CAE978E5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Vilma Kučytė</cp:lastModifiedBy>
  <cp:revision>2</cp:revision>
  <dcterms:created xsi:type="dcterms:W3CDTF">2023-10-30T07:36:00Z</dcterms:created>
  <dcterms:modified xsi:type="dcterms:W3CDTF">2023-10-30T09:00:00Z</dcterms:modified>
</cp:coreProperties>
</file>