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9A36" w14:textId="77777777" w:rsidR="00E35DE6" w:rsidRDefault="00E33E2B">
      <w:pPr>
        <w:spacing w:after="290" w:line="259" w:lineRule="auto"/>
        <w:ind w:left="4359" w:right="0" w:firstLine="0"/>
        <w:jc w:val="left"/>
      </w:pPr>
      <w:bookmarkStart w:id="0" w:name="_GoBack"/>
      <w:bookmarkEnd w:id="0"/>
      <w:r>
        <w:rPr>
          <w:noProof/>
        </w:rPr>
        <w:drawing>
          <wp:inline distT="0" distB="0" distL="0" distR="0" wp14:anchorId="5721D0F0" wp14:editId="47596286">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491490" cy="603885"/>
                    </a:xfrm>
                    <a:prstGeom prst="rect">
                      <a:avLst/>
                    </a:prstGeom>
                  </pic:spPr>
                </pic:pic>
              </a:graphicData>
            </a:graphic>
          </wp:inline>
        </w:drawing>
      </w:r>
    </w:p>
    <w:p w14:paraId="12B1D081" w14:textId="77777777" w:rsidR="00E35DE6" w:rsidRPr="00D9334A" w:rsidRDefault="00E33E2B">
      <w:pPr>
        <w:spacing w:after="467" w:line="259" w:lineRule="auto"/>
        <w:ind w:left="0" w:right="3" w:firstLine="0"/>
        <w:jc w:val="center"/>
        <w:rPr>
          <w:rFonts w:ascii="Times New Roman" w:hAnsi="Times New Roman" w:cs="Times New Roman"/>
        </w:rPr>
      </w:pPr>
      <w:r w:rsidRPr="00D9334A">
        <w:rPr>
          <w:rFonts w:ascii="Times New Roman" w:hAnsi="Times New Roman" w:cs="Times New Roman"/>
          <w:b/>
          <w:sz w:val="28"/>
        </w:rPr>
        <w:t>PANEVĖŽIO MIESTO SAVIVALDYBĖS TARYBA</w:t>
      </w:r>
    </w:p>
    <w:p w14:paraId="4A9891E5" w14:textId="77777777" w:rsidR="00E35DE6" w:rsidRPr="00D9334A" w:rsidRDefault="00E33E2B" w:rsidP="004A583C">
      <w:pPr>
        <w:spacing w:after="0" w:line="240" w:lineRule="auto"/>
        <w:ind w:left="11" w:right="0" w:hanging="11"/>
        <w:jc w:val="center"/>
        <w:rPr>
          <w:rFonts w:ascii="Times New Roman" w:hAnsi="Times New Roman" w:cs="Times New Roman"/>
        </w:rPr>
      </w:pPr>
      <w:r w:rsidRPr="00D9334A">
        <w:rPr>
          <w:rFonts w:ascii="Times New Roman" w:hAnsi="Times New Roman" w:cs="Times New Roman"/>
          <w:b/>
        </w:rPr>
        <w:t>SPRENDIMAS</w:t>
      </w:r>
    </w:p>
    <w:p w14:paraId="065B3491" w14:textId="77777777" w:rsidR="004A583C" w:rsidRDefault="00E33E2B" w:rsidP="004A583C">
      <w:pPr>
        <w:spacing w:after="0" w:line="240" w:lineRule="auto"/>
        <w:ind w:left="11" w:right="0" w:hanging="11"/>
        <w:jc w:val="center"/>
        <w:rPr>
          <w:rFonts w:ascii="Times New Roman" w:hAnsi="Times New Roman" w:cs="Times New Roman"/>
          <w:b/>
        </w:rPr>
      </w:pPr>
      <w:r w:rsidRPr="00D9334A">
        <w:rPr>
          <w:rFonts w:ascii="Times New Roman" w:hAnsi="Times New Roman" w:cs="Times New Roman"/>
          <w:b/>
        </w:rPr>
        <w:t>DĖL</w:t>
      </w:r>
      <w:r w:rsidRPr="00D9334A">
        <w:rPr>
          <w:rFonts w:ascii="Times New Roman" w:hAnsi="Times New Roman" w:cs="Times New Roman"/>
          <w:b/>
          <w:sz w:val="20"/>
        </w:rPr>
        <w:t xml:space="preserve"> </w:t>
      </w:r>
      <w:r w:rsidRPr="00D9334A">
        <w:rPr>
          <w:rFonts w:ascii="Times New Roman" w:hAnsi="Times New Roman" w:cs="Times New Roman"/>
          <w:b/>
        </w:rPr>
        <w:t>SAVIVALDYBĖS TARYBOS 2015 M. VASARIO 23 D. SPRENDIMO NR. 1-34 „DĖL</w:t>
      </w:r>
      <w:r w:rsidR="004A583C">
        <w:rPr>
          <w:rFonts w:ascii="Times New Roman" w:hAnsi="Times New Roman" w:cs="Times New Roman"/>
          <w:b/>
        </w:rPr>
        <w:t xml:space="preserve"> </w:t>
      </w:r>
      <w:r w:rsidRPr="00D9334A">
        <w:rPr>
          <w:rFonts w:ascii="Times New Roman" w:hAnsi="Times New Roman" w:cs="Times New Roman"/>
          <w:b/>
        </w:rPr>
        <w:t>MOKĖJIMO UŽ SOCIALINES PASLAUGAS TVARKOS APRAŠO PATVIRTINIMO IR</w:t>
      </w:r>
      <w:r w:rsidR="004A583C">
        <w:rPr>
          <w:rFonts w:ascii="Times New Roman" w:hAnsi="Times New Roman" w:cs="Times New Roman"/>
          <w:b/>
        </w:rPr>
        <w:t xml:space="preserve"> </w:t>
      </w:r>
      <w:r w:rsidRPr="00D9334A">
        <w:rPr>
          <w:rFonts w:ascii="Times New Roman" w:hAnsi="Times New Roman" w:cs="Times New Roman"/>
          <w:b/>
        </w:rPr>
        <w:t>SAVIVALDYBĖS TARYBOS 2010 M. RUGSĖJO 28 D. SPRENDIMO NR. 1-60-13</w:t>
      </w:r>
      <w:r w:rsidR="004A583C">
        <w:rPr>
          <w:rFonts w:ascii="Times New Roman" w:hAnsi="Times New Roman" w:cs="Times New Roman"/>
          <w:b/>
        </w:rPr>
        <w:t xml:space="preserve"> </w:t>
      </w:r>
    </w:p>
    <w:p w14:paraId="108B54FF" w14:textId="19344C2E" w:rsidR="00E35DE6" w:rsidRPr="00D9334A" w:rsidRDefault="00E33E2B" w:rsidP="004A583C">
      <w:pPr>
        <w:spacing w:after="0" w:line="240" w:lineRule="auto"/>
        <w:ind w:left="11" w:right="0" w:hanging="11"/>
        <w:jc w:val="center"/>
        <w:rPr>
          <w:rFonts w:ascii="Times New Roman" w:hAnsi="Times New Roman" w:cs="Times New Roman"/>
        </w:rPr>
      </w:pPr>
      <w:r w:rsidRPr="00D9334A">
        <w:rPr>
          <w:rFonts w:ascii="Times New Roman" w:hAnsi="Times New Roman" w:cs="Times New Roman"/>
          <w:b/>
        </w:rPr>
        <w:t>1 PUNKTO PRIPAŽINIMO NETEKUSIU GALIOS“ PAKEITIMO</w:t>
      </w:r>
    </w:p>
    <w:p w14:paraId="4C486798" w14:textId="77777777" w:rsidR="00C614F4" w:rsidRDefault="00C614F4" w:rsidP="00C614F4">
      <w:pPr>
        <w:spacing w:after="0" w:line="226" w:lineRule="auto"/>
        <w:ind w:left="2875" w:right="2869" w:firstLine="0"/>
        <w:jc w:val="center"/>
        <w:rPr>
          <w:rFonts w:ascii="Times New Roman" w:hAnsi="Times New Roman" w:cs="Times New Roman"/>
        </w:rPr>
      </w:pPr>
    </w:p>
    <w:p w14:paraId="1EDF9867" w14:textId="77777777" w:rsidR="004A583C" w:rsidRPr="004A583C" w:rsidRDefault="004A583C" w:rsidP="004A583C">
      <w:pPr>
        <w:spacing w:after="0" w:line="226" w:lineRule="auto"/>
        <w:ind w:left="2875" w:right="2869" w:firstLine="0"/>
        <w:jc w:val="center"/>
        <w:rPr>
          <w:rFonts w:ascii="Times New Roman" w:hAnsi="Times New Roman" w:cs="Times New Roman"/>
        </w:rPr>
      </w:pPr>
      <w:r w:rsidRPr="004A583C">
        <w:rPr>
          <w:rFonts w:ascii="Times New Roman" w:hAnsi="Times New Roman" w:cs="Times New Roman"/>
        </w:rPr>
        <w:fldChar w:fldCharType="begin">
          <w:ffData>
            <w:name w:val="registravimoDataIlga"/>
            <w:enabled/>
            <w:calcOnExit w:val="0"/>
            <w:textInput/>
          </w:ffData>
        </w:fldChar>
      </w:r>
      <w:bookmarkStart w:id="1" w:name="registravimoDataIlga"/>
      <w:r w:rsidRPr="004A583C">
        <w:rPr>
          <w:rFonts w:ascii="Times New Roman" w:hAnsi="Times New Roman" w:cs="Times New Roman"/>
        </w:rPr>
        <w:instrText xml:space="preserve"> FORMTEXT </w:instrText>
      </w:r>
      <w:r w:rsidRPr="004A583C">
        <w:rPr>
          <w:rFonts w:ascii="Times New Roman" w:hAnsi="Times New Roman" w:cs="Times New Roman"/>
        </w:rPr>
      </w:r>
      <w:r w:rsidRPr="004A583C">
        <w:rPr>
          <w:rFonts w:ascii="Times New Roman" w:hAnsi="Times New Roman" w:cs="Times New Roman"/>
        </w:rPr>
        <w:fldChar w:fldCharType="separate"/>
      </w:r>
      <w:r w:rsidRPr="004A583C">
        <w:rPr>
          <w:rFonts w:ascii="Times New Roman" w:hAnsi="Times New Roman" w:cs="Times New Roman"/>
        </w:rPr>
        <w:t>2024 m. sausio 5 d.</w:t>
      </w:r>
      <w:r w:rsidRPr="004A583C">
        <w:rPr>
          <w:rFonts w:ascii="Times New Roman" w:hAnsi="Times New Roman" w:cs="Times New Roman"/>
        </w:rPr>
        <w:fldChar w:fldCharType="end"/>
      </w:r>
      <w:bookmarkEnd w:id="1"/>
      <w:r w:rsidRPr="004A583C">
        <w:rPr>
          <w:rFonts w:ascii="Times New Roman" w:hAnsi="Times New Roman" w:cs="Times New Roman"/>
        </w:rPr>
        <w:t xml:space="preserve"> Nr. </w:t>
      </w:r>
      <w:r w:rsidRPr="004A583C">
        <w:rPr>
          <w:rFonts w:ascii="Times New Roman" w:hAnsi="Times New Roman" w:cs="Times New Roman"/>
        </w:rPr>
        <w:fldChar w:fldCharType="begin">
          <w:ffData>
            <w:name w:val="registravimoNr"/>
            <w:enabled/>
            <w:calcOnExit w:val="0"/>
            <w:textInput/>
          </w:ffData>
        </w:fldChar>
      </w:r>
      <w:bookmarkStart w:id="2" w:name="registravimoNr"/>
      <w:r w:rsidRPr="004A583C">
        <w:rPr>
          <w:rFonts w:ascii="Times New Roman" w:hAnsi="Times New Roman" w:cs="Times New Roman"/>
        </w:rPr>
        <w:instrText xml:space="preserve"> FORMTEXT </w:instrText>
      </w:r>
      <w:r w:rsidRPr="004A583C">
        <w:rPr>
          <w:rFonts w:ascii="Times New Roman" w:hAnsi="Times New Roman" w:cs="Times New Roman"/>
        </w:rPr>
      </w:r>
      <w:r w:rsidRPr="004A583C">
        <w:rPr>
          <w:rFonts w:ascii="Times New Roman" w:hAnsi="Times New Roman" w:cs="Times New Roman"/>
        </w:rPr>
        <w:fldChar w:fldCharType="separate"/>
      </w:r>
      <w:r w:rsidRPr="004A583C">
        <w:rPr>
          <w:rFonts w:ascii="Times New Roman" w:hAnsi="Times New Roman" w:cs="Times New Roman"/>
        </w:rPr>
        <w:t>TSP-23</w:t>
      </w:r>
      <w:r w:rsidRPr="004A583C">
        <w:rPr>
          <w:rFonts w:ascii="Times New Roman" w:hAnsi="Times New Roman" w:cs="Times New Roman"/>
        </w:rPr>
        <w:fldChar w:fldCharType="end"/>
      </w:r>
      <w:bookmarkEnd w:id="2"/>
    </w:p>
    <w:p w14:paraId="72B36E27" w14:textId="77777777" w:rsidR="00E35DE6" w:rsidRPr="00D9334A" w:rsidRDefault="00E33E2B" w:rsidP="00C614F4">
      <w:pPr>
        <w:spacing w:after="0" w:line="226" w:lineRule="auto"/>
        <w:ind w:left="2875" w:right="2869" w:firstLine="0"/>
        <w:jc w:val="center"/>
        <w:rPr>
          <w:rFonts w:ascii="Times New Roman" w:hAnsi="Times New Roman" w:cs="Times New Roman"/>
        </w:rPr>
      </w:pPr>
      <w:r w:rsidRPr="00D9334A">
        <w:rPr>
          <w:rFonts w:ascii="Times New Roman" w:hAnsi="Times New Roman" w:cs="Times New Roman"/>
        </w:rPr>
        <w:t>Panevėžys</w:t>
      </w:r>
    </w:p>
    <w:p w14:paraId="6895C886" w14:textId="77777777" w:rsidR="00C614F4" w:rsidRDefault="00C614F4">
      <w:pPr>
        <w:ind w:left="-15" w:right="0"/>
        <w:rPr>
          <w:rFonts w:ascii="Times New Roman" w:hAnsi="Times New Roman" w:cs="Times New Roman"/>
          <w:szCs w:val="24"/>
        </w:rPr>
      </w:pPr>
    </w:p>
    <w:p w14:paraId="473F54DD" w14:textId="657C27EA" w:rsidR="00E35DE6" w:rsidRPr="00C614F4" w:rsidRDefault="00491CC9" w:rsidP="00653C2B">
      <w:pPr>
        <w:spacing w:after="0" w:line="360" w:lineRule="auto"/>
        <w:ind w:left="-15" w:right="0"/>
        <w:rPr>
          <w:rFonts w:ascii="Times New Roman" w:hAnsi="Times New Roman" w:cs="Times New Roman"/>
          <w:szCs w:val="24"/>
        </w:rPr>
      </w:pPr>
      <w:r w:rsidRPr="00491CC9">
        <w:rPr>
          <w:rFonts w:ascii="Times New Roman" w:hAnsi="Times New Roman" w:cs="Times New Roman"/>
          <w:szCs w:val="24"/>
        </w:rPr>
        <w:t>Vadovaudamasi Lietuvos Respublikos vietos savivaldos įstatymo 6 straipsnio 12 punktu, Lietuvos Respublikos socialinių paslaugų įstatymo 26 straipsnio 3 ir 8 dalimis, Mokėjimo už socialines paslaugas tvarkos aprašo, patvirtinto Lietuvos Respublikos Vyriausybės 2006 m. birželio 14 d. nutarimu Nr. 583 „Dėl Mokėjimo už socialines paslaugas tvarkos aprašo patvirtinimo“, 3 punktu, Panevėžio miesto savivaldybės taryba</w:t>
      </w:r>
      <w:r>
        <w:rPr>
          <w:rFonts w:ascii="Times New Roman" w:hAnsi="Times New Roman" w:cs="Times New Roman"/>
          <w:szCs w:val="24"/>
        </w:rPr>
        <w:t xml:space="preserve"> </w:t>
      </w:r>
      <w:r w:rsidR="00E33E2B" w:rsidRPr="00C614F4">
        <w:rPr>
          <w:rFonts w:ascii="Times New Roman" w:hAnsi="Times New Roman" w:cs="Times New Roman"/>
          <w:szCs w:val="24"/>
        </w:rPr>
        <w:t>n u s p r e n d ž i a:</w:t>
      </w:r>
    </w:p>
    <w:p w14:paraId="1D9EF5D2" w14:textId="73D4D887" w:rsidR="004A583C"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Pakeisti Mokėjimo už socialines paslaugas tvarkos apraš</w:t>
      </w:r>
      <w:r w:rsidR="004A583C">
        <w:rPr>
          <w:rFonts w:ascii="Times New Roman" w:hAnsi="Times New Roman" w:cs="Times New Roman"/>
          <w:szCs w:val="24"/>
        </w:rPr>
        <w:t>ą</w:t>
      </w:r>
      <w:r w:rsidRPr="00C614F4">
        <w:rPr>
          <w:rFonts w:ascii="Times New Roman" w:hAnsi="Times New Roman" w:cs="Times New Roman"/>
          <w:szCs w:val="24"/>
        </w:rPr>
        <w:t>, patvirtint</w:t>
      </w:r>
      <w:r w:rsidR="004A583C">
        <w:rPr>
          <w:rFonts w:ascii="Times New Roman" w:hAnsi="Times New Roman" w:cs="Times New Roman"/>
          <w:szCs w:val="24"/>
        </w:rPr>
        <w:t>ą</w:t>
      </w:r>
      <w:r w:rsidRPr="00C614F4">
        <w:rPr>
          <w:rFonts w:ascii="Times New Roman" w:hAnsi="Times New Roman" w:cs="Times New Roman"/>
          <w:szCs w:val="24"/>
        </w:rPr>
        <w:t xml:space="preserve"> Panevėžio miesto savivaldybės tarybos 2015 m. vasario 23 d. sprendimu Nr. 1-34 „Dėl Mokėjimo už socialines paslaugas tvarkos aprašo patvirtinimo ir Savivaldybės tarybos 2010 m. rugsėjo 28 d. sprendimo Nr.</w:t>
      </w:r>
      <w:r w:rsidR="004A583C">
        <w:rPr>
          <w:rFonts w:ascii="Times New Roman" w:hAnsi="Times New Roman" w:cs="Times New Roman"/>
          <w:szCs w:val="24"/>
        </w:rPr>
        <w:t> </w:t>
      </w:r>
      <w:r w:rsidRPr="00C614F4">
        <w:rPr>
          <w:rFonts w:ascii="Times New Roman" w:hAnsi="Times New Roman" w:cs="Times New Roman"/>
          <w:szCs w:val="24"/>
        </w:rPr>
        <w:t>1-60-13 1 punkto pripažinimo netekusiu galios“</w:t>
      </w:r>
      <w:r w:rsidR="004A583C">
        <w:rPr>
          <w:rFonts w:ascii="Times New Roman" w:hAnsi="Times New Roman" w:cs="Times New Roman"/>
          <w:szCs w:val="24"/>
        </w:rPr>
        <w:t>, taip:</w:t>
      </w:r>
    </w:p>
    <w:p w14:paraId="63A77587" w14:textId="6831958D" w:rsidR="00E35DE6" w:rsidRPr="00C614F4" w:rsidRDefault="004A583C" w:rsidP="004A583C">
      <w:pPr>
        <w:spacing w:after="0" w:line="360" w:lineRule="auto"/>
        <w:ind w:left="840" w:right="0" w:firstLine="0"/>
        <w:rPr>
          <w:rFonts w:ascii="Times New Roman" w:hAnsi="Times New Roman" w:cs="Times New Roman"/>
          <w:szCs w:val="24"/>
        </w:rPr>
      </w:pPr>
      <w:r>
        <w:rPr>
          <w:rFonts w:ascii="Times New Roman" w:hAnsi="Times New Roman" w:cs="Times New Roman"/>
          <w:szCs w:val="24"/>
        </w:rPr>
        <w:t xml:space="preserve">1.1. </w:t>
      </w:r>
      <w:r w:rsidRPr="00C614F4">
        <w:rPr>
          <w:rFonts w:ascii="Times New Roman" w:hAnsi="Times New Roman" w:cs="Times New Roman"/>
          <w:szCs w:val="24"/>
        </w:rPr>
        <w:t xml:space="preserve">Pakeisti </w:t>
      </w:r>
      <w:r w:rsidR="00D9334A" w:rsidRPr="00C614F4">
        <w:rPr>
          <w:rFonts w:ascii="Times New Roman" w:hAnsi="Times New Roman" w:cs="Times New Roman"/>
          <w:szCs w:val="24"/>
        </w:rPr>
        <w:t>16</w:t>
      </w:r>
      <w:r w:rsidR="00E33E2B" w:rsidRPr="00C614F4">
        <w:rPr>
          <w:rFonts w:ascii="Times New Roman" w:hAnsi="Times New Roman" w:cs="Times New Roman"/>
          <w:szCs w:val="24"/>
        </w:rPr>
        <w:t xml:space="preserve"> punktą ir jį išdėstyti taip:</w:t>
      </w:r>
    </w:p>
    <w:p w14:paraId="2A54B4AE" w14:textId="77777777" w:rsidR="00E35DE6" w:rsidRPr="00C614F4" w:rsidRDefault="00E33E2B"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w:t>
      </w:r>
      <w:r w:rsidR="00D9334A" w:rsidRPr="00C614F4">
        <w:rPr>
          <w:rFonts w:ascii="Times New Roman" w:hAnsi="Times New Roman" w:cs="Times New Roman"/>
          <w:szCs w:val="24"/>
        </w:rPr>
        <w:t>16</w:t>
      </w:r>
      <w:r w:rsidRPr="00C614F4">
        <w:rPr>
          <w:rFonts w:ascii="Times New Roman" w:hAnsi="Times New Roman" w:cs="Times New Roman"/>
          <w:szCs w:val="24"/>
        </w:rPr>
        <w:t xml:space="preserve">. </w:t>
      </w:r>
      <w:r w:rsidR="00D9334A" w:rsidRPr="00C614F4">
        <w:rPr>
          <w:rFonts w:ascii="Times New Roman" w:hAnsi="Times New Roman" w:cs="Times New Roman"/>
          <w:szCs w:val="24"/>
        </w:rPr>
        <w:t xml:space="preserve">Atskaičius nustatytą asmens (šeimos) mokėjimo už bendrąsias socialines paslaugas dalį, asmens (vidutinės šeimos pajamos, tenkančios vienam šeimos nariui) mėnesio pajamos negali likti mažesnės už dvigubą </w:t>
      </w:r>
      <w:r w:rsidR="00DF64F0">
        <w:rPr>
          <w:rFonts w:ascii="Times New Roman" w:hAnsi="Times New Roman" w:cs="Times New Roman"/>
          <w:szCs w:val="24"/>
        </w:rPr>
        <w:t xml:space="preserve">VRP </w:t>
      </w:r>
      <w:r w:rsidR="00D9334A" w:rsidRPr="00C614F4">
        <w:rPr>
          <w:rFonts w:ascii="Times New Roman" w:hAnsi="Times New Roman" w:cs="Times New Roman"/>
          <w:szCs w:val="24"/>
        </w:rPr>
        <w:t>dydį. Vertinant vidutines šeimos pajamas, tenkančias vienam šeimos nariui, šeimos nariams priskiriami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 tų pačių metų rugsėjo 1 dienos. Vaikai, kuriems nustatyta globa ar rūpyba, šeimos nariams nepriskiriami.“</w:t>
      </w:r>
    </w:p>
    <w:p w14:paraId="0EA43BA0" w14:textId="77777777" w:rsidR="00D9334A" w:rsidRPr="00C614F4" w:rsidRDefault="00D9334A"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1.2. Pakeisti 41 punktą ir j</w:t>
      </w:r>
      <w:r w:rsidR="00C614F4" w:rsidRPr="00C614F4">
        <w:rPr>
          <w:rFonts w:ascii="Times New Roman" w:hAnsi="Times New Roman" w:cs="Times New Roman"/>
          <w:szCs w:val="24"/>
        </w:rPr>
        <w:t>į</w:t>
      </w:r>
      <w:r w:rsidRPr="00C614F4">
        <w:rPr>
          <w:rFonts w:ascii="Times New Roman" w:hAnsi="Times New Roman" w:cs="Times New Roman"/>
          <w:szCs w:val="24"/>
        </w:rPr>
        <w:t xml:space="preserve"> išdėstyti taip:</w:t>
      </w:r>
    </w:p>
    <w:p w14:paraId="4D901662" w14:textId="735D2990" w:rsidR="00D9334A" w:rsidRPr="00C614F4" w:rsidRDefault="004A583C" w:rsidP="004A583C">
      <w:pPr>
        <w:spacing w:after="0" w:line="360" w:lineRule="auto"/>
        <w:ind w:left="-15" w:right="0"/>
        <w:rPr>
          <w:rFonts w:ascii="Times New Roman" w:hAnsi="Times New Roman" w:cs="Times New Roman"/>
          <w:szCs w:val="24"/>
        </w:rPr>
      </w:pPr>
      <w:r>
        <w:rPr>
          <w:rFonts w:ascii="Times New Roman" w:hAnsi="Times New Roman" w:cs="Times New Roman"/>
          <w:szCs w:val="24"/>
        </w:rPr>
        <w:t>„</w:t>
      </w:r>
      <w:r w:rsidR="00D9334A" w:rsidRPr="00C614F4">
        <w:rPr>
          <w:rFonts w:ascii="Times New Roman" w:hAnsi="Times New Roman" w:cs="Times New Roman"/>
          <w:szCs w:val="24"/>
        </w:rPr>
        <w:t xml:space="preserve">41. Asmens mokėjimo už vieną kalendorinį mėnesį teikiamą trumpalaikę socialinę globą dydis </w:t>
      </w:r>
      <w:r w:rsidR="006B13EB">
        <w:rPr>
          <w:rFonts w:ascii="Times New Roman" w:hAnsi="Times New Roman" w:cs="Times New Roman"/>
          <w:szCs w:val="24"/>
        </w:rPr>
        <w:t>sudaro</w:t>
      </w:r>
      <w:r w:rsidR="00D9334A" w:rsidRPr="00C614F4">
        <w:rPr>
          <w:rFonts w:ascii="Times New Roman" w:hAnsi="Times New Roman" w:cs="Times New Roman"/>
          <w:szCs w:val="24"/>
        </w:rPr>
        <w:t xml:space="preserve"> 80 procentų asmens pajamų. Jei asmeniui teikiama trumpalaikė socialinė globa ir jį </w:t>
      </w:r>
      <w:r w:rsidR="00D9334A" w:rsidRPr="00C614F4">
        <w:rPr>
          <w:rFonts w:ascii="Times New Roman" w:hAnsi="Times New Roman" w:cs="Times New Roman"/>
          <w:szCs w:val="24"/>
        </w:rPr>
        <w:lastRenderedPageBreak/>
        <w:t xml:space="preserve">prižiūrintiems šeimos nariams suteikiamas laikinas atokvėpis, </w:t>
      </w:r>
      <w:r w:rsidR="006B13EB" w:rsidRPr="006B13EB">
        <w:rPr>
          <w:rFonts w:ascii="Times New Roman" w:hAnsi="Times New Roman" w:cs="Times New Roman"/>
          <w:szCs w:val="24"/>
        </w:rPr>
        <w:t>asmens mokėjimo dydį sudaro 50 proc</w:t>
      </w:r>
      <w:r w:rsidR="006B13EB">
        <w:rPr>
          <w:rFonts w:ascii="Times New Roman" w:hAnsi="Times New Roman" w:cs="Times New Roman"/>
          <w:szCs w:val="24"/>
        </w:rPr>
        <w:t>entų</w:t>
      </w:r>
      <w:r w:rsidR="006B13EB" w:rsidRPr="006B13EB">
        <w:rPr>
          <w:rFonts w:ascii="Times New Roman" w:hAnsi="Times New Roman" w:cs="Times New Roman"/>
          <w:szCs w:val="24"/>
        </w:rPr>
        <w:t xml:space="preserve"> asmens pajamų.</w:t>
      </w:r>
      <w:r w:rsidR="00D9334A" w:rsidRPr="00C614F4">
        <w:rPr>
          <w:rFonts w:ascii="Times New Roman" w:hAnsi="Times New Roman" w:cs="Times New Roman"/>
          <w:szCs w:val="24"/>
        </w:rPr>
        <w:t xml:space="preserve"> Tais atvejais, kai asmuo pagal Lietuvos Respublikos tikslinių kompensacijų įstatymą gauna individualios pagalbos teikimo išlaidų kompensaciją ar iki 2023 m. gruodžio 31 d. nustatyta tvarka paskirtą slaugos ar priežiūros (pagalbos) išlaidų tikslinę kompensaciją, visa šios kompensacijos suma (100 procentų)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sveikatos apsaugos ministro nustatytas rekomenduojamas paros maistinių medžiagų ir energijos normas.“</w:t>
      </w:r>
    </w:p>
    <w:p w14:paraId="2BB77C5A" w14:textId="77777777" w:rsidR="00D9334A" w:rsidRPr="00C614F4" w:rsidRDefault="00D9334A"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1.3. Pakeisti 4</w:t>
      </w:r>
      <w:r w:rsidR="00C614F4" w:rsidRPr="00C614F4">
        <w:rPr>
          <w:rFonts w:ascii="Times New Roman" w:hAnsi="Times New Roman" w:cs="Times New Roman"/>
          <w:szCs w:val="24"/>
        </w:rPr>
        <w:t>6</w:t>
      </w:r>
      <w:r w:rsidRPr="00C614F4">
        <w:rPr>
          <w:rFonts w:ascii="Times New Roman" w:hAnsi="Times New Roman" w:cs="Times New Roman"/>
          <w:szCs w:val="24"/>
        </w:rPr>
        <w:t xml:space="preserve"> punktą ir j</w:t>
      </w:r>
      <w:r w:rsidR="00C614F4" w:rsidRPr="00C614F4">
        <w:rPr>
          <w:rFonts w:ascii="Times New Roman" w:hAnsi="Times New Roman" w:cs="Times New Roman"/>
          <w:szCs w:val="24"/>
        </w:rPr>
        <w:t>į</w:t>
      </w:r>
      <w:r w:rsidRPr="00C614F4">
        <w:rPr>
          <w:rFonts w:ascii="Times New Roman" w:hAnsi="Times New Roman" w:cs="Times New Roman"/>
          <w:szCs w:val="24"/>
        </w:rPr>
        <w:t xml:space="preserve"> išdėstyti taip:</w:t>
      </w:r>
    </w:p>
    <w:p w14:paraId="392A5EDD" w14:textId="6E378673" w:rsidR="00C614F4" w:rsidRPr="00C614F4" w:rsidRDefault="004A583C" w:rsidP="004A583C">
      <w:pPr>
        <w:spacing w:after="0" w:line="360" w:lineRule="auto"/>
        <w:ind w:left="-15" w:right="0"/>
        <w:rPr>
          <w:rFonts w:ascii="Times New Roman" w:hAnsi="Times New Roman" w:cs="Times New Roman"/>
          <w:szCs w:val="24"/>
        </w:rPr>
      </w:pPr>
      <w:r>
        <w:rPr>
          <w:rFonts w:ascii="Times New Roman" w:hAnsi="Times New Roman" w:cs="Times New Roman"/>
          <w:szCs w:val="24"/>
        </w:rPr>
        <w:t>„</w:t>
      </w:r>
      <w:r w:rsidR="00C614F4" w:rsidRPr="00C614F4">
        <w:rPr>
          <w:rFonts w:ascii="Times New Roman" w:hAnsi="Times New Roman" w:cs="Times New Roman"/>
          <w:szCs w:val="24"/>
        </w:rPr>
        <w:t xml:space="preserve">46. Mokėjimo už ilgalaikę socialinę globą suaugusiam asmeniui dydis per mėnesį </w:t>
      </w:r>
      <w:r w:rsidR="00462D9C">
        <w:rPr>
          <w:rFonts w:ascii="Times New Roman" w:hAnsi="Times New Roman" w:cs="Times New Roman"/>
          <w:szCs w:val="24"/>
        </w:rPr>
        <w:t>sudaro</w:t>
      </w:r>
      <w:r w:rsidR="00C614F4" w:rsidRPr="00C614F4">
        <w:rPr>
          <w:rFonts w:ascii="Times New Roman" w:hAnsi="Times New Roman" w:cs="Times New Roman"/>
          <w:szCs w:val="24"/>
        </w:rPr>
        <w:t xml:space="preserve"> 80 procentų asmens pajamų, įskaitant atvejus, kai asmens, pradėjusio gauti ilgalaikę socialinę globą po 2007 m. sausio 1 d., turto vertė yra mažesnė už jo gyvenamosios vietos savivaldybėje nustatytą turto vertės normatyvą. Tais atvejais, kai asmuo pagal </w:t>
      </w:r>
      <w:r w:rsidR="006D3E26" w:rsidRPr="006D3E26">
        <w:rPr>
          <w:rFonts w:ascii="Times New Roman" w:hAnsi="Times New Roman" w:cs="Times New Roman"/>
          <w:szCs w:val="24"/>
        </w:rPr>
        <w:t>Lietuvos Respublikos tikslinių</w:t>
      </w:r>
      <w:r w:rsidR="00C614F4" w:rsidRPr="00C614F4">
        <w:rPr>
          <w:rFonts w:ascii="Times New Roman" w:hAnsi="Times New Roman" w:cs="Times New Roman"/>
          <w:szCs w:val="24"/>
        </w:rPr>
        <w:t xml:space="preserve"> kompensacijų įstatymą gauna individualios pagalbos teikimo išlaidų kompensaciją ar iki 2023 m. gruodžio 31 d. nustatyta tvarka paskirtą slaugos ar priežiūros (pagalbos) išlaidų tikslinę kompensaciją, visa šios kompensacijos suma (100 procentų) skiriama mokėjimui už ilgalaikę socialinę globą padengti.“</w:t>
      </w:r>
    </w:p>
    <w:p w14:paraId="298619C8" w14:textId="77777777" w:rsidR="00C614F4" w:rsidRPr="00C614F4" w:rsidRDefault="00C614F4"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1.4. Pakeisti 48 punktą ir jį išdėstyti taip:</w:t>
      </w:r>
    </w:p>
    <w:p w14:paraId="1897CACD" w14:textId="7B634571" w:rsidR="00C614F4" w:rsidRPr="00C614F4" w:rsidRDefault="004A583C" w:rsidP="004A583C">
      <w:pPr>
        <w:spacing w:after="0" w:line="360" w:lineRule="auto"/>
        <w:ind w:left="0" w:right="0" w:firstLine="825"/>
        <w:rPr>
          <w:rFonts w:ascii="Times New Roman" w:hAnsi="Times New Roman" w:cs="Times New Roman"/>
          <w:szCs w:val="24"/>
        </w:rPr>
      </w:pPr>
      <w:r>
        <w:rPr>
          <w:rFonts w:ascii="Times New Roman" w:hAnsi="Times New Roman" w:cs="Times New Roman"/>
          <w:szCs w:val="24"/>
        </w:rPr>
        <w:t xml:space="preserve">„48. </w:t>
      </w:r>
      <w:r w:rsidR="00C614F4" w:rsidRPr="00C614F4">
        <w:rPr>
          <w:rFonts w:ascii="Times New Roman" w:hAnsi="Times New Roman" w:cs="Times New Roman"/>
          <w:szCs w:val="24"/>
        </w:rPr>
        <w:t xml:space="preserve">Mokėjimo už ilgalaikę socialinę globą vaikui su negalia dydis nustatomas neatsižvelgiant į asmens turtą ir </w:t>
      </w:r>
      <w:r w:rsidR="00462D9C">
        <w:rPr>
          <w:rFonts w:ascii="Times New Roman" w:hAnsi="Times New Roman" w:cs="Times New Roman"/>
          <w:szCs w:val="24"/>
        </w:rPr>
        <w:t>sudaro</w:t>
      </w:r>
      <w:r w:rsidR="00C614F4" w:rsidRPr="00C614F4">
        <w:rPr>
          <w:rFonts w:ascii="Times New Roman" w:hAnsi="Times New Roman" w:cs="Times New Roman"/>
          <w:szCs w:val="24"/>
        </w:rPr>
        <w:t xml:space="preserve"> 80 procentų vaiko pajamų. Tais atvejais, kai vaikas su negalia pagal </w:t>
      </w:r>
      <w:r w:rsidR="006D3E26" w:rsidRPr="006D3E26">
        <w:rPr>
          <w:rFonts w:ascii="Times New Roman" w:hAnsi="Times New Roman" w:cs="Times New Roman"/>
          <w:szCs w:val="24"/>
        </w:rPr>
        <w:t>Lietuvos Respublikos tikslinių</w:t>
      </w:r>
      <w:r w:rsidR="00C614F4" w:rsidRPr="00C614F4">
        <w:rPr>
          <w:rFonts w:ascii="Times New Roman" w:hAnsi="Times New Roman" w:cs="Times New Roman"/>
          <w:szCs w:val="24"/>
        </w:rPr>
        <w:t xml:space="preserve"> kompensacijų įstatymą gauna individualios pagalbos teikimo išlaidų kompensaciją ar iki 2023 m. gruodžio 31 d. nustatyta tvarka paskirtą slaugos ar priežiūros (pagalbos) išlaidų tikslinę kompensaciją, visa šios kompensacijos suma (100 procentų) skiriama mokėjimui už ilgalaikę socialinę globą padengti.“</w:t>
      </w:r>
    </w:p>
    <w:p w14:paraId="124BD658" w14:textId="77777777" w:rsidR="00E35DE6" w:rsidRPr="00C614F4"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Nustatyti, kad šis sprendimas skelbiamas Teisės aktų registre ir Panevėžio miesto savivaldybės interneto svetainėje.</w:t>
      </w:r>
    </w:p>
    <w:p w14:paraId="026AA678" w14:textId="77777777" w:rsidR="00C614F4"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Nustatyti, kad šis sprendimas įsigalioja kitą dieną po paskelbimo Teisės aktų registre.</w:t>
      </w:r>
    </w:p>
    <w:p w14:paraId="46618F52" w14:textId="77777777" w:rsidR="004A583C" w:rsidRDefault="004A583C" w:rsidP="004A583C">
      <w:pPr>
        <w:spacing w:after="0" w:line="360" w:lineRule="auto"/>
        <w:ind w:right="0"/>
        <w:rPr>
          <w:rFonts w:ascii="Times New Roman" w:hAnsi="Times New Roman" w:cs="Times New Roman"/>
          <w:szCs w:val="24"/>
        </w:rPr>
      </w:pPr>
    </w:p>
    <w:p w14:paraId="2943200D" w14:textId="77777777" w:rsidR="004A583C" w:rsidRPr="00C614F4" w:rsidRDefault="004A583C" w:rsidP="004A583C">
      <w:pPr>
        <w:spacing w:after="0" w:line="360" w:lineRule="auto"/>
        <w:ind w:right="0"/>
        <w:rPr>
          <w:rFonts w:ascii="Times New Roman" w:hAnsi="Times New Roman" w:cs="Times New Roman"/>
          <w:szCs w:val="24"/>
        </w:rPr>
      </w:pPr>
    </w:p>
    <w:p w14:paraId="76528769" w14:textId="7538AC54" w:rsidR="00FF4CAF" w:rsidRPr="00D9334A" w:rsidRDefault="00E33E2B" w:rsidP="004A583C">
      <w:pPr>
        <w:tabs>
          <w:tab w:val="center" w:pos="7961"/>
        </w:tabs>
        <w:spacing w:line="259" w:lineRule="auto"/>
        <w:ind w:left="-15" w:right="0" w:firstLine="0"/>
        <w:jc w:val="center"/>
        <w:rPr>
          <w:rFonts w:ascii="Times New Roman" w:hAnsi="Times New Roman" w:cs="Times New Roman"/>
        </w:rPr>
      </w:pPr>
      <w:r w:rsidRPr="00D9334A">
        <w:rPr>
          <w:rFonts w:ascii="Times New Roman" w:hAnsi="Times New Roman" w:cs="Times New Roman"/>
        </w:rPr>
        <w:t>Savivaldybės meras</w:t>
      </w:r>
      <w:r w:rsidRPr="00D9334A">
        <w:rPr>
          <w:rFonts w:ascii="Times New Roman" w:hAnsi="Times New Roman" w:cs="Times New Roman"/>
        </w:rPr>
        <w:tab/>
        <w:t>Rytis Mykolas Račkauskas</w:t>
      </w:r>
    </w:p>
    <w:sectPr w:rsidR="00FF4CAF" w:rsidRPr="00D9334A" w:rsidSect="004A583C">
      <w:headerReference w:type="default" r:id="rId8"/>
      <w:pgSz w:w="11906" w:h="16838"/>
      <w:pgMar w:top="1133" w:right="709" w:bottom="1440" w:left="170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5A327" w14:textId="77777777" w:rsidR="00E03F37" w:rsidRDefault="00E03F37" w:rsidP="004A583C">
      <w:pPr>
        <w:spacing w:after="0" w:line="240" w:lineRule="auto"/>
      </w:pPr>
      <w:r>
        <w:separator/>
      </w:r>
    </w:p>
  </w:endnote>
  <w:endnote w:type="continuationSeparator" w:id="0">
    <w:p w14:paraId="341F6A41" w14:textId="77777777" w:rsidR="00E03F37" w:rsidRDefault="00E03F37" w:rsidP="004A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8957F" w14:textId="77777777" w:rsidR="00E03F37" w:rsidRDefault="00E03F37" w:rsidP="004A583C">
      <w:pPr>
        <w:spacing w:after="0" w:line="240" w:lineRule="auto"/>
      </w:pPr>
      <w:r>
        <w:separator/>
      </w:r>
    </w:p>
  </w:footnote>
  <w:footnote w:type="continuationSeparator" w:id="0">
    <w:p w14:paraId="7AF976CC" w14:textId="77777777" w:rsidR="00E03F37" w:rsidRDefault="00E03F37" w:rsidP="004A5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653292"/>
      <w:docPartObj>
        <w:docPartGallery w:val="Page Numbers (Top of Page)"/>
        <w:docPartUnique/>
      </w:docPartObj>
    </w:sdtPr>
    <w:sdtEndPr>
      <w:rPr>
        <w:rFonts w:ascii="Times New Roman" w:hAnsi="Times New Roman" w:cs="Times New Roman"/>
      </w:rPr>
    </w:sdtEndPr>
    <w:sdtContent>
      <w:p w14:paraId="526CF85C" w14:textId="70E159EF" w:rsidR="004A583C" w:rsidRPr="004A583C" w:rsidRDefault="004A583C" w:rsidP="004A583C">
        <w:pPr>
          <w:pStyle w:val="Antrats"/>
          <w:ind w:left="0" w:right="-5" w:firstLine="0"/>
          <w:jc w:val="center"/>
          <w:rPr>
            <w:rFonts w:ascii="Times New Roman" w:hAnsi="Times New Roman" w:cs="Times New Roman"/>
          </w:rPr>
        </w:pPr>
        <w:r w:rsidRPr="004A583C">
          <w:rPr>
            <w:rFonts w:ascii="Times New Roman" w:hAnsi="Times New Roman" w:cs="Times New Roman"/>
          </w:rPr>
          <w:fldChar w:fldCharType="begin"/>
        </w:r>
        <w:r w:rsidRPr="004A583C">
          <w:rPr>
            <w:rFonts w:ascii="Times New Roman" w:hAnsi="Times New Roman" w:cs="Times New Roman"/>
          </w:rPr>
          <w:instrText>PAGE   \* MERGEFORMAT</w:instrText>
        </w:r>
        <w:r w:rsidRPr="004A583C">
          <w:rPr>
            <w:rFonts w:ascii="Times New Roman" w:hAnsi="Times New Roman" w:cs="Times New Roman"/>
          </w:rPr>
          <w:fldChar w:fldCharType="separate"/>
        </w:r>
        <w:r w:rsidR="00821BA3">
          <w:rPr>
            <w:rFonts w:ascii="Times New Roman" w:hAnsi="Times New Roman" w:cs="Times New Roman"/>
            <w:noProof/>
          </w:rPr>
          <w:t>2</w:t>
        </w:r>
        <w:r w:rsidRPr="004A583C">
          <w:rPr>
            <w:rFonts w:ascii="Times New Roman" w:hAnsi="Times New Roman" w:cs="Times New Roman"/>
          </w:rPr>
          <w:fldChar w:fldCharType="end"/>
        </w:r>
      </w:p>
    </w:sdtContent>
  </w:sdt>
  <w:p w14:paraId="73D2C0A5" w14:textId="77777777" w:rsidR="004A583C" w:rsidRDefault="004A58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40647"/>
    <w:multiLevelType w:val="hybridMultilevel"/>
    <w:tmpl w:val="FB56A990"/>
    <w:lvl w:ilvl="0" w:tplc="A7D29C0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E6"/>
    <w:rsid w:val="003A40AC"/>
    <w:rsid w:val="00462D9C"/>
    <w:rsid w:val="00491CC9"/>
    <w:rsid w:val="004A583C"/>
    <w:rsid w:val="00653C2B"/>
    <w:rsid w:val="006B13EB"/>
    <w:rsid w:val="006D3E26"/>
    <w:rsid w:val="00821BA3"/>
    <w:rsid w:val="00C614F4"/>
    <w:rsid w:val="00D9334A"/>
    <w:rsid w:val="00DF64F0"/>
    <w:rsid w:val="00E03F37"/>
    <w:rsid w:val="00E33E2B"/>
    <w:rsid w:val="00E35DE6"/>
    <w:rsid w:val="00F7711B"/>
    <w:rsid w:val="00FF4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DCCB"/>
  <w15:docId w15:val="{396BF301-6BF1-4387-8BE7-DB7BE24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3" w:line="340" w:lineRule="auto"/>
      <w:ind w:left="2872" w:right="2870" w:firstLine="840"/>
      <w:jc w:val="both"/>
    </w:pPr>
    <w:rPr>
      <w:rFonts w:ascii="Calibri" w:eastAsia="Calibri" w:hAnsi="Calibri" w:cs="Calibri"/>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5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583C"/>
    <w:rPr>
      <w:rFonts w:ascii="Calibri" w:eastAsia="Calibri" w:hAnsi="Calibri" w:cs="Calibri"/>
      <w:color w:val="000000"/>
      <w:sz w:val="24"/>
    </w:rPr>
  </w:style>
  <w:style w:type="paragraph" w:styleId="Porat">
    <w:name w:val="footer"/>
    <w:basedOn w:val="prastasis"/>
    <w:link w:val="PoratDiagrama"/>
    <w:uiPriority w:val="99"/>
    <w:unhideWhenUsed/>
    <w:rsid w:val="004A5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583C"/>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3024</Words>
  <Characters>1725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dcterms:created xsi:type="dcterms:W3CDTF">2024-01-05T09:54:00Z</dcterms:created>
  <dcterms:modified xsi:type="dcterms:W3CDTF">2024-01-05T09:54:00Z</dcterms:modified>
</cp:coreProperties>
</file>