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r w:rsidRPr="00B332F8">
        <w:rPr>
          <w:b/>
        </w:rPr>
        <w:t>AIŠKINAMASIS RAŠTAS</w:t>
      </w:r>
    </w:p>
    <w:p w14:paraId="05F8C53D" w14:textId="77777777" w:rsidR="00D41C90" w:rsidRPr="003F68ED" w:rsidRDefault="00D41C90" w:rsidP="00D41C90">
      <w:pPr>
        <w:jc w:val="center"/>
        <w:rPr>
          <w:b/>
        </w:rPr>
      </w:pPr>
      <w:r w:rsidRPr="003F68ED">
        <w:rPr>
          <w:b/>
        </w:rPr>
        <w:t>DĖL PANEVĖŽIO MIESTO SAVIVALDYBEI NUOSAVYBĖS TEISE PRIKLAUSANČIŲ UAB „GRAUDUVA“ AKCIJŲ</w:t>
      </w:r>
    </w:p>
    <w:p w14:paraId="7D989DD2" w14:textId="77777777" w:rsidR="0021258E" w:rsidRDefault="0021258E" w:rsidP="00B42A26">
      <w:pPr>
        <w:jc w:val="center"/>
        <w:rPr>
          <w:b/>
        </w:rPr>
      </w:pPr>
    </w:p>
    <w:p w14:paraId="77C4EA46" w14:textId="5A000991" w:rsidR="006539FD" w:rsidRPr="00B332F8" w:rsidRDefault="00F56BB8" w:rsidP="001352EF">
      <w:pPr>
        <w:tabs>
          <w:tab w:val="left" w:pos="0"/>
        </w:tabs>
        <w:jc w:val="center"/>
      </w:pPr>
      <w:r w:rsidRPr="00B332F8">
        <w:t>20</w:t>
      </w:r>
      <w:r w:rsidR="0078280A">
        <w:t>2</w:t>
      </w:r>
      <w:r w:rsidR="00241E0F">
        <w:t>4</w:t>
      </w:r>
      <w:r w:rsidRPr="00B332F8">
        <w:t xml:space="preserve"> m. </w:t>
      </w:r>
      <w:r w:rsidR="00241E0F">
        <w:t xml:space="preserve">sausio </w:t>
      </w:r>
      <w:r w:rsidR="00D41C90">
        <w:t>22</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08FC958D" w14:textId="5DD2A633" w:rsidR="009A48AD" w:rsidRDefault="00D41C90" w:rsidP="009A48AD">
      <w:pPr>
        <w:tabs>
          <w:tab w:val="left" w:pos="0"/>
        </w:tabs>
        <w:ind w:firstLine="720"/>
        <w:jc w:val="both"/>
      </w:pPr>
      <w:r>
        <w:t>UAB REVCO1 2023 m. gruodžio 12 d. prašym</w:t>
      </w:r>
      <w:r w:rsidR="001F5762">
        <w:t>u</w:t>
      </w:r>
      <w:r>
        <w:t xml:space="preserve"> „Dėl Panevėžio miesto savivaldybei priklausančių UAB „Grauduva“ akcijų įtraukimo į privatizuojamų objektų sąrašą ir Panevėžio miesto savivaldybei priklausančių UAB „Grauduva“ akcijų pardavimo viešojo aukciono būdu“ kreipėsi į Panevėžio miesto savivaldybės taryb</w:t>
      </w:r>
      <w:r w:rsidR="001F5762">
        <w:t>ą</w:t>
      </w:r>
      <w:r>
        <w:t xml:space="preserve"> ir administraciją dėl Panevėžio miesto savivaldybei nuosavybės teise prik</w:t>
      </w:r>
      <w:r w:rsidR="00BE0AEF">
        <w:t xml:space="preserve">lausančių UAB „Grauduva“ akcijų pardavimo viešame aukcione. </w:t>
      </w:r>
    </w:p>
    <w:p w14:paraId="78F7F457" w14:textId="77777777" w:rsidR="00C0226E" w:rsidRDefault="00CA070D" w:rsidP="00C0226E">
      <w:pPr>
        <w:tabs>
          <w:tab w:val="left" w:pos="0"/>
        </w:tabs>
        <w:ind w:firstLine="720"/>
        <w:jc w:val="both"/>
      </w:pPr>
      <w:r>
        <w:t xml:space="preserve">Savivaldybės administracija parengė Savivaldybės tarybos sprendimo projektą, kuriuo Savivaldybei nuosavybės teise priklausančios UAB „Grauduva“ akcijos neįtraukiamos į Panevėžio miesto savivaldybės privatizavimo objektų sąrašą, </w:t>
      </w:r>
      <w:r w:rsidR="00C0226E">
        <w:t>atsižvelgiant į tai, kad:</w:t>
      </w:r>
    </w:p>
    <w:p w14:paraId="5B65A3D7" w14:textId="77777777" w:rsidR="00C0226E" w:rsidRDefault="00C0226E" w:rsidP="00C0226E">
      <w:pPr>
        <w:tabs>
          <w:tab w:val="left" w:pos="0"/>
        </w:tabs>
        <w:ind w:firstLine="720"/>
        <w:jc w:val="both"/>
      </w:pPr>
      <w:r>
        <w:t xml:space="preserve">Savivaldybė – kaip pagrindinis akcininkas (turinti 70,43% akcijų) – yra nustačiusi Bendrovei 2021 – 2024 m. lūkesčius (nuoroda į lūkesčių raštą – </w:t>
      </w:r>
      <w:hyperlink r:id="rId7" w:history="1">
        <w:r w:rsidRPr="005D2C75">
          <w:rPr>
            <w:rStyle w:val="Hipersaitas"/>
          </w:rPr>
          <w:t>https://www.grauduva.lt/veikla/</w:t>
        </w:r>
      </w:hyperlink>
      <w:r>
        <w:t xml:space="preserve"> ), ir Bendrovė šiuos lūkesčius pildo. Siekiant subalansuotos Bendrovės veiklos, nurodytas vienas pagrindinių keliamų finansinių rodiklių – ROA (Return on Assets, t.y. nuosavo kapitalo pelningumo) rodiklis, ir nustatyta jo reikšmė </w:t>
      </w:r>
      <w:r w:rsidRPr="001820AD">
        <w:t>18%.</w:t>
      </w:r>
    </w:p>
    <w:p w14:paraId="654B6138" w14:textId="77777777" w:rsidR="00C0226E" w:rsidRDefault="00C0226E" w:rsidP="00C0226E">
      <w:pPr>
        <w:rPr>
          <w:sz w:val="22"/>
          <w:szCs w:val="22"/>
        </w:rPr>
      </w:pPr>
      <w:r>
        <w:t>Atitinkamai, peržvelgus Bendrovės rezultatus, pasiektas ROE rodiklis:</w:t>
      </w:r>
    </w:p>
    <w:tbl>
      <w:tblPr>
        <w:tblStyle w:val="Lentelstinklelis"/>
        <w:tblW w:w="0" w:type="auto"/>
        <w:tblLook w:val="04A0" w:firstRow="1" w:lastRow="0" w:firstColumn="1" w:lastColumn="0" w:noHBand="0" w:noVBand="1"/>
      </w:tblPr>
      <w:tblGrid>
        <w:gridCol w:w="1925"/>
        <w:gridCol w:w="1925"/>
        <w:gridCol w:w="1926"/>
        <w:gridCol w:w="1449"/>
        <w:gridCol w:w="2403"/>
      </w:tblGrid>
      <w:tr w:rsidR="00C0226E" w:rsidRPr="00C0226E" w14:paraId="3F6EF9EC" w14:textId="77777777" w:rsidTr="00AA490E">
        <w:tc>
          <w:tcPr>
            <w:tcW w:w="1925" w:type="dxa"/>
          </w:tcPr>
          <w:p w14:paraId="17DD93B0" w14:textId="77777777" w:rsidR="00C0226E" w:rsidRPr="00C0226E" w:rsidRDefault="00C0226E" w:rsidP="00AA490E">
            <w:pPr>
              <w:rPr>
                <w:rFonts w:ascii="Times New Roman" w:hAnsi="Times New Roman" w:cs="Times New Roman"/>
              </w:rPr>
            </w:pPr>
            <w:r w:rsidRPr="00C0226E">
              <w:rPr>
                <w:rFonts w:ascii="Times New Roman" w:hAnsi="Times New Roman" w:cs="Times New Roman"/>
              </w:rPr>
              <w:t>Metai</w:t>
            </w:r>
          </w:p>
        </w:tc>
        <w:tc>
          <w:tcPr>
            <w:tcW w:w="1925" w:type="dxa"/>
          </w:tcPr>
          <w:p w14:paraId="2A778175" w14:textId="77777777" w:rsidR="00C0226E" w:rsidRPr="00C0226E" w:rsidRDefault="00C0226E" w:rsidP="00AA490E">
            <w:pPr>
              <w:rPr>
                <w:rFonts w:ascii="Times New Roman" w:hAnsi="Times New Roman" w:cs="Times New Roman"/>
              </w:rPr>
            </w:pPr>
            <w:r w:rsidRPr="00C0226E">
              <w:rPr>
                <w:rFonts w:ascii="Times New Roman" w:hAnsi="Times New Roman" w:cs="Times New Roman"/>
              </w:rPr>
              <w:t>2020 m.</w:t>
            </w:r>
          </w:p>
        </w:tc>
        <w:tc>
          <w:tcPr>
            <w:tcW w:w="1926" w:type="dxa"/>
          </w:tcPr>
          <w:p w14:paraId="45AE3A06" w14:textId="77777777" w:rsidR="00C0226E" w:rsidRPr="00C0226E" w:rsidRDefault="00C0226E" w:rsidP="00AA490E">
            <w:pPr>
              <w:rPr>
                <w:rFonts w:ascii="Times New Roman" w:hAnsi="Times New Roman" w:cs="Times New Roman"/>
              </w:rPr>
            </w:pPr>
            <w:r w:rsidRPr="00C0226E">
              <w:rPr>
                <w:rFonts w:ascii="Times New Roman" w:hAnsi="Times New Roman" w:cs="Times New Roman"/>
              </w:rPr>
              <w:t>2021 m.</w:t>
            </w:r>
          </w:p>
        </w:tc>
        <w:tc>
          <w:tcPr>
            <w:tcW w:w="1449" w:type="dxa"/>
          </w:tcPr>
          <w:p w14:paraId="47F4CDD3" w14:textId="77777777" w:rsidR="00C0226E" w:rsidRPr="00C0226E" w:rsidRDefault="00C0226E" w:rsidP="00AA490E">
            <w:pPr>
              <w:rPr>
                <w:rFonts w:ascii="Times New Roman" w:hAnsi="Times New Roman" w:cs="Times New Roman"/>
              </w:rPr>
            </w:pPr>
            <w:r w:rsidRPr="00C0226E">
              <w:rPr>
                <w:rFonts w:ascii="Times New Roman" w:hAnsi="Times New Roman" w:cs="Times New Roman"/>
              </w:rPr>
              <w:t>2022 m.</w:t>
            </w:r>
          </w:p>
        </w:tc>
        <w:tc>
          <w:tcPr>
            <w:tcW w:w="2403" w:type="dxa"/>
          </w:tcPr>
          <w:p w14:paraId="1588E2BC" w14:textId="77777777" w:rsidR="00C0226E" w:rsidRPr="00C0226E" w:rsidRDefault="00C0226E" w:rsidP="00AA490E">
            <w:pPr>
              <w:rPr>
                <w:rFonts w:ascii="Times New Roman" w:hAnsi="Times New Roman" w:cs="Times New Roman"/>
              </w:rPr>
            </w:pPr>
            <w:r w:rsidRPr="00C0226E">
              <w:rPr>
                <w:rFonts w:ascii="Times New Roman" w:hAnsi="Times New Roman" w:cs="Times New Roman"/>
              </w:rPr>
              <w:t>2023 m.</w:t>
            </w:r>
          </w:p>
        </w:tc>
      </w:tr>
      <w:tr w:rsidR="00C0226E" w:rsidRPr="00C0226E" w14:paraId="0AA4ACC4" w14:textId="77777777" w:rsidTr="00AA490E">
        <w:tc>
          <w:tcPr>
            <w:tcW w:w="1925" w:type="dxa"/>
          </w:tcPr>
          <w:p w14:paraId="1F76B258" w14:textId="77777777" w:rsidR="00C0226E" w:rsidRPr="00C0226E" w:rsidRDefault="00C0226E" w:rsidP="00AA490E">
            <w:pPr>
              <w:rPr>
                <w:rFonts w:ascii="Times New Roman" w:hAnsi="Times New Roman" w:cs="Times New Roman"/>
              </w:rPr>
            </w:pPr>
            <w:r w:rsidRPr="00C0226E">
              <w:rPr>
                <w:rFonts w:ascii="Times New Roman" w:hAnsi="Times New Roman" w:cs="Times New Roman"/>
              </w:rPr>
              <w:t>ROE</w:t>
            </w:r>
          </w:p>
        </w:tc>
        <w:tc>
          <w:tcPr>
            <w:tcW w:w="1925" w:type="dxa"/>
          </w:tcPr>
          <w:p w14:paraId="27A4AB1E" w14:textId="77777777" w:rsidR="00C0226E" w:rsidRPr="00C0226E" w:rsidRDefault="00C0226E" w:rsidP="00AA490E">
            <w:pPr>
              <w:rPr>
                <w:rFonts w:ascii="Times New Roman" w:hAnsi="Times New Roman" w:cs="Times New Roman"/>
              </w:rPr>
            </w:pPr>
            <w:r w:rsidRPr="00C0226E">
              <w:rPr>
                <w:rFonts w:ascii="Times New Roman" w:hAnsi="Times New Roman" w:cs="Times New Roman"/>
              </w:rPr>
              <w:t>19,47</w:t>
            </w:r>
          </w:p>
        </w:tc>
        <w:tc>
          <w:tcPr>
            <w:tcW w:w="1926" w:type="dxa"/>
          </w:tcPr>
          <w:p w14:paraId="73456CDF" w14:textId="77777777" w:rsidR="00C0226E" w:rsidRPr="00C0226E" w:rsidRDefault="00C0226E" w:rsidP="00AA490E">
            <w:pPr>
              <w:rPr>
                <w:rFonts w:ascii="Times New Roman" w:hAnsi="Times New Roman" w:cs="Times New Roman"/>
              </w:rPr>
            </w:pPr>
            <w:r w:rsidRPr="00C0226E">
              <w:rPr>
                <w:rFonts w:ascii="Times New Roman" w:hAnsi="Times New Roman" w:cs="Times New Roman"/>
              </w:rPr>
              <w:t>30,57</w:t>
            </w:r>
          </w:p>
        </w:tc>
        <w:tc>
          <w:tcPr>
            <w:tcW w:w="1449" w:type="dxa"/>
          </w:tcPr>
          <w:p w14:paraId="496E9216" w14:textId="77777777" w:rsidR="00C0226E" w:rsidRPr="00C0226E" w:rsidRDefault="00C0226E" w:rsidP="00AA490E">
            <w:pPr>
              <w:rPr>
                <w:rFonts w:ascii="Times New Roman" w:hAnsi="Times New Roman" w:cs="Times New Roman"/>
              </w:rPr>
            </w:pPr>
            <w:r w:rsidRPr="00C0226E">
              <w:rPr>
                <w:rFonts w:ascii="Times New Roman" w:hAnsi="Times New Roman" w:cs="Times New Roman"/>
              </w:rPr>
              <w:t>18</w:t>
            </w:r>
          </w:p>
        </w:tc>
        <w:tc>
          <w:tcPr>
            <w:tcW w:w="2403" w:type="dxa"/>
          </w:tcPr>
          <w:p w14:paraId="31E71F33" w14:textId="77777777" w:rsidR="00C0226E" w:rsidRPr="00C0226E" w:rsidRDefault="00C0226E" w:rsidP="00AA490E">
            <w:pPr>
              <w:rPr>
                <w:rFonts w:ascii="Times New Roman" w:hAnsi="Times New Roman" w:cs="Times New Roman"/>
              </w:rPr>
            </w:pPr>
            <w:r w:rsidRPr="00C0226E">
              <w:rPr>
                <w:rFonts w:ascii="Times New Roman" w:hAnsi="Times New Roman" w:cs="Times New Roman"/>
              </w:rPr>
              <w:t>16-17 (preliminarus)</w:t>
            </w:r>
          </w:p>
        </w:tc>
      </w:tr>
    </w:tbl>
    <w:p w14:paraId="797105BE" w14:textId="77777777" w:rsidR="00C0226E" w:rsidRDefault="00C0226E" w:rsidP="00C0226E">
      <w:pPr>
        <w:tabs>
          <w:tab w:val="left" w:pos="0"/>
        </w:tabs>
        <w:ind w:firstLine="720"/>
        <w:jc w:val="both"/>
      </w:pPr>
      <w:bookmarkStart w:id="0" w:name="_GoBack"/>
      <w:bookmarkEnd w:id="0"/>
      <w:r>
        <w:t xml:space="preserve">Bendrovės veikla 2021 – 2023 m. yra pelninga, akcininkai kiekvienais metais svarsto ir priima sprendimus dėl atitinkamos dalies pelno paskirstymo dividendams. </w:t>
      </w:r>
    </w:p>
    <w:p w14:paraId="274EA56F" w14:textId="7FF64AAC" w:rsidR="00CA070D" w:rsidRDefault="00C0226E" w:rsidP="00C0226E">
      <w:pPr>
        <w:tabs>
          <w:tab w:val="left" w:pos="0"/>
        </w:tabs>
        <w:ind w:firstLine="720"/>
        <w:jc w:val="both"/>
      </w:pPr>
      <w:r>
        <w:t>Pastaraisiais metais buvo likę tik keli akcininkai, dalyvaudavę Bendrovės valdyme ir sprendžiant Bendrovės strateginius klausimus, keliant bendrovei pagrįstus lūkesčius ir atitinkamai nurodant siektiną investicijų grąžą. Vertintina, kad iniciatyvių ir konstruktyvių sprendimų ieškančių akcininkų prisijungimas padės bendrovei siekti dar geresnių veiklos rodiklių, tinkamo kokybės ir kainos santykio savo klientams (pažymėtina, kad dauguma jų – yra Panevėžio miesto gyventojai).</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2B7ABA11" w:rsidR="00C858EE" w:rsidRDefault="009A48AD" w:rsidP="005C414B">
      <w:pPr>
        <w:ind w:firstLine="709"/>
        <w:jc w:val="both"/>
      </w:pPr>
      <w:r>
        <w:t xml:space="preserve">Vadovaujantis </w:t>
      </w:r>
      <w:r w:rsidR="00447773">
        <w:t xml:space="preserve">Lietuvos Respublikos valstybei ir savivaldybėms priklausančių </w:t>
      </w:r>
      <w:r w:rsidR="00447773" w:rsidRPr="004D2FAC">
        <w:t xml:space="preserve">akcijų privatizavimo įstatymo </w:t>
      </w:r>
      <w:r w:rsidR="00447773">
        <w:t xml:space="preserve">10 straipsnio 3 dalimi, </w:t>
      </w:r>
      <w:r w:rsidR="00CA070D">
        <w:rPr>
          <w:sz w:val="23"/>
          <w:szCs w:val="23"/>
        </w:rPr>
        <w:t>Savivaldybei nuosavybės teise priklausančios įmonių akcijos į privatizavimo objektų sąrašo projektą įtraukiamos savivaldybės administracijos direktoriaus teikimu, kai yra priimtas savivaldybės tarybos sprendimas į privatizavimo objektų sąrašą įtraukti savivaldybei nuosavybės teise priklausančias įmonių akcijas.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1C9FFDB6" w:rsidR="00C858EE" w:rsidRPr="00617034" w:rsidRDefault="00C0226E" w:rsidP="005C414B">
      <w:pPr>
        <w:tabs>
          <w:tab w:val="left" w:pos="0"/>
        </w:tabs>
        <w:ind w:firstLine="720"/>
        <w:jc w:val="both"/>
      </w:pPr>
      <w:r>
        <w:t>Bendrovės veikla 2021 – 2023 m. yra pelninga, akcininko lūkesčiuose nurodytas ROE yra pasiekiamas, akcininkai visuotiniame akcininkų susirinkime kiekvienais metais svarsto ir priima sprendimus dėl atitinkamos dalies pelno paskirstymo dividendams.</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1EF2D5C4" w:rsidR="00C858EE" w:rsidRPr="00CA7C28" w:rsidRDefault="00CA7C28" w:rsidP="00C858EE">
      <w:pPr>
        <w:tabs>
          <w:tab w:val="left" w:pos="0"/>
        </w:tabs>
        <w:ind w:firstLine="720"/>
        <w:jc w:val="both"/>
      </w:pPr>
      <w:r w:rsidRPr="00CA7C28">
        <w:t xml:space="preserve">Sprendimo projektą parengė </w:t>
      </w:r>
      <w:r w:rsidR="00CA070D">
        <w:t xml:space="preserve">Miesto plėtros ir </w:t>
      </w:r>
      <w:r w:rsidRPr="00CA7C28">
        <w:t>Miesto infrastruktūros skyri</w:t>
      </w:r>
      <w:r w:rsidR="00CA070D">
        <w:t xml:space="preserve">ai, remdamiesi UAB REVCO1 2023 m. gruodžio 12 d. prašymu „Dėl Panevėžio miesto savivaldybei priklausančių </w:t>
      </w:r>
      <w:r w:rsidR="00CA070D">
        <w:lastRenderedPageBreak/>
        <w:t>UAB „Grauduva“ akcijų įtraukimo į privatizuojamų objektų sąrašą ir Panevėžio miesto savivaldybei priklausančių UAB „Grauduva“ akcijų pardavimo viešojo aukciono būdu“</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42F8666F" w14:textId="4F3DB304" w:rsidR="001B5C41" w:rsidRDefault="00CA070D" w:rsidP="00C858EE">
      <w:pPr>
        <w:tabs>
          <w:tab w:val="left" w:pos="0"/>
        </w:tabs>
        <w:ind w:firstLine="720"/>
        <w:jc w:val="both"/>
      </w:pPr>
      <w:r>
        <w:t>UAB REVCO1 2023 m. gruodžio 12 d. prašymo „Dėl Panevėžio miesto savivaldybei priklausančių UAB „Grauduva“ akcijų įtraukimo į privatizuojamų objektų sąrašą ir Panevėžio miesto savivaldybei priklausančių UAB „Grauduva“ akcijų pardavimo viešojo aukciono būdu“ kopija,</w:t>
      </w:r>
      <w:r w:rsidR="009A48AD">
        <w:t xml:space="preserve"> </w:t>
      </w:r>
      <w:r w:rsidR="0065360B">
        <w:t>5</w:t>
      </w:r>
      <w:r w:rsidR="009A48AD">
        <w:t xml:space="preserve"> l.</w:t>
      </w:r>
      <w:r w:rsidR="001B5C41">
        <w:t xml:space="preserve"> </w:t>
      </w:r>
    </w:p>
    <w:p w14:paraId="360FCE11" w14:textId="535DA347" w:rsidR="005C414B" w:rsidRDefault="005C414B" w:rsidP="00434584">
      <w:pPr>
        <w:spacing w:line="360" w:lineRule="auto"/>
        <w:jc w:val="both"/>
      </w:pPr>
    </w:p>
    <w:p w14:paraId="4A4DB36F" w14:textId="6C037592" w:rsidR="008D7A7F" w:rsidRDefault="0017729E" w:rsidP="00434584">
      <w:pPr>
        <w:spacing w:line="360" w:lineRule="auto"/>
        <w:jc w:val="both"/>
      </w:pPr>
      <w:r>
        <w:t xml:space="preserve">Miesto plėtros skyriaus vedėjas </w:t>
      </w:r>
      <w:r>
        <w:tab/>
      </w:r>
      <w:r>
        <w:tab/>
      </w:r>
      <w:r>
        <w:tab/>
      </w:r>
      <w:r>
        <w:tab/>
        <w:t>Jokūbas Leipus</w:t>
      </w: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56733" w14:textId="77777777" w:rsidR="007C7875" w:rsidRDefault="007C7875" w:rsidP="00A52524">
      <w:r>
        <w:separator/>
      </w:r>
    </w:p>
  </w:endnote>
  <w:endnote w:type="continuationSeparator" w:id="0">
    <w:p w14:paraId="4656ED44" w14:textId="77777777" w:rsidR="007C7875" w:rsidRDefault="007C7875"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1F9A1" w14:textId="77777777" w:rsidR="007C7875" w:rsidRDefault="007C7875" w:rsidP="00A52524">
      <w:r>
        <w:separator/>
      </w:r>
    </w:p>
  </w:footnote>
  <w:footnote w:type="continuationSeparator" w:id="0">
    <w:p w14:paraId="1F033084" w14:textId="77777777" w:rsidR="007C7875" w:rsidRDefault="007C7875"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3037A6">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1A1E"/>
    <w:rsid w:val="000E2F3E"/>
    <w:rsid w:val="000F47FD"/>
    <w:rsid w:val="00104049"/>
    <w:rsid w:val="00114AEB"/>
    <w:rsid w:val="00117E43"/>
    <w:rsid w:val="00133661"/>
    <w:rsid w:val="001352EF"/>
    <w:rsid w:val="001453E9"/>
    <w:rsid w:val="0014744F"/>
    <w:rsid w:val="00155035"/>
    <w:rsid w:val="00155886"/>
    <w:rsid w:val="00155DE4"/>
    <w:rsid w:val="00163CB6"/>
    <w:rsid w:val="0017148A"/>
    <w:rsid w:val="001744F5"/>
    <w:rsid w:val="0017729E"/>
    <w:rsid w:val="00177D38"/>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F5762"/>
    <w:rsid w:val="001F6739"/>
    <w:rsid w:val="00201025"/>
    <w:rsid w:val="0020523D"/>
    <w:rsid w:val="00207563"/>
    <w:rsid w:val="002078F7"/>
    <w:rsid w:val="00210927"/>
    <w:rsid w:val="0021258E"/>
    <w:rsid w:val="00213AB9"/>
    <w:rsid w:val="002225AF"/>
    <w:rsid w:val="00224D53"/>
    <w:rsid w:val="002265FB"/>
    <w:rsid w:val="00241E0F"/>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037A6"/>
    <w:rsid w:val="003167E2"/>
    <w:rsid w:val="003301AE"/>
    <w:rsid w:val="00342B4B"/>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5640"/>
    <w:rsid w:val="00434584"/>
    <w:rsid w:val="00441287"/>
    <w:rsid w:val="00447773"/>
    <w:rsid w:val="00450256"/>
    <w:rsid w:val="00462829"/>
    <w:rsid w:val="004A4F4C"/>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4480"/>
    <w:rsid w:val="00626CE6"/>
    <w:rsid w:val="00644363"/>
    <w:rsid w:val="00647385"/>
    <w:rsid w:val="0065360B"/>
    <w:rsid w:val="006539FD"/>
    <w:rsid w:val="00670701"/>
    <w:rsid w:val="00683C22"/>
    <w:rsid w:val="006961FD"/>
    <w:rsid w:val="006A041A"/>
    <w:rsid w:val="006A0E9B"/>
    <w:rsid w:val="006A5BC0"/>
    <w:rsid w:val="006A7494"/>
    <w:rsid w:val="006B18C5"/>
    <w:rsid w:val="006B75F3"/>
    <w:rsid w:val="006D3591"/>
    <w:rsid w:val="006D4D71"/>
    <w:rsid w:val="006D5BC6"/>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663E"/>
    <w:rsid w:val="007A163E"/>
    <w:rsid w:val="007A3BDE"/>
    <w:rsid w:val="007C601B"/>
    <w:rsid w:val="007C7875"/>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852E2"/>
    <w:rsid w:val="0089215A"/>
    <w:rsid w:val="008C0A9A"/>
    <w:rsid w:val="008C6757"/>
    <w:rsid w:val="008D23DF"/>
    <w:rsid w:val="008D6C97"/>
    <w:rsid w:val="008D7A7F"/>
    <w:rsid w:val="008F3CEE"/>
    <w:rsid w:val="008F7A51"/>
    <w:rsid w:val="009022A5"/>
    <w:rsid w:val="009129F1"/>
    <w:rsid w:val="009177AB"/>
    <w:rsid w:val="0092588B"/>
    <w:rsid w:val="00931AEB"/>
    <w:rsid w:val="00931EE1"/>
    <w:rsid w:val="00932457"/>
    <w:rsid w:val="00953C44"/>
    <w:rsid w:val="00964813"/>
    <w:rsid w:val="00965126"/>
    <w:rsid w:val="0097074B"/>
    <w:rsid w:val="00994919"/>
    <w:rsid w:val="009A020D"/>
    <w:rsid w:val="009A48A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47520"/>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0AEF"/>
    <w:rsid w:val="00BE77E6"/>
    <w:rsid w:val="00BF2481"/>
    <w:rsid w:val="00BF268C"/>
    <w:rsid w:val="00BF739D"/>
    <w:rsid w:val="00C000DF"/>
    <w:rsid w:val="00C0226E"/>
    <w:rsid w:val="00C04247"/>
    <w:rsid w:val="00C06F03"/>
    <w:rsid w:val="00C11539"/>
    <w:rsid w:val="00C23689"/>
    <w:rsid w:val="00C25760"/>
    <w:rsid w:val="00C41AA1"/>
    <w:rsid w:val="00C5176B"/>
    <w:rsid w:val="00C6045F"/>
    <w:rsid w:val="00C661EB"/>
    <w:rsid w:val="00C76A01"/>
    <w:rsid w:val="00C83D58"/>
    <w:rsid w:val="00C858EE"/>
    <w:rsid w:val="00C906DE"/>
    <w:rsid w:val="00C94A54"/>
    <w:rsid w:val="00CA0399"/>
    <w:rsid w:val="00CA070D"/>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1C90"/>
    <w:rsid w:val="00D432A9"/>
    <w:rsid w:val="00D536E3"/>
    <w:rsid w:val="00D56D4E"/>
    <w:rsid w:val="00D627C1"/>
    <w:rsid w:val="00D66B74"/>
    <w:rsid w:val="00D736F0"/>
    <w:rsid w:val="00D767EA"/>
    <w:rsid w:val="00D82483"/>
    <w:rsid w:val="00D83A57"/>
    <w:rsid w:val="00D872F8"/>
    <w:rsid w:val="00D93128"/>
    <w:rsid w:val="00D96B8F"/>
    <w:rsid w:val="00DA0427"/>
    <w:rsid w:val="00DA31DC"/>
    <w:rsid w:val="00DA4550"/>
    <w:rsid w:val="00DB1804"/>
    <w:rsid w:val="00DB3C73"/>
    <w:rsid w:val="00DC1E3B"/>
    <w:rsid w:val="00DE6688"/>
    <w:rsid w:val="00DE6F9B"/>
    <w:rsid w:val="00E01918"/>
    <w:rsid w:val="00E129C4"/>
    <w:rsid w:val="00E324A6"/>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1186"/>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rauduva.lt/veik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3378</Characters>
  <Application>Microsoft Office Word</Application>
  <DocSecurity>4</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2024-02-05T06:03:00Z</dcterms:created>
  <dcterms:modified xsi:type="dcterms:W3CDTF">2024-02-05T06:03:00Z</dcterms:modified>
</cp:coreProperties>
</file>