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71846" w14:textId="5ECA87B0" w:rsidR="00B513D1" w:rsidRPr="00165059" w:rsidRDefault="009257D6">
      <w:pPr>
        <w:widowControl/>
        <w:pBdr>
          <w:top w:val="nil"/>
          <w:left w:val="nil"/>
          <w:bottom w:val="nil"/>
          <w:right w:val="nil"/>
          <w:between w:val="nil"/>
        </w:pBdr>
        <w:ind w:left="426"/>
        <w:jc w:val="center"/>
        <w:rPr>
          <w:rFonts w:eastAsia="Times New Roman"/>
          <w:b/>
          <w:color w:val="000000"/>
          <w:sz w:val="22"/>
          <w:szCs w:val="22"/>
        </w:rPr>
      </w:pPr>
      <w:bookmarkStart w:id="0" w:name="_GoBack"/>
      <w:bookmarkEnd w:id="0"/>
      <w:r w:rsidRPr="00165059">
        <w:rPr>
          <w:rFonts w:eastAsia="Times New Roman"/>
          <w:b/>
          <w:color w:val="000000"/>
          <w:sz w:val="22"/>
          <w:szCs w:val="22"/>
        </w:rPr>
        <w:t>DĖL PANEVĖŽIO MUZIKINIO TEATRO</w:t>
      </w:r>
      <w:r w:rsidR="0045323E">
        <w:rPr>
          <w:rFonts w:eastAsia="Times New Roman"/>
          <w:b/>
          <w:color w:val="000000"/>
          <w:sz w:val="22"/>
          <w:szCs w:val="22"/>
        </w:rPr>
        <w:t xml:space="preserve"> (KODAS 148428990)</w:t>
      </w:r>
    </w:p>
    <w:p w14:paraId="7D7B3494" w14:textId="414CC1C2" w:rsidR="00B513D1" w:rsidRPr="00165059" w:rsidRDefault="009257D6" w:rsidP="00D931FB">
      <w:pPr>
        <w:widowControl/>
        <w:pBdr>
          <w:top w:val="nil"/>
          <w:left w:val="nil"/>
          <w:bottom w:val="nil"/>
          <w:right w:val="nil"/>
          <w:between w:val="nil"/>
        </w:pBdr>
        <w:jc w:val="center"/>
        <w:rPr>
          <w:rFonts w:eastAsia="Times New Roman"/>
          <w:b/>
          <w:sz w:val="22"/>
          <w:szCs w:val="22"/>
        </w:rPr>
      </w:pPr>
      <w:r w:rsidRPr="00165059">
        <w:rPr>
          <w:rFonts w:eastAsia="Times New Roman"/>
          <w:b/>
          <w:color w:val="000000"/>
          <w:sz w:val="22"/>
          <w:szCs w:val="22"/>
        </w:rPr>
        <w:t xml:space="preserve">TEIKIAMŲ MOKAMŲ </w:t>
      </w:r>
      <w:r w:rsidRPr="00165059">
        <w:rPr>
          <w:rFonts w:eastAsia="Times New Roman"/>
          <w:b/>
          <w:sz w:val="22"/>
          <w:szCs w:val="22"/>
        </w:rPr>
        <w:t xml:space="preserve">PASLAUGŲ KAINORAŠČIO </w:t>
      </w:r>
      <w:r w:rsidR="00F9332D" w:rsidRPr="00F9332D">
        <w:rPr>
          <w:rFonts w:eastAsia="Times New Roman"/>
          <w:b/>
          <w:sz w:val="22"/>
          <w:szCs w:val="22"/>
        </w:rPr>
        <w:t xml:space="preserve">3 </w:t>
      </w:r>
      <w:r w:rsidR="0045323E">
        <w:rPr>
          <w:rFonts w:eastAsia="Times New Roman"/>
          <w:b/>
          <w:sz w:val="22"/>
          <w:szCs w:val="22"/>
        </w:rPr>
        <w:t xml:space="preserve">SKYRIAUS „KITOS PASLAUGOS“ PAPILDYMO </w:t>
      </w:r>
      <w:r w:rsidR="00F9332D" w:rsidRPr="00F9332D">
        <w:rPr>
          <w:rFonts w:eastAsia="Times New Roman"/>
          <w:b/>
          <w:sz w:val="22"/>
          <w:szCs w:val="22"/>
        </w:rPr>
        <w:t>3.9.</w:t>
      </w:r>
      <w:r w:rsidR="00792CE3">
        <w:rPr>
          <w:rFonts w:eastAsia="Times New Roman"/>
          <w:b/>
          <w:sz w:val="22"/>
          <w:szCs w:val="22"/>
        </w:rPr>
        <w:t>;</w:t>
      </w:r>
      <w:r w:rsidR="00F9332D" w:rsidRPr="00F9332D">
        <w:rPr>
          <w:rFonts w:eastAsia="Times New Roman"/>
          <w:b/>
          <w:sz w:val="22"/>
          <w:szCs w:val="22"/>
        </w:rPr>
        <w:t xml:space="preserve"> 3.10</w:t>
      </w:r>
      <w:r w:rsidR="0045323E">
        <w:rPr>
          <w:rFonts w:eastAsia="Times New Roman"/>
          <w:b/>
          <w:sz w:val="22"/>
          <w:szCs w:val="22"/>
        </w:rPr>
        <w:t>,</w:t>
      </w:r>
      <w:r w:rsidR="00792CE3">
        <w:rPr>
          <w:rFonts w:eastAsia="Times New Roman"/>
          <w:b/>
          <w:sz w:val="22"/>
          <w:szCs w:val="22"/>
        </w:rPr>
        <w:t xml:space="preserve"> 3.11. </w:t>
      </w:r>
      <w:r w:rsidR="00F9332D" w:rsidRPr="00F9332D">
        <w:rPr>
          <w:rFonts w:eastAsia="Times New Roman"/>
          <w:b/>
          <w:sz w:val="22"/>
          <w:szCs w:val="22"/>
        </w:rPr>
        <w:t>PAPUNKČI</w:t>
      </w:r>
      <w:r w:rsidR="0045323E">
        <w:rPr>
          <w:rFonts w:eastAsia="Times New Roman"/>
          <w:b/>
          <w:sz w:val="22"/>
          <w:szCs w:val="22"/>
        </w:rPr>
        <w:t>AIS</w:t>
      </w:r>
    </w:p>
    <w:tbl>
      <w:tblPr>
        <w:tblpPr w:leftFromText="180" w:rightFromText="180" w:vertAnchor="text" w:tblpY="102"/>
        <w:tblW w:w="149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 w:type="dxa"/>
          <w:right w:w="10" w:type="dxa"/>
        </w:tblCellMar>
        <w:tblLook w:val="0000" w:firstRow="0" w:lastRow="0" w:firstColumn="0" w:lastColumn="0" w:noHBand="0" w:noVBand="0"/>
      </w:tblPr>
      <w:tblGrid>
        <w:gridCol w:w="720"/>
        <w:gridCol w:w="2580"/>
        <w:gridCol w:w="705"/>
        <w:gridCol w:w="1215"/>
        <w:gridCol w:w="1170"/>
        <w:gridCol w:w="1590"/>
        <w:gridCol w:w="2788"/>
        <w:gridCol w:w="4224"/>
      </w:tblGrid>
      <w:tr w:rsidR="00696AFB" w:rsidRPr="00165059" w14:paraId="7FA48291" w14:textId="77777777" w:rsidTr="009E51BF">
        <w:trPr>
          <w:cantSplit/>
          <w:trHeight w:val="604"/>
        </w:trPr>
        <w:tc>
          <w:tcPr>
            <w:tcW w:w="720" w:type="dxa"/>
            <w:shd w:val="clear" w:color="auto" w:fill="auto"/>
            <w:tcMar>
              <w:top w:w="0" w:type="dxa"/>
              <w:left w:w="108" w:type="dxa"/>
              <w:bottom w:w="0" w:type="dxa"/>
              <w:right w:w="108" w:type="dxa"/>
            </w:tcMar>
            <w:vAlign w:val="center"/>
          </w:tcPr>
          <w:p w14:paraId="7A9D1B68"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Eil.</w:t>
            </w:r>
          </w:p>
          <w:p w14:paraId="7831588B"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Nr.</w:t>
            </w:r>
          </w:p>
        </w:tc>
        <w:tc>
          <w:tcPr>
            <w:tcW w:w="2580" w:type="dxa"/>
            <w:shd w:val="clear" w:color="auto" w:fill="auto"/>
            <w:tcMar>
              <w:top w:w="0" w:type="dxa"/>
              <w:left w:w="108" w:type="dxa"/>
              <w:bottom w:w="0" w:type="dxa"/>
              <w:right w:w="108" w:type="dxa"/>
            </w:tcMar>
            <w:vAlign w:val="center"/>
          </w:tcPr>
          <w:p w14:paraId="181EBEC4"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Paslaugų pavadinimas</w:t>
            </w:r>
          </w:p>
        </w:tc>
        <w:tc>
          <w:tcPr>
            <w:tcW w:w="705" w:type="dxa"/>
            <w:shd w:val="clear" w:color="auto" w:fill="auto"/>
            <w:tcMar>
              <w:top w:w="0" w:type="dxa"/>
              <w:left w:w="108" w:type="dxa"/>
              <w:bottom w:w="0" w:type="dxa"/>
              <w:right w:w="108" w:type="dxa"/>
            </w:tcMar>
            <w:vAlign w:val="center"/>
          </w:tcPr>
          <w:p w14:paraId="6E8918D4"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Mato vnt.</w:t>
            </w:r>
          </w:p>
        </w:tc>
        <w:tc>
          <w:tcPr>
            <w:tcW w:w="1215" w:type="dxa"/>
            <w:shd w:val="clear" w:color="auto" w:fill="auto"/>
            <w:tcMar>
              <w:top w:w="0" w:type="dxa"/>
              <w:left w:w="108" w:type="dxa"/>
              <w:bottom w:w="0" w:type="dxa"/>
              <w:right w:w="108" w:type="dxa"/>
            </w:tcMar>
            <w:vAlign w:val="center"/>
          </w:tcPr>
          <w:p w14:paraId="1C8A5CA0"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Senas tarifas</w:t>
            </w:r>
          </w:p>
          <w:p w14:paraId="03103747"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(Eur)</w:t>
            </w:r>
          </w:p>
        </w:tc>
        <w:tc>
          <w:tcPr>
            <w:tcW w:w="1170" w:type="dxa"/>
            <w:shd w:val="clear" w:color="auto" w:fill="auto"/>
          </w:tcPr>
          <w:p w14:paraId="20254768"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 xml:space="preserve">Naujas tarifas </w:t>
            </w:r>
          </w:p>
          <w:p w14:paraId="5131257E"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(Eur)</w:t>
            </w:r>
          </w:p>
        </w:tc>
        <w:tc>
          <w:tcPr>
            <w:tcW w:w="1590" w:type="dxa"/>
            <w:shd w:val="clear" w:color="auto" w:fill="auto"/>
          </w:tcPr>
          <w:p w14:paraId="657832E8"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 xml:space="preserve">Pastabos </w:t>
            </w:r>
          </w:p>
          <w:p w14:paraId="4F45C9D8"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(naujas tarifas, naikinamas tarifas, padidėjęs tarifas, sumažėjęs tarifas, nepakitęs tarifas)</w:t>
            </w:r>
          </w:p>
        </w:tc>
        <w:tc>
          <w:tcPr>
            <w:tcW w:w="2788" w:type="dxa"/>
            <w:shd w:val="clear" w:color="auto" w:fill="auto"/>
          </w:tcPr>
          <w:p w14:paraId="435D3BF6"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Pagrįsti prašomo tarifo (pakėlimo/sumažinimo/naujos paslaugos) dydį</w:t>
            </w:r>
          </w:p>
          <w:p w14:paraId="6AD213B2"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(Kokios prekių/paslaugų išlaidų grupės sudaro bilieto/paslaugų kainą? Kokios išlaidos padidėjo ir/ar atsirado naujos? Kiti veiksniai turėję įtakos prašomo tarifo dydžiui?)</w:t>
            </w:r>
          </w:p>
        </w:tc>
        <w:tc>
          <w:tcPr>
            <w:tcW w:w="4224" w:type="dxa"/>
            <w:shd w:val="clear" w:color="auto" w:fill="auto"/>
          </w:tcPr>
          <w:p w14:paraId="184A90DF" w14:textId="77777777" w:rsidR="00696AFB" w:rsidRPr="00D2507B" w:rsidRDefault="00696AFB" w:rsidP="00D2507B">
            <w:pPr>
              <w:widowControl/>
              <w:pBdr>
                <w:top w:val="nil"/>
                <w:left w:val="nil"/>
                <w:bottom w:val="nil"/>
                <w:right w:val="nil"/>
                <w:between w:val="nil"/>
              </w:pBdr>
              <w:rPr>
                <w:rFonts w:eastAsia="Times New Roman"/>
                <w:sz w:val="22"/>
                <w:szCs w:val="22"/>
              </w:rPr>
            </w:pPr>
            <w:r w:rsidRPr="00D2507B">
              <w:rPr>
                <w:rFonts w:eastAsia="Times New Roman"/>
                <w:sz w:val="22"/>
                <w:szCs w:val="22"/>
              </w:rPr>
              <w:t>Kainų palyginimas su atitinkamas paslaugas teikiančių įstaigų (Panevėžio ir/ar Lietuvos) paslaugų kainomis</w:t>
            </w:r>
          </w:p>
        </w:tc>
      </w:tr>
      <w:tr w:rsidR="00696AFB" w:rsidRPr="00165059" w14:paraId="23A15302" w14:textId="77777777" w:rsidTr="009E51BF">
        <w:trPr>
          <w:cantSplit/>
        </w:trPr>
        <w:tc>
          <w:tcPr>
            <w:tcW w:w="720" w:type="dxa"/>
            <w:shd w:val="clear" w:color="auto" w:fill="auto"/>
            <w:tcMar>
              <w:top w:w="0" w:type="dxa"/>
              <w:left w:w="108" w:type="dxa"/>
              <w:bottom w:w="0" w:type="dxa"/>
              <w:right w:w="108" w:type="dxa"/>
            </w:tcMar>
          </w:tcPr>
          <w:p w14:paraId="6531E06C" w14:textId="77777777" w:rsidR="00696AFB" w:rsidRPr="00D2507B" w:rsidRDefault="00696AFB" w:rsidP="00D2507B">
            <w:pPr>
              <w:widowControl/>
              <w:pBdr>
                <w:top w:val="nil"/>
                <w:left w:val="nil"/>
                <w:bottom w:val="nil"/>
                <w:right w:val="nil"/>
                <w:between w:val="nil"/>
              </w:pBdr>
              <w:jc w:val="center"/>
              <w:rPr>
                <w:rFonts w:eastAsia="Times New Roman"/>
                <w:sz w:val="22"/>
                <w:szCs w:val="22"/>
              </w:rPr>
            </w:pPr>
            <w:r w:rsidRPr="00D2507B">
              <w:rPr>
                <w:rFonts w:eastAsia="Times New Roman"/>
                <w:sz w:val="22"/>
                <w:szCs w:val="22"/>
              </w:rPr>
              <w:t>1</w:t>
            </w:r>
          </w:p>
        </w:tc>
        <w:tc>
          <w:tcPr>
            <w:tcW w:w="2580" w:type="dxa"/>
            <w:shd w:val="clear" w:color="auto" w:fill="auto"/>
            <w:tcMar>
              <w:top w:w="0" w:type="dxa"/>
              <w:left w:w="108" w:type="dxa"/>
              <w:bottom w:w="0" w:type="dxa"/>
              <w:right w:w="108" w:type="dxa"/>
            </w:tcMar>
          </w:tcPr>
          <w:p w14:paraId="457B70DE" w14:textId="77777777" w:rsidR="00696AFB" w:rsidRPr="00D2507B" w:rsidRDefault="00696AFB" w:rsidP="00D2507B">
            <w:pPr>
              <w:widowControl/>
              <w:pBdr>
                <w:top w:val="nil"/>
                <w:left w:val="nil"/>
                <w:bottom w:val="nil"/>
                <w:right w:val="nil"/>
                <w:between w:val="nil"/>
              </w:pBdr>
              <w:jc w:val="center"/>
              <w:rPr>
                <w:rFonts w:eastAsia="Times New Roman"/>
                <w:sz w:val="22"/>
                <w:szCs w:val="22"/>
              </w:rPr>
            </w:pPr>
            <w:r w:rsidRPr="00D2507B">
              <w:rPr>
                <w:rFonts w:eastAsia="Times New Roman"/>
                <w:sz w:val="22"/>
                <w:szCs w:val="22"/>
              </w:rPr>
              <w:t>2</w:t>
            </w:r>
          </w:p>
        </w:tc>
        <w:tc>
          <w:tcPr>
            <w:tcW w:w="705" w:type="dxa"/>
            <w:shd w:val="clear" w:color="auto" w:fill="auto"/>
            <w:tcMar>
              <w:top w:w="0" w:type="dxa"/>
              <w:left w:w="108" w:type="dxa"/>
              <w:bottom w:w="0" w:type="dxa"/>
              <w:right w:w="108" w:type="dxa"/>
            </w:tcMar>
          </w:tcPr>
          <w:p w14:paraId="2BA5C220" w14:textId="77777777" w:rsidR="00696AFB" w:rsidRPr="00D2507B" w:rsidRDefault="00696AFB" w:rsidP="00D2507B">
            <w:pPr>
              <w:widowControl/>
              <w:pBdr>
                <w:top w:val="nil"/>
                <w:left w:val="nil"/>
                <w:bottom w:val="nil"/>
                <w:right w:val="nil"/>
                <w:between w:val="nil"/>
              </w:pBdr>
              <w:jc w:val="center"/>
              <w:rPr>
                <w:rFonts w:eastAsia="Times New Roman"/>
                <w:sz w:val="22"/>
                <w:szCs w:val="22"/>
              </w:rPr>
            </w:pPr>
            <w:r w:rsidRPr="00D2507B">
              <w:rPr>
                <w:rFonts w:eastAsia="Times New Roman"/>
                <w:sz w:val="22"/>
                <w:szCs w:val="22"/>
              </w:rPr>
              <w:t>3</w:t>
            </w:r>
          </w:p>
        </w:tc>
        <w:tc>
          <w:tcPr>
            <w:tcW w:w="1215" w:type="dxa"/>
            <w:shd w:val="clear" w:color="auto" w:fill="auto"/>
            <w:tcMar>
              <w:top w:w="0" w:type="dxa"/>
              <w:left w:w="108" w:type="dxa"/>
              <w:bottom w:w="0" w:type="dxa"/>
              <w:right w:w="108" w:type="dxa"/>
            </w:tcMar>
            <w:vAlign w:val="center"/>
          </w:tcPr>
          <w:p w14:paraId="1115186D" w14:textId="77777777" w:rsidR="00696AFB" w:rsidRPr="00D2507B" w:rsidRDefault="00696AFB" w:rsidP="00D2507B">
            <w:pPr>
              <w:widowControl/>
              <w:pBdr>
                <w:top w:val="nil"/>
                <w:left w:val="nil"/>
                <w:bottom w:val="nil"/>
                <w:right w:val="nil"/>
                <w:between w:val="nil"/>
              </w:pBdr>
              <w:jc w:val="center"/>
              <w:rPr>
                <w:rFonts w:eastAsia="Times New Roman"/>
                <w:sz w:val="22"/>
                <w:szCs w:val="22"/>
              </w:rPr>
            </w:pPr>
            <w:r w:rsidRPr="00D2507B">
              <w:rPr>
                <w:rFonts w:eastAsia="Times New Roman"/>
                <w:sz w:val="22"/>
                <w:szCs w:val="22"/>
              </w:rPr>
              <w:t>4</w:t>
            </w:r>
          </w:p>
        </w:tc>
        <w:tc>
          <w:tcPr>
            <w:tcW w:w="1170" w:type="dxa"/>
            <w:shd w:val="clear" w:color="auto" w:fill="auto"/>
          </w:tcPr>
          <w:p w14:paraId="7156B60E" w14:textId="77777777" w:rsidR="00696AFB" w:rsidRPr="00D2507B" w:rsidRDefault="00696AFB" w:rsidP="00D2507B">
            <w:pPr>
              <w:widowControl/>
              <w:pBdr>
                <w:top w:val="nil"/>
                <w:left w:val="nil"/>
                <w:bottom w:val="nil"/>
                <w:right w:val="nil"/>
                <w:between w:val="nil"/>
              </w:pBdr>
              <w:jc w:val="center"/>
              <w:rPr>
                <w:rFonts w:eastAsia="Times New Roman"/>
                <w:sz w:val="22"/>
                <w:szCs w:val="22"/>
              </w:rPr>
            </w:pPr>
            <w:r w:rsidRPr="00D2507B">
              <w:rPr>
                <w:rFonts w:eastAsia="Times New Roman"/>
                <w:sz w:val="22"/>
                <w:szCs w:val="22"/>
              </w:rPr>
              <w:t>5</w:t>
            </w:r>
          </w:p>
        </w:tc>
        <w:tc>
          <w:tcPr>
            <w:tcW w:w="1590" w:type="dxa"/>
            <w:shd w:val="clear" w:color="auto" w:fill="auto"/>
          </w:tcPr>
          <w:p w14:paraId="26933A96" w14:textId="77777777" w:rsidR="00696AFB" w:rsidRPr="00D2507B" w:rsidRDefault="00696AFB" w:rsidP="00D2507B">
            <w:pPr>
              <w:widowControl/>
              <w:pBdr>
                <w:top w:val="nil"/>
                <w:left w:val="nil"/>
                <w:bottom w:val="nil"/>
                <w:right w:val="nil"/>
                <w:between w:val="nil"/>
              </w:pBdr>
              <w:jc w:val="center"/>
              <w:rPr>
                <w:rFonts w:eastAsia="Times New Roman"/>
                <w:sz w:val="22"/>
                <w:szCs w:val="22"/>
              </w:rPr>
            </w:pPr>
            <w:r w:rsidRPr="00D2507B">
              <w:rPr>
                <w:rFonts w:eastAsia="Times New Roman"/>
                <w:sz w:val="22"/>
                <w:szCs w:val="22"/>
              </w:rPr>
              <w:t>6</w:t>
            </w:r>
          </w:p>
        </w:tc>
        <w:tc>
          <w:tcPr>
            <w:tcW w:w="2788" w:type="dxa"/>
            <w:shd w:val="clear" w:color="auto" w:fill="auto"/>
          </w:tcPr>
          <w:p w14:paraId="793B5DF0" w14:textId="77777777" w:rsidR="00696AFB" w:rsidRPr="00D2507B" w:rsidRDefault="00696AFB" w:rsidP="00D2507B">
            <w:pPr>
              <w:widowControl/>
              <w:pBdr>
                <w:top w:val="nil"/>
                <w:left w:val="nil"/>
                <w:bottom w:val="nil"/>
                <w:right w:val="nil"/>
                <w:between w:val="nil"/>
              </w:pBdr>
              <w:jc w:val="center"/>
              <w:rPr>
                <w:rFonts w:eastAsia="Times New Roman"/>
                <w:sz w:val="22"/>
                <w:szCs w:val="22"/>
              </w:rPr>
            </w:pPr>
            <w:r w:rsidRPr="00D2507B">
              <w:rPr>
                <w:rFonts w:eastAsia="Times New Roman"/>
                <w:sz w:val="22"/>
                <w:szCs w:val="22"/>
              </w:rPr>
              <w:t>7</w:t>
            </w:r>
          </w:p>
        </w:tc>
        <w:tc>
          <w:tcPr>
            <w:tcW w:w="4224" w:type="dxa"/>
            <w:shd w:val="clear" w:color="auto" w:fill="auto"/>
          </w:tcPr>
          <w:p w14:paraId="758FAB08" w14:textId="77777777" w:rsidR="00696AFB" w:rsidRPr="00D2507B" w:rsidRDefault="00696AFB" w:rsidP="00D2507B">
            <w:pPr>
              <w:widowControl/>
              <w:pBdr>
                <w:top w:val="nil"/>
                <w:left w:val="nil"/>
                <w:bottom w:val="nil"/>
                <w:right w:val="nil"/>
                <w:between w:val="nil"/>
              </w:pBdr>
              <w:jc w:val="center"/>
              <w:rPr>
                <w:rFonts w:eastAsia="Times New Roman"/>
                <w:sz w:val="22"/>
                <w:szCs w:val="22"/>
              </w:rPr>
            </w:pPr>
            <w:r w:rsidRPr="00D2507B">
              <w:rPr>
                <w:rFonts w:eastAsia="Times New Roman"/>
                <w:sz w:val="22"/>
                <w:szCs w:val="22"/>
              </w:rPr>
              <w:t>8</w:t>
            </w:r>
          </w:p>
        </w:tc>
      </w:tr>
      <w:tr w:rsidR="001B2B2A" w:rsidRPr="00165059" w14:paraId="6350876A" w14:textId="77777777" w:rsidTr="009E51BF">
        <w:trPr>
          <w:cantSplit/>
        </w:trPr>
        <w:tc>
          <w:tcPr>
            <w:tcW w:w="14992" w:type="dxa"/>
            <w:gridSpan w:val="8"/>
            <w:shd w:val="clear" w:color="auto" w:fill="auto"/>
            <w:tcMar>
              <w:top w:w="0" w:type="dxa"/>
              <w:left w:w="108" w:type="dxa"/>
              <w:bottom w:w="0" w:type="dxa"/>
              <w:right w:w="108" w:type="dxa"/>
            </w:tcMar>
          </w:tcPr>
          <w:p w14:paraId="7EFA4C5D" w14:textId="77777777" w:rsidR="001B2B2A" w:rsidRPr="00D2507B" w:rsidRDefault="001B2B2A" w:rsidP="00D2507B">
            <w:pPr>
              <w:pStyle w:val="Sraopastraipa"/>
              <w:widowControl/>
              <w:numPr>
                <w:ilvl w:val="0"/>
                <w:numId w:val="5"/>
              </w:numPr>
              <w:pBdr>
                <w:top w:val="nil"/>
                <w:left w:val="nil"/>
                <w:bottom w:val="nil"/>
                <w:right w:val="nil"/>
                <w:between w:val="nil"/>
              </w:pBdr>
              <w:rPr>
                <w:rFonts w:eastAsia="Times New Roman"/>
                <w:b/>
                <w:bCs/>
                <w:sz w:val="22"/>
                <w:szCs w:val="22"/>
              </w:rPr>
            </w:pPr>
            <w:r w:rsidRPr="00D2507B">
              <w:rPr>
                <w:rFonts w:eastAsia="Times New Roman"/>
                <w:b/>
                <w:bCs/>
                <w:sz w:val="22"/>
                <w:szCs w:val="22"/>
              </w:rPr>
              <w:t>KITOS PASLAUGOS</w:t>
            </w:r>
          </w:p>
        </w:tc>
      </w:tr>
      <w:tr w:rsidR="00F9332D" w:rsidRPr="00165059" w14:paraId="7B89F9CE" w14:textId="77777777" w:rsidTr="00D64B69">
        <w:trPr>
          <w:cantSplit/>
          <w:trHeight w:val="151"/>
        </w:trPr>
        <w:tc>
          <w:tcPr>
            <w:tcW w:w="720" w:type="dxa"/>
            <w:shd w:val="clear" w:color="auto" w:fill="auto"/>
            <w:tcMar>
              <w:top w:w="0" w:type="dxa"/>
              <w:left w:w="108" w:type="dxa"/>
              <w:bottom w:w="0" w:type="dxa"/>
              <w:right w:w="108" w:type="dxa"/>
            </w:tcMar>
          </w:tcPr>
          <w:p w14:paraId="2367E29F" w14:textId="77777777" w:rsidR="00F9332D" w:rsidRPr="00D2507B" w:rsidRDefault="00F9332D" w:rsidP="00D2507B">
            <w:pPr>
              <w:jc w:val="center"/>
              <w:rPr>
                <w:sz w:val="22"/>
                <w:szCs w:val="22"/>
              </w:rPr>
            </w:pPr>
            <w:r>
              <w:rPr>
                <w:sz w:val="22"/>
                <w:szCs w:val="22"/>
              </w:rPr>
              <w:t>3.9.</w:t>
            </w:r>
          </w:p>
        </w:tc>
        <w:tc>
          <w:tcPr>
            <w:tcW w:w="2580" w:type="dxa"/>
            <w:shd w:val="clear" w:color="auto" w:fill="auto"/>
            <w:tcMar>
              <w:top w:w="0" w:type="dxa"/>
              <w:left w:w="108" w:type="dxa"/>
              <w:bottom w:w="0" w:type="dxa"/>
              <w:right w:w="108" w:type="dxa"/>
            </w:tcMar>
          </w:tcPr>
          <w:p w14:paraId="636DC3ED" w14:textId="77777777" w:rsidR="00F9332D" w:rsidRPr="00D2507B" w:rsidRDefault="00F9332D" w:rsidP="00D2507B">
            <w:pPr>
              <w:pStyle w:val="prastasiniatinklio"/>
              <w:spacing w:before="0" w:after="0"/>
              <w:jc w:val="both"/>
              <w:rPr>
                <w:color w:val="000000"/>
                <w:sz w:val="22"/>
                <w:szCs w:val="22"/>
              </w:rPr>
            </w:pPr>
            <w:r>
              <w:rPr>
                <w:color w:val="000000"/>
                <w:sz w:val="22"/>
                <w:szCs w:val="22"/>
              </w:rPr>
              <w:t>Įstaigos leidinys</w:t>
            </w:r>
          </w:p>
        </w:tc>
        <w:tc>
          <w:tcPr>
            <w:tcW w:w="705" w:type="dxa"/>
            <w:shd w:val="clear" w:color="auto" w:fill="auto"/>
            <w:tcMar>
              <w:top w:w="0" w:type="dxa"/>
              <w:left w:w="108" w:type="dxa"/>
              <w:bottom w:w="0" w:type="dxa"/>
              <w:right w:w="108" w:type="dxa"/>
            </w:tcMar>
          </w:tcPr>
          <w:p w14:paraId="050256F5" w14:textId="77777777" w:rsidR="00F9332D" w:rsidRPr="00D2507B" w:rsidRDefault="00F9332D" w:rsidP="00D2507B">
            <w:pPr>
              <w:jc w:val="center"/>
              <w:rPr>
                <w:sz w:val="22"/>
                <w:szCs w:val="22"/>
              </w:rPr>
            </w:pPr>
            <w:r>
              <w:rPr>
                <w:sz w:val="22"/>
                <w:szCs w:val="22"/>
              </w:rPr>
              <w:t>1 vnt.</w:t>
            </w:r>
          </w:p>
        </w:tc>
        <w:tc>
          <w:tcPr>
            <w:tcW w:w="1215" w:type="dxa"/>
            <w:shd w:val="clear" w:color="auto" w:fill="auto"/>
            <w:tcMar>
              <w:top w:w="0" w:type="dxa"/>
              <w:left w:w="108" w:type="dxa"/>
              <w:bottom w:w="0" w:type="dxa"/>
              <w:right w:w="108" w:type="dxa"/>
            </w:tcMar>
          </w:tcPr>
          <w:p w14:paraId="45CEB225" w14:textId="77777777" w:rsidR="00F9332D" w:rsidRDefault="00F9332D" w:rsidP="00D2507B">
            <w:pPr>
              <w:jc w:val="center"/>
              <w:rPr>
                <w:sz w:val="22"/>
                <w:szCs w:val="22"/>
              </w:rPr>
            </w:pPr>
          </w:p>
        </w:tc>
        <w:tc>
          <w:tcPr>
            <w:tcW w:w="1170" w:type="dxa"/>
            <w:shd w:val="clear" w:color="auto" w:fill="auto"/>
          </w:tcPr>
          <w:p w14:paraId="259517AD" w14:textId="77777777" w:rsidR="00F9332D" w:rsidRPr="00D2507B" w:rsidRDefault="00C34E2B" w:rsidP="00F9332D">
            <w:pPr>
              <w:jc w:val="center"/>
              <w:rPr>
                <w:sz w:val="22"/>
                <w:szCs w:val="22"/>
              </w:rPr>
            </w:pPr>
            <w:r>
              <w:rPr>
                <w:sz w:val="22"/>
                <w:szCs w:val="22"/>
              </w:rPr>
              <w:t>2,00 + savikaina</w:t>
            </w:r>
          </w:p>
        </w:tc>
        <w:tc>
          <w:tcPr>
            <w:tcW w:w="1590" w:type="dxa"/>
            <w:shd w:val="clear" w:color="auto" w:fill="auto"/>
          </w:tcPr>
          <w:p w14:paraId="63BA0057" w14:textId="77777777" w:rsidR="00F9332D" w:rsidRPr="00D64B69" w:rsidRDefault="00F9332D" w:rsidP="00D2507B">
            <w:pPr>
              <w:rPr>
                <w:sz w:val="22"/>
                <w:szCs w:val="22"/>
              </w:rPr>
            </w:pPr>
            <w:r w:rsidRPr="00D64B69">
              <w:rPr>
                <w:sz w:val="22"/>
                <w:szCs w:val="22"/>
              </w:rPr>
              <w:t>Naujas tarifas</w:t>
            </w:r>
          </w:p>
        </w:tc>
        <w:tc>
          <w:tcPr>
            <w:tcW w:w="2788" w:type="dxa"/>
            <w:shd w:val="clear" w:color="auto" w:fill="auto"/>
          </w:tcPr>
          <w:p w14:paraId="71AC0828" w14:textId="77777777" w:rsidR="00F9332D" w:rsidRPr="00D2507B" w:rsidRDefault="00F9332D" w:rsidP="00D64B69">
            <w:pPr>
              <w:jc w:val="both"/>
              <w:rPr>
                <w:color w:val="000000"/>
                <w:sz w:val="22"/>
                <w:szCs w:val="22"/>
              </w:rPr>
            </w:pPr>
            <w:r w:rsidRPr="00F9332D">
              <w:rPr>
                <w:color w:val="000000"/>
                <w:sz w:val="22"/>
                <w:szCs w:val="22"/>
              </w:rPr>
              <w:t>Gerinant Įstaigos paslaugų kokybę, siekiant didesnio auditorijos įsitraukimo, edukacijos, išsamesnio vykstančių renginių pristatymo, numatoma naujų programų pristatymui, premjeriniams spektakliams bei kt. leisti išsamius leidinius. Savikainos kaina gali keistis priklausomai nuo leidinio tiražo.</w:t>
            </w:r>
          </w:p>
        </w:tc>
        <w:tc>
          <w:tcPr>
            <w:tcW w:w="4224" w:type="dxa"/>
            <w:shd w:val="clear" w:color="auto" w:fill="FFFFFF"/>
          </w:tcPr>
          <w:p w14:paraId="6FC1DEB7" w14:textId="36BF1B89" w:rsidR="00F9332D" w:rsidRPr="00D2507B" w:rsidRDefault="009067C1" w:rsidP="00D64B69">
            <w:pPr>
              <w:widowControl/>
              <w:rPr>
                <w:sz w:val="22"/>
                <w:szCs w:val="22"/>
              </w:rPr>
            </w:pPr>
            <w:r w:rsidRPr="009067C1">
              <w:rPr>
                <w:sz w:val="22"/>
                <w:szCs w:val="22"/>
              </w:rPr>
              <w:t xml:space="preserve">Kauno kamerinis teatras  60 </w:t>
            </w:r>
            <w:r w:rsidR="00D64B69">
              <w:rPr>
                <w:sz w:val="22"/>
                <w:szCs w:val="22"/>
              </w:rPr>
              <w:t>%</w:t>
            </w:r>
            <w:r w:rsidRPr="009067C1">
              <w:rPr>
                <w:sz w:val="22"/>
                <w:szCs w:val="22"/>
              </w:rPr>
              <w:t>. nuo prekės savikainos.</w:t>
            </w:r>
          </w:p>
        </w:tc>
      </w:tr>
      <w:tr w:rsidR="00C34E2B" w:rsidRPr="00165059" w14:paraId="003ADA25" w14:textId="77777777" w:rsidTr="00D64B69">
        <w:trPr>
          <w:cantSplit/>
          <w:trHeight w:val="151"/>
        </w:trPr>
        <w:tc>
          <w:tcPr>
            <w:tcW w:w="720" w:type="dxa"/>
            <w:shd w:val="clear" w:color="auto" w:fill="auto"/>
            <w:tcMar>
              <w:top w:w="0" w:type="dxa"/>
              <w:left w:w="108" w:type="dxa"/>
              <w:bottom w:w="0" w:type="dxa"/>
              <w:right w:w="108" w:type="dxa"/>
            </w:tcMar>
          </w:tcPr>
          <w:p w14:paraId="77414041" w14:textId="77777777" w:rsidR="00C34E2B" w:rsidRDefault="00C34E2B" w:rsidP="00D2507B">
            <w:pPr>
              <w:jc w:val="center"/>
              <w:rPr>
                <w:sz w:val="22"/>
                <w:szCs w:val="22"/>
              </w:rPr>
            </w:pPr>
            <w:r>
              <w:rPr>
                <w:sz w:val="22"/>
                <w:szCs w:val="22"/>
              </w:rPr>
              <w:t>3.10.</w:t>
            </w:r>
          </w:p>
        </w:tc>
        <w:tc>
          <w:tcPr>
            <w:tcW w:w="2580" w:type="dxa"/>
            <w:shd w:val="clear" w:color="auto" w:fill="auto"/>
            <w:tcMar>
              <w:top w:w="0" w:type="dxa"/>
              <w:left w:w="108" w:type="dxa"/>
              <w:bottom w:w="0" w:type="dxa"/>
              <w:right w:w="108" w:type="dxa"/>
            </w:tcMar>
          </w:tcPr>
          <w:p w14:paraId="1D4AF786" w14:textId="77777777" w:rsidR="00C34E2B" w:rsidRDefault="00C34E2B" w:rsidP="00D2507B">
            <w:pPr>
              <w:pStyle w:val="prastasiniatinklio"/>
              <w:spacing w:before="0" w:after="0"/>
              <w:jc w:val="both"/>
              <w:rPr>
                <w:color w:val="000000"/>
                <w:sz w:val="22"/>
                <w:szCs w:val="22"/>
              </w:rPr>
            </w:pPr>
            <w:r>
              <w:rPr>
                <w:color w:val="000000"/>
                <w:sz w:val="22"/>
                <w:szCs w:val="22"/>
              </w:rPr>
              <w:t>Prekyba teatro suvenyrais</w:t>
            </w:r>
          </w:p>
        </w:tc>
        <w:tc>
          <w:tcPr>
            <w:tcW w:w="705" w:type="dxa"/>
            <w:shd w:val="clear" w:color="auto" w:fill="auto"/>
            <w:tcMar>
              <w:top w:w="0" w:type="dxa"/>
              <w:left w:w="108" w:type="dxa"/>
              <w:bottom w:w="0" w:type="dxa"/>
              <w:right w:w="108" w:type="dxa"/>
            </w:tcMar>
          </w:tcPr>
          <w:p w14:paraId="60069789" w14:textId="77777777" w:rsidR="00C34E2B" w:rsidRDefault="00C34E2B" w:rsidP="00D2507B">
            <w:pPr>
              <w:jc w:val="center"/>
              <w:rPr>
                <w:sz w:val="22"/>
                <w:szCs w:val="22"/>
              </w:rPr>
            </w:pPr>
            <w:r>
              <w:rPr>
                <w:sz w:val="22"/>
                <w:szCs w:val="22"/>
              </w:rPr>
              <w:t>1 vnt.</w:t>
            </w:r>
          </w:p>
        </w:tc>
        <w:tc>
          <w:tcPr>
            <w:tcW w:w="1215" w:type="dxa"/>
            <w:shd w:val="clear" w:color="auto" w:fill="auto"/>
            <w:tcMar>
              <w:top w:w="0" w:type="dxa"/>
              <w:left w:w="108" w:type="dxa"/>
              <w:bottom w:w="0" w:type="dxa"/>
              <w:right w:w="108" w:type="dxa"/>
            </w:tcMar>
          </w:tcPr>
          <w:p w14:paraId="77F04406" w14:textId="77777777" w:rsidR="00C34E2B" w:rsidRDefault="00C34E2B" w:rsidP="00D2507B">
            <w:pPr>
              <w:jc w:val="center"/>
              <w:rPr>
                <w:sz w:val="22"/>
                <w:szCs w:val="22"/>
              </w:rPr>
            </w:pPr>
          </w:p>
        </w:tc>
        <w:tc>
          <w:tcPr>
            <w:tcW w:w="1170" w:type="dxa"/>
            <w:shd w:val="clear" w:color="auto" w:fill="auto"/>
          </w:tcPr>
          <w:p w14:paraId="576E918A" w14:textId="5312C603" w:rsidR="00FF614A" w:rsidRPr="00FF614A" w:rsidRDefault="00FF614A" w:rsidP="00FF614A">
            <w:pPr>
              <w:jc w:val="center"/>
              <w:rPr>
                <w:sz w:val="22"/>
                <w:szCs w:val="22"/>
              </w:rPr>
            </w:pPr>
            <w:r w:rsidRPr="00FF614A">
              <w:rPr>
                <w:sz w:val="22"/>
                <w:szCs w:val="22"/>
              </w:rPr>
              <w:t xml:space="preserve">50 </w:t>
            </w:r>
            <w:r w:rsidR="00D64B69">
              <w:rPr>
                <w:sz w:val="22"/>
                <w:szCs w:val="22"/>
                <w:lang w:val="en-US"/>
              </w:rPr>
              <w:t>%</w:t>
            </w:r>
            <w:r w:rsidRPr="00FF614A">
              <w:rPr>
                <w:sz w:val="22"/>
                <w:szCs w:val="22"/>
              </w:rPr>
              <w:t xml:space="preserve"> nuo prekės</w:t>
            </w:r>
          </w:p>
          <w:p w14:paraId="47D2429C" w14:textId="77777777" w:rsidR="00C34E2B" w:rsidRDefault="00FF614A" w:rsidP="00FF614A">
            <w:pPr>
              <w:jc w:val="center"/>
              <w:rPr>
                <w:sz w:val="22"/>
                <w:szCs w:val="22"/>
              </w:rPr>
            </w:pPr>
            <w:r w:rsidRPr="00FF614A">
              <w:rPr>
                <w:sz w:val="22"/>
                <w:szCs w:val="22"/>
              </w:rPr>
              <w:t>savikainos</w:t>
            </w:r>
          </w:p>
        </w:tc>
        <w:tc>
          <w:tcPr>
            <w:tcW w:w="1590" w:type="dxa"/>
            <w:shd w:val="clear" w:color="auto" w:fill="auto"/>
          </w:tcPr>
          <w:p w14:paraId="68522E97" w14:textId="77777777" w:rsidR="00C34E2B" w:rsidRPr="00D64B69" w:rsidRDefault="00FF614A" w:rsidP="00D2507B">
            <w:pPr>
              <w:rPr>
                <w:sz w:val="22"/>
                <w:szCs w:val="22"/>
              </w:rPr>
            </w:pPr>
            <w:r w:rsidRPr="00D64B69">
              <w:rPr>
                <w:sz w:val="22"/>
                <w:szCs w:val="22"/>
              </w:rPr>
              <w:t>Naujas tarifas</w:t>
            </w:r>
          </w:p>
        </w:tc>
        <w:tc>
          <w:tcPr>
            <w:tcW w:w="2788" w:type="dxa"/>
            <w:shd w:val="clear" w:color="auto" w:fill="auto"/>
          </w:tcPr>
          <w:p w14:paraId="33D2417B" w14:textId="77777777" w:rsidR="00C34E2B" w:rsidRPr="00F9332D" w:rsidRDefault="009067C1" w:rsidP="00D64B69">
            <w:pPr>
              <w:jc w:val="both"/>
              <w:rPr>
                <w:color w:val="000000"/>
                <w:sz w:val="22"/>
                <w:szCs w:val="22"/>
              </w:rPr>
            </w:pPr>
            <w:r w:rsidRPr="009067C1">
              <w:rPr>
                <w:color w:val="000000"/>
                <w:sz w:val="22"/>
                <w:szCs w:val="22"/>
              </w:rPr>
              <w:t>Siekiant diegti naujas rinkodaros priemones, didinti Įstaigos žinomumą, formuoti inovatyvios ir veržlios organizacijos įvaizdį, stiprinti vartotojų lojalumą ir minint 30 m. nuo Įstaigos įkūrimo, numatoma teatro suvenyrų gamyba</w:t>
            </w:r>
            <w:r w:rsidR="00FF614A" w:rsidRPr="00FF614A">
              <w:rPr>
                <w:color w:val="000000"/>
                <w:sz w:val="22"/>
                <w:szCs w:val="22"/>
              </w:rPr>
              <w:t>.</w:t>
            </w:r>
          </w:p>
        </w:tc>
        <w:tc>
          <w:tcPr>
            <w:tcW w:w="4224" w:type="dxa"/>
            <w:shd w:val="clear" w:color="auto" w:fill="FFFFFF"/>
          </w:tcPr>
          <w:p w14:paraId="2426D15E" w14:textId="589B15A3" w:rsidR="00C34E2B" w:rsidRPr="00D2507B" w:rsidRDefault="009067C1" w:rsidP="00D64B69">
            <w:pPr>
              <w:widowControl/>
              <w:jc w:val="both"/>
              <w:rPr>
                <w:sz w:val="22"/>
                <w:szCs w:val="22"/>
              </w:rPr>
            </w:pPr>
            <w:r>
              <w:rPr>
                <w:sz w:val="22"/>
                <w:szCs w:val="22"/>
              </w:rPr>
              <w:t xml:space="preserve">Panevėžio kraštotyros muziejus 50 </w:t>
            </w:r>
            <w:r w:rsidR="00D64B69">
              <w:rPr>
                <w:sz w:val="22"/>
                <w:szCs w:val="22"/>
              </w:rPr>
              <w:t>%</w:t>
            </w:r>
            <w:r>
              <w:rPr>
                <w:sz w:val="22"/>
                <w:szCs w:val="22"/>
              </w:rPr>
              <w:t xml:space="preserve"> nuo prekės savikainos; Kauno kamerinis teatras 60 </w:t>
            </w:r>
            <w:r w:rsidR="00D64B69">
              <w:rPr>
                <w:sz w:val="22"/>
                <w:szCs w:val="22"/>
              </w:rPr>
              <w:t>%</w:t>
            </w:r>
            <w:r>
              <w:rPr>
                <w:sz w:val="22"/>
                <w:szCs w:val="22"/>
              </w:rPr>
              <w:t>. nuo prekės savikainos.</w:t>
            </w:r>
          </w:p>
        </w:tc>
      </w:tr>
      <w:tr w:rsidR="00F9332D" w:rsidRPr="00165059" w14:paraId="101C3ADE" w14:textId="77777777" w:rsidTr="00D64B69">
        <w:trPr>
          <w:cantSplit/>
          <w:trHeight w:val="151"/>
        </w:trPr>
        <w:tc>
          <w:tcPr>
            <w:tcW w:w="720" w:type="dxa"/>
            <w:shd w:val="clear" w:color="auto" w:fill="auto"/>
            <w:tcMar>
              <w:top w:w="0" w:type="dxa"/>
              <w:left w:w="108" w:type="dxa"/>
              <w:bottom w:w="0" w:type="dxa"/>
              <w:right w:w="108" w:type="dxa"/>
            </w:tcMar>
          </w:tcPr>
          <w:p w14:paraId="6CCF6C7E" w14:textId="77777777" w:rsidR="00F9332D" w:rsidRDefault="00F37298" w:rsidP="00C34E2B">
            <w:pPr>
              <w:jc w:val="center"/>
              <w:rPr>
                <w:sz w:val="22"/>
                <w:szCs w:val="22"/>
              </w:rPr>
            </w:pPr>
            <w:r>
              <w:rPr>
                <w:sz w:val="22"/>
                <w:szCs w:val="22"/>
              </w:rPr>
              <w:t>3.1</w:t>
            </w:r>
            <w:r w:rsidR="00C34E2B">
              <w:rPr>
                <w:sz w:val="22"/>
                <w:szCs w:val="22"/>
              </w:rPr>
              <w:t>1</w:t>
            </w:r>
            <w:r>
              <w:rPr>
                <w:sz w:val="22"/>
                <w:szCs w:val="22"/>
              </w:rPr>
              <w:t>.</w:t>
            </w:r>
          </w:p>
        </w:tc>
        <w:tc>
          <w:tcPr>
            <w:tcW w:w="2580" w:type="dxa"/>
            <w:shd w:val="clear" w:color="auto" w:fill="auto"/>
            <w:tcMar>
              <w:top w:w="0" w:type="dxa"/>
              <w:left w:w="108" w:type="dxa"/>
              <w:bottom w:w="0" w:type="dxa"/>
              <w:right w:w="108" w:type="dxa"/>
            </w:tcMar>
          </w:tcPr>
          <w:p w14:paraId="6C8220AC" w14:textId="1305D2D8" w:rsidR="00F9332D" w:rsidRPr="00D64B69" w:rsidRDefault="003774B8" w:rsidP="00D2507B">
            <w:pPr>
              <w:pStyle w:val="prastasiniatinklio"/>
              <w:spacing w:before="0" w:after="0"/>
              <w:jc w:val="both"/>
              <w:rPr>
                <w:color w:val="000000"/>
                <w:sz w:val="22"/>
                <w:szCs w:val="22"/>
                <w:lang w:val="lt-LT"/>
              </w:rPr>
            </w:pPr>
            <w:r>
              <w:rPr>
                <w:color w:val="000000"/>
                <w:sz w:val="22"/>
                <w:szCs w:val="22"/>
              </w:rPr>
              <w:t xml:space="preserve">Teisė </w:t>
            </w:r>
            <w:r w:rsidR="00D64B69">
              <w:rPr>
                <w:color w:val="000000"/>
                <w:sz w:val="22"/>
                <w:szCs w:val="22"/>
                <w:lang w:val="lt-LT"/>
              </w:rPr>
              <w:t>įrašyti renginį</w:t>
            </w:r>
          </w:p>
        </w:tc>
        <w:tc>
          <w:tcPr>
            <w:tcW w:w="705" w:type="dxa"/>
            <w:shd w:val="clear" w:color="auto" w:fill="auto"/>
            <w:tcMar>
              <w:top w:w="0" w:type="dxa"/>
              <w:left w:w="108" w:type="dxa"/>
              <w:bottom w:w="0" w:type="dxa"/>
              <w:right w:w="108" w:type="dxa"/>
            </w:tcMar>
          </w:tcPr>
          <w:p w14:paraId="572C5B4C" w14:textId="77777777" w:rsidR="00F9332D" w:rsidRDefault="00F37298" w:rsidP="00D2507B">
            <w:pPr>
              <w:jc w:val="center"/>
              <w:rPr>
                <w:sz w:val="22"/>
                <w:szCs w:val="22"/>
              </w:rPr>
            </w:pPr>
            <w:r>
              <w:rPr>
                <w:sz w:val="22"/>
                <w:szCs w:val="22"/>
              </w:rPr>
              <w:t>1 renginys</w:t>
            </w:r>
          </w:p>
        </w:tc>
        <w:tc>
          <w:tcPr>
            <w:tcW w:w="1215" w:type="dxa"/>
            <w:shd w:val="clear" w:color="auto" w:fill="auto"/>
            <w:tcMar>
              <w:top w:w="0" w:type="dxa"/>
              <w:left w:w="108" w:type="dxa"/>
              <w:bottom w:w="0" w:type="dxa"/>
              <w:right w:w="108" w:type="dxa"/>
            </w:tcMar>
          </w:tcPr>
          <w:p w14:paraId="5BB75357" w14:textId="77777777" w:rsidR="00F9332D" w:rsidRDefault="00F9332D" w:rsidP="00D2507B">
            <w:pPr>
              <w:jc w:val="center"/>
              <w:rPr>
                <w:sz w:val="22"/>
                <w:szCs w:val="22"/>
              </w:rPr>
            </w:pPr>
          </w:p>
        </w:tc>
        <w:tc>
          <w:tcPr>
            <w:tcW w:w="1170" w:type="dxa"/>
            <w:shd w:val="clear" w:color="auto" w:fill="auto"/>
          </w:tcPr>
          <w:p w14:paraId="23051D8E" w14:textId="77777777" w:rsidR="00F9332D" w:rsidRPr="00F9332D" w:rsidRDefault="00F37298" w:rsidP="00F9332D">
            <w:pPr>
              <w:jc w:val="center"/>
              <w:rPr>
                <w:sz w:val="22"/>
                <w:szCs w:val="22"/>
              </w:rPr>
            </w:pPr>
            <w:r>
              <w:rPr>
                <w:sz w:val="22"/>
                <w:szCs w:val="22"/>
              </w:rPr>
              <w:t>2000,00</w:t>
            </w:r>
          </w:p>
        </w:tc>
        <w:tc>
          <w:tcPr>
            <w:tcW w:w="1590" w:type="dxa"/>
            <w:shd w:val="clear" w:color="auto" w:fill="auto"/>
          </w:tcPr>
          <w:p w14:paraId="164B881C" w14:textId="77777777" w:rsidR="00F9332D" w:rsidRPr="00D64B69" w:rsidRDefault="00F37298" w:rsidP="00D2507B">
            <w:pPr>
              <w:rPr>
                <w:sz w:val="22"/>
                <w:szCs w:val="22"/>
              </w:rPr>
            </w:pPr>
            <w:r w:rsidRPr="00D64B69">
              <w:rPr>
                <w:sz w:val="22"/>
                <w:szCs w:val="22"/>
              </w:rPr>
              <w:t>Naujas tarifas</w:t>
            </w:r>
          </w:p>
        </w:tc>
        <w:tc>
          <w:tcPr>
            <w:tcW w:w="2788" w:type="dxa"/>
            <w:shd w:val="clear" w:color="auto" w:fill="auto"/>
          </w:tcPr>
          <w:p w14:paraId="6AB16480" w14:textId="77777777" w:rsidR="00F9332D" w:rsidRPr="00F9332D" w:rsidRDefault="00C4466A" w:rsidP="00D64B69">
            <w:pPr>
              <w:jc w:val="both"/>
              <w:rPr>
                <w:color w:val="000000"/>
                <w:sz w:val="22"/>
                <w:szCs w:val="22"/>
              </w:rPr>
            </w:pPr>
            <w:r w:rsidRPr="00C4466A">
              <w:rPr>
                <w:color w:val="000000"/>
                <w:sz w:val="22"/>
                <w:szCs w:val="22"/>
              </w:rPr>
              <w:t xml:space="preserve">Gerinant Įstaigos kūrybinės veiklos kokybę, kuriant aukštos meninės vertės kūrinius, siekiant didesnės Įstaigos kuriamų spektaklių ir koncertų sklaidos, atsirado tokios produkcijos (koncertų ar spektaklių) įrašų ir platesnės </w:t>
            </w:r>
            <w:r w:rsidRPr="00C4466A">
              <w:rPr>
                <w:color w:val="000000"/>
                <w:sz w:val="22"/>
                <w:szCs w:val="22"/>
              </w:rPr>
              <w:lastRenderedPageBreak/>
              <w:t>sklaidos, taip pat fiksavimo istorijai poreikis</w:t>
            </w:r>
            <w:r>
              <w:rPr>
                <w:color w:val="000000"/>
                <w:sz w:val="22"/>
                <w:szCs w:val="22"/>
              </w:rPr>
              <w:t>.</w:t>
            </w:r>
          </w:p>
        </w:tc>
        <w:tc>
          <w:tcPr>
            <w:tcW w:w="4224" w:type="dxa"/>
            <w:shd w:val="clear" w:color="auto" w:fill="FFFFFF"/>
          </w:tcPr>
          <w:p w14:paraId="32696389" w14:textId="77777777" w:rsidR="00F9332D" w:rsidRPr="00D2507B" w:rsidRDefault="009A2ADD" w:rsidP="00D64B69">
            <w:pPr>
              <w:widowControl/>
              <w:rPr>
                <w:sz w:val="22"/>
                <w:szCs w:val="22"/>
              </w:rPr>
            </w:pPr>
            <w:r>
              <w:rPr>
                <w:sz w:val="22"/>
                <w:szCs w:val="22"/>
              </w:rPr>
              <w:lastRenderedPageBreak/>
              <w:t>Remiantis Lietuvos nacionalinio radijo ir televizijos įkainiais</w:t>
            </w:r>
          </w:p>
        </w:tc>
      </w:tr>
    </w:tbl>
    <w:p w14:paraId="260AFDB0" w14:textId="77777777" w:rsidR="00B513D1" w:rsidRPr="00165059" w:rsidRDefault="00B513D1">
      <w:pPr>
        <w:widowControl/>
        <w:pBdr>
          <w:top w:val="nil"/>
          <w:left w:val="nil"/>
          <w:bottom w:val="nil"/>
          <w:right w:val="nil"/>
          <w:between w:val="nil"/>
        </w:pBdr>
        <w:rPr>
          <w:rFonts w:eastAsia="Times New Roman"/>
          <w:b/>
          <w:color w:val="000000"/>
          <w:sz w:val="22"/>
          <w:szCs w:val="22"/>
        </w:rPr>
      </w:pPr>
    </w:p>
    <w:p w14:paraId="0EB314C5" w14:textId="77777777" w:rsidR="00EB7CE7" w:rsidRPr="00165059" w:rsidRDefault="00EB7CE7">
      <w:pPr>
        <w:widowControl/>
        <w:pBdr>
          <w:top w:val="nil"/>
          <w:left w:val="nil"/>
          <w:bottom w:val="nil"/>
          <w:right w:val="nil"/>
          <w:between w:val="nil"/>
        </w:pBdr>
        <w:rPr>
          <w:rFonts w:eastAsia="Times New Roman"/>
          <w:b/>
          <w:color w:val="000000"/>
          <w:sz w:val="22"/>
          <w:szCs w:val="22"/>
        </w:rPr>
      </w:pPr>
    </w:p>
    <w:p w14:paraId="07307627" w14:textId="77777777" w:rsidR="00EB7CE7" w:rsidRPr="00165059" w:rsidRDefault="00EB7CE7">
      <w:pPr>
        <w:widowControl/>
        <w:pBdr>
          <w:top w:val="nil"/>
          <w:left w:val="nil"/>
          <w:bottom w:val="nil"/>
          <w:right w:val="nil"/>
          <w:between w:val="nil"/>
        </w:pBdr>
        <w:rPr>
          <w:rFonts w:eastAsia="Times New Roman"/>
          <w:b/>
          <w:color w:val="000000"/>
          <w:sz w:val="22"/>
          <w:szCs w:val="22"/>
        </w:rPr>
      </w:pPr>
    </w:p>
    <w:p w14:paraId="69316C90" w14:textId="77777777" w:rsidR="00B55614" w:rsidRPr="00165059" w:rsidRDefault="00B55614">
      <w:pPr>
        <w:widowControl/>
        <w:pBdr>
          <w:top w:val="nil"/>
          <w:left w:val="nil"/>
          <w:bottom w:val="nil"/>
          <w:right w:val="nil"/>
          <w:between w:val="nil"/>
        </w:pBdr>
        <w:jc w:val="both"/>
        <w:rPr>
          <w:rFonts w:eastAsia="Times New Roman"/>
          <w:color w:val="000000"/>
          <w:sz w:val="22"/>
          <w:szCs w:val="22"/>
        </w:rPr>
      </w:pPr>
    </w:p>
    <w:sectPr w:rsidR="00B55614" w:rsidRPr="00165059" w:rsidSect="00E9359B">
      <w:pgSz w:w="16838" w:h="11906" w:orient="landscape"/>
      <w:pgMar w:top="624" w:right="624" w:bottom="624" w:left="624"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1A4"/>
    <w:multiLevelType w:val="hybridMultilevel"/>
    <w:tmpl w:val="E21612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FE84CAD"/>
    <w:multiLevelType w:val="hybridMultilevel"/>
    <w:tmpl w:val="2610B9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B91EEE"/>
    <w:multiLevelType w:val="multilevel"/>
    <w:tmpl w:val="A1F6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9C74E7"/>
    <w:multiLevelType w:val="multilevel"/>
    <w:tmpl w:val="2D5A3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A6651D"/>
    <w:multiLevelType w:val="hybridMultilevel"/>
    <w:tmpl w:val="C4A69E6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251483"/>
    <w:multiLevelType w:val="multilevel"/>
    <w:tmpl w:val="00BC744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3D1"/>
    <w:rsid w:val="00026C81"/>
    <w:rsid w:val="00041330"/>
    <w:rsid w:val="000471E6"/>
    <w:rsid w:val="00060C6C"/>
    <w:rsid w:val="000D3E05"/>
    <w:rsid w:val="0014007F"/>
    <w:rsid w:val="00165059"/>
    <w:rsid w:val="0019273C"/>
    <w:rsid w:val="001A6B48"/>
    <w:rsid w:val="001B2B2A"/>
    <w:rsid w:val="001C590F"/>
    <w:rsid w:val="001E4308"/>
    <w:rsid w:val="001E70D1"/>
    <w:rsid w:val="00213ADD"/>
    <w:rsid w:val="00214757"/>
    <w:rsid w:val="00243650"/>
    <w:rsid w:val="00250A94"/>
    <w:rsid w:val="00254FDD"/>
    <w:rsid w:val="002566AE"/>
    <w:rsid w:val="00272A5D"/>
    <w:rsid w:val="00307841"/>
    <w:rsid w:val="00316826"/>
    <w:rsid w:val="003318FB"/>
    <w:rsid w:val="00346CA0"/>
    <w:rsid w:val="003774B8"/>
    <w:rsid w:val="003E4341"/>
    <w:rsid w:val="003F49A6"/>
    <w:rsid w:val="00404AC9"/>
    <w:rsid w:val="00425298"/>
    <w:rsid w:val="00434380"/>
    <w:rsid w:val="0045323E"/>
    <w:rsid w:val="00471842"/>
    <w:rsid w:val="00493DD7"/>
    <w:rsid w:val="004A4E97"/>
    <w:rsid w:val="004C11FC"/>
    <w:rsid w:val="00510C34"/>
    <w:rsid w:val="0055627B"/>
    <w:rsid w:val="005751EA"/>
    <w:rsid w:val="005879D6"/>
    <w:rsid w:val="005C44A6"/>
    <w:rsid w:val="005F371F"/>
    <w:rsid w:val="005F7D90"/>
    <w:rsid w:val="00603C3A"/>
    <w:rsid w:val="00626B1D"/>
    <w:rsid w:val="006506C1"/>
    <w:rsid w:val="00696AFB"/>
    <w:rsid w:val="006A5207"/>
    <w:rsid w:val="006D4A77"/>
    <w:rsid w:val="006E11D5"/>
    <w:rsid w:val="00703AD9"/>
    <w:rsid w:val="00720B06"/>
    <w:rsid w:val="00792CE3"/>
    <w:rsid w:val="007C6274"/>
    <w:rsid w:val="007E01A9"/>
    <w:rsid w:val="007F43BA"/>
    <w:rsid w:val="00811E67"/>
    <w:rsid w:val="0083192D"/>
    <w:rsid w:val="00856FDF"/>
    <w:rsid w:val="00865BA1"/>
    <w:rsid w:val="00867E8E"/>
    <w:rsid w:val="00872157"/>
    <w:rsid w:val="00891224"/>
    <w:rsid w:val="0089670E"/>
    <w:rsid w:val="008C01F1"/>
    <w:rsid w:val="008F24C0"/>
    <w:rsid w:val="008F7C71"/>
    <w:rsid w:val="009006AF"/>
    <w:rsid w:val="009067C1"/>
    <w:rsid w:val="00906A4A"/>
    <w:rsid w:val="009257D6"/>
    <w:rsid w:val="00944D3B"/>
    <w:rsid w:val="00953CB2"/>
    <w:rsid w:val="009700BA"/>
    <w:rsid w:val="009A2ADD"/>
    <w:rsid w:val="009A3519"/>
    <w:rsid w:val="009A44B6"/>
    <w:rsid w:val="009D6399"/>
    <w:rsid w:val="009E0B48"/>
    <w:rsid w:val="009E51BF"/>
    <w:rsid w:val="00A02C81"/>
    <w:rsid w:val="00A117ED"/>
    <w:rsid w:val="00A16E3C"/>
    <w:rsid w:val="00A30365"/>
    <w:rsid w:val="00AF1148"/>
    <w:rsid w:val="00B01FDE"/>
    <w:rsid w:val="00B26B49"/>
    <w:rsid w:val="00B36577"/>
    <w:rsid w:val="00B37A9E"/>
    <w:rsid w:val="00B37BA7"/>
    <w:rsid w:val="00B4039D"/>
    <w:rsid w:val="00B41365"/>
    <w:rsid w:val="00B513D1"/>
    <w:rsid w:val="00B55614"/>
    <w:rsid w:val="00B57D9B"/>
    <w:rsid w:val="00B74127"/>
    <w:rsid w:val="00C34E2B"/>
    <w:rsid w:val="00C4466A"/>
    <w:rsid w:val="00C83115"/>
    <w:rsid w:val="00C9037E"/>
    <w:rsid w:val="00CF62A5"/>
    <w:rsid w:val="00D169F1"/>
    <w:rsid w:val="00D2507B"/>
    <w:rsid w:val="00D41413"/>
    <w:rsid w:val="00D504B3"/>
    <w:rsid w:val="00D64B69"/>
    <w:rsid w:val="00D674A2"/>
    <w:rsid w:val="00D931FB"/>
    <w:rsid w:val="00DC04A9"/>
    <w:rsid w:val="00E10B73"/>
    <w:rsid w:val="00E377AD"/>
    <w:rsid w:val="00E40936"/>
    <w:rsid w:val="00E86F80"/>
    <w:rsid w:val="00E92C4E"/>
    <w:rsid w:val="00E9359B"/>
    <w:rsid w:val="00E9490E"/>
    <w:rsid w:val="00E964FF"/>
    <w:rsid w:val="00E977D5"/>
    <w:rsid w:val="00EB7270"/>
    <w:rsid w:val="00EB7271"/>
    <w:rsid w:val="00EB7CE7"/>
    <w:rsid w:val="00EF1D18"/>
    <w:rsid w:val="00EF5873"/>
    <w:rsid w:val="00F148A4"/>
    <w:rsid w:val="00F37298"/>
    <w:rsid w:val="00F77E45"/>
    <w:rsid w:val="00F9332D"/>
    <w:rsid w:val="00FA1551"/>
    <w:rsid w:val="00FD6E8C"/>
    <w:rsid w:val="00FF6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2A93"/>
  <w15:docId w15:val="{885D3EB5-5BD3-44EB-9640-54373BF5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39C"/>
    <w:pPr>
      <w:widowControl w:val="0"/>
      <w:suppressAutoHyphens/>
      <w:autoSpaceDN w:val="0"/>
      <w:textAlignment w:val="baseline"/>
    </w:pPr>
    <w:rPr>
      <w:rFonts w:eastAsia="SimSun"/>
      <w:kern w:val="3"/>
      <w:lang w:eastAsia="en-US"/>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customStyle="1" w:styleId="Standard">
    <w:name w:val="Standard"/>
    <w:rsid w:val="0003539C"/>
    <w:pPr>
      <w:widowControl w:val="0"/>
      <w:suppressAutoHyphens/>
      <w:autoSpaceDN w:val="0"/>
      <w:textAlignment w:val="baseline"/>
    </w:pPr>
    <w:rPr>
      <w:kern w:val="3"/>
    </w:rPr>
  </w:style>
  <w:style w:type="paragraph" w:customStyle="1" w:styleId="Textbody">
    <w:name w:val="Text body"/>
    <w:basedOn w:val="Standard"/>
    <w:rsid w:val="00321EA8"/>
    <w:pPr>
      <w:spacing w:after="120"/>
    </w:pPr>
  </w:style>
  <w:style w:type="paragraph" w:styleId="Paantrat">
    <w:name w:val="Subtitle"/>
    <w:basedOn w:val="prastasis"/>
    <w:next w:val="prastasis"/>
    <w:link w:val="PaantratDiagrama"/>
    <w:uiPriority w:val="11"/>
    <w:qFormat/>
    <w:pPr>
      <w:keepNext/>
      <w:widowControl/>
      <w:spacing w:before="240" w:after="120"/>
      <w:jc w:val="center"/>
    </w:pPr>
    <w:rPr>
      <w:rFonts w:ascii="Arial" w:eastAsia="Arial" w:hAnsi="Arial" w:cs="Arial"/>
      <w:i/>
      <w:sz w:val="28"/>
      <w:szCs w:val="28"/>
    </w:rPr>
  </w:style>
  <w:style w:type="character" w:customStyle="1" w:styleId="PaantratDiagrama">
    <w:name w:val="Paantraštė Diagrama"/>
    <w:link w:val="Paantrat"/>
    <w:rsid w:val="00321EA8"/>
    <w:rPr>
      <w:rFonts w:ascii="Arial" w:eastAsia="Microsoft YaHei" w:hAnsi="Arial" w:cs="Arial"/>
      <w:i/>
      <w:iCs/>
      <w:kern w:val="3"/>
      <w:sz w:val="28"/>
      <w:szCs w:val="28"/>
      <w:lang w:eastAsia="lt-LT"/>
    </w:rPr>
  </w:style>
  <w:style w:type="paragraph" w:styleId="Debesliotekstas">
    <w:name w:val="Balloon Text"/>
    <w:basedOn w:val="prastasis"/>
    <w:link w:val="DebesliotekstasDiagrama"/>
    <w:uiPriority w:val="99"/>
    <w:semiHidden/>
    <w:unhideWhenUsed/>
    <w:rsid w:val="009473CA"/>
    <w:rPr>
      <w:rFonts w:ascii="Segoe UI" w:hAnsi="Segoe UI" w:cs="Segoe UI"/>
      <w:sz w:val="18"/>
      <w:szCs w:val="18"/>
    </w:rPr>
  </w:style>
  <w:style w:type="character" w:customStyle="1" w:styleId="DebesliotekstasDiagrama">
    <w:name w:val="Debesėlio tekstas Diagrama"/>
    <w:link w:val="Debesliotekstas"/>
    <w:uiPriority w:val="99"/>
    <w:semiHidden/>
    <w:rsid w:val="009473CA"/>
    <w:rPr>
      <w:rFonts w:ascii="Segoe UI" w:eastAsia="SimSun" w:hAnsi="Segoe UI" w:cs="Segoe UI"/>
      <w:kern w:val="3"/>
      <w:sz w:val="18"/>
      <w:szCs w:val="18"/>
    </w:rPr>
  </w:style>
  <w:style w:type="character" w:styleId="Hipersaitas">
    <w:name w:val="Hyperlink"/>
    <w:uiPriority w:val="99"/>
    <w:unhideWhenUsed/>
    <w:rsid w:val="000A068F"/>
    <w:rPr>
      <w:color w:val="0563C1"/>
      <w:u w:val="single"/>
    </w:rPr>
  </w:style>
  <w:style w:type="numbering" w:customStyle="1" w:styleId="WWNum13">
    <w:name w:val="WWNum13"/>
    <w:basedOn w:val="Sraonra"/>
    <w:rsid w:val="000A068F"/>
  </w:style>
  <w:style w:type="paragraph" w:styleId="Sraopastraipa">
    <w:name w:val="List Paragraph"/>
    <w:basedOn w:val="prastasis"/>
    <w:uiPriority w:val="34"/>
    <w:qFormat/>
    <w:rsid w:val="0048735F"/>
    <w:pPr>
      <w:ind w:left="720"/>
      <w:contextualSpacing/>
    </w:pPr>
  </w:style>
  <w:style w:type="table" w:customStyle="1" w:styleId="a">
    <w:basedOn w:val="prastojilentel"/>
    <w:tblPr>
      <w:tblStyleRowBandSize w:val="1"/>
      <w:tblStyleColBandSize w:val="1"/>
      <w:tblCellMar>
        <w:left w:w="10" w:type="dxa"/>
        <w:right w:w="10" w:type="dxa"/>
      </w:tblCellMar>
    </w:tblPr>
  </w:style>
  <w:style w:type="table" w:customStyle="1" w:styleId="a0">
    <w:basedOn w:val="prastojilentel"/>
    <w:tblPr>
      <w:tblStyleRowBandSize w:val="1"/>
      <w:tblStyleColBandSize w:val="1"/>
      <w:tblCellMar>
        <w:left w:w="10" w:type="dxa"/>
        <w:right w:w="10" w:type="dxa"/>
      </w:tblCellMar>
    </w:tblPr>
  </w:style>
  <w:style w:type="paragraph" w:styleId="prastasiniatinklio">
    <w:name w:val="Normal (Web)"/>
    <w:basedOn w:val="prastasis"/>
    <w:uiPriority w:val="99"/>
    <w:unhideWhenUsed/>
    <w:rsid w:val="005751EA"/>
    <w:pPr>
      <w:widowControl/>
      <w:suppressAutoHyphens w:val="0"/>
      <w:autoSpaceDN/>
      <w:spacing w:before="100" w:beforeAutospacing="1" w:after="100" w:afterAutospacing="1"/>
      <w:textAlignment w:val="auto"/>
    </w:pPr>
    <w:rPr>
      <w:rFonts w:eastAsia="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290726">
      <w:bodyDiv w:val="1"/>
      <w:marLeft w:val="0"/>
      <w:marRight w:val="0"/>
      <w:marTop w:val="0"/>
      <w:marBottom w:val="0"/>
      <w:divBdr>
        <w:top w:val="none" w:sz="0" w:space="0" w:color="auto"/>
        <w:left w:val="none" w:sz="0" w:space="0" w:color="auto"/>
        <w:bottom w:val="none" w:sz="0" w:space="0" w:color="auto"/>
        <w:right w:val="none" w:sz="0" w:space="0" w:color="auto"/>
      </w:divBdr>
    </w:div>
    <w:div w:id="1376613629">
      <w:bodyDiv w:val="1"/>
      <w:marLeft w:val="0"/>
      <w:marRight w:val="0"/>
      <w:marTop w:val="0"/>
      <w:marBottom w:val="0"/>
      <w:divBdr>
        <w:top w:val="none" w:sz="0" w:space="0" w:color="auto"/>
        <w:left w:val="none" w:sz="0" w:space="0" w:color="auto"/>
        <w:bottom w:val="none" w:sz="0" w:space="0" w:color="auto"/>
        <w:right w:val="none" w:sz="0" w:space="0" w:color="auto"/>
      </w:divBdr>
    </w:div>
    <w:div w:id="1761753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CAzQwfHY6hM2Q0Nm0NTUiqaQ==">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1252</Words>
  <Characters>714</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Aleknienė</dc:creator>
  <cp:keywords/>
  <cp:lastModifiedBy>Diana Brazdžiunienė</cp:lastModifiedBy>
  <cp:revision>2</cp:revision>
  <cp:lastPrinted>2024-01-15T08:54:00Z</cp:lastPrinted>
  <dcterms:created xsi:type="dcterms:W3CDTF">2024-02-07T12:12:00Z</dcterms:created>
  <dcterms:modified xsi:type="dcterms:W3CDTF">2024-02-07T12:12:00Z</dcterms:modified>
</cp:coreProperties>
</file>