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D84C2" w14:textId="77777777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005AB490" w14:textId="77777777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2CDA0A0" w14:textId="77777777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1597E954" w14:textId="77777777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7FDEFD26" w14:textId="77777777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  <w:bookmarkStart w:id="1" w:name="Nr"/>
      <w:bookmarkStart w:id="2" w:name="Pavadinimas"/>
      <w:r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r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</w:t>
      </w:r>
      <w:bookmarkStart w:id="3" w:name="_Hlk150783249"/>
      <w:bookmarkStart w:id="4" w:name="_Hlk115807352"/>
      <w:r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DĖL SAVIVALDYBĖS TARYBOS 2019 M. SAUSIO 31 D. SPRENDIMO NR. 1-13 „DĖL PINIGINĖS SOCIALINĖS PARAMOS NEPASITURINTIEMS GYVENTOJAMS TEIKIMO TVARKOS APRAŠO PATVIRTINIMO IR SAVIVALDYBĖS TARYBOS </w:t>
      </w:r>
    </w:p>
    <w:p w14:paraId="28A29F81" w14:textId="77777777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2015 M. KOVO 26 D. SPRENDIMO NR. 1-68 PRIPAŽINIMO NETEKUSIU GALIOS“ PAKEITIMO</w:t>
      </w:r>
      <w:bookmarkEnd w:id="3"/>
      <w:r>
        <w:rPr>
          <w:rFonts w:ascii="Times New Roman" w:eastAsia="Times New Roman" w:hAnsi="Times New Roman" w:cs="Times New Roman"/>
          <w:b/>
          <w:noProof w:val="0"/>
          <w:sz w:val="24"/>
        </w:rPr>
        <w:t>”</w:t>
      </w:r>
      <w:bookmarkEnd w:id="4"/>
      <w:r>
        <w:rPr>
          <w:rFonts w:ascii="Times New Roman" w:eastAsia="Times New Roman" w:hAnsi="Times New Roman" w:cs="Times New Roman"/>
          <w:b/>
          <w:noProof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PROJEKTO </w:t>
      </w:r>
    </w:p>
    <w:p w14:paraId="01CDE5B8" w14:textId="77777777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2F26CC1" w14:textId="23E2221C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2024-0</w:t>
      </w:r>
      <w:r w:rsidR="00FF626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</w:t>
      </w:r>
      <w:r w:rsidR="00FF626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</w:p>
    <w:p w14:paraId="394308B3" w14:textId="77777777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5BB18AAD" w14:textId="77777777" w:rsidR="00B16D55" w:rsidRDefault="00B16D55" w:rsidP="00B16D5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521EBE9" w14:textId="77777777" w:rsidR="00B16D55" w:rsidRDefault="00B16D55" w:rsidP="00B16D55">
      <w:pPr>
        <w:pStyle w:val="Sraopastraipa"/>
        <w:numPr>
          <w:ilvl w:val="0"/>
          <w:numId w:val="1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Sprendimo projekto tikslai ir uždaviniai: </w:t>
      </w:r>
    </w:p>
    <w:p w14:paraId="4164140C" w14:textId="13E1E34A" w:rsidR="00B16D55" w:rsidRDefault="00B16D55" w:rsidP="00B16D5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Tarybos sprendimo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,,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ėl Savivaldybės tarybos 2019 m. sausio 31 d. sprendimo Nr. 1-13 „Dėl </w:t>
      </w:r>
      <w:bookmarkStart w:id="5" w:name="_Hlk158235663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Piniginės socialinės paramos nepasiturintiems gyventojams teikimo tvarkos aprašo </w:t>
      </w:r>
      <w:bookmarkEnd w:id="5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patvirtinimo ir Savivaldybės tarybos 2015 m. kovo 26 d. sprendimo Nr. 1-68 pripažinimo netekusiu galios“ pakeitimo“ projektas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bookmarkStart w:id="6" w:name="_Hlk115945141"/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prendimo projektas)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parengtas </w:t>
      </w:r>
      <w:bookmarkStart w:id="7" w:name="n_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siekiant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akeisti atitinkamas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Piniginės socialinės paramos nepasiturintiems gyventojams teikimo tvarkos aprašo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Aprašas) nuostatas dėl socialinės paramos teikimo,</w:t>
      </w:r>
      <w:r w:rsidRPr="00B16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įsigaliojus nuo 2024 m. sausio 1 d. Lietuvos Respublikos asmens su negalia teisių apsaugos pagrindų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įstatymui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noProof w:val="0"/>
            <w:sz w:val="24"/>
            <w:szCs w:val="24"/>
            <w:lang w:eastAsia="lt-LT"/>
          </w:rPr>
          <w:t>https://e-tar.lt/portal/lt/legalAct/TAR.199156E4E004/asr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ir, įvertinus A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prašo taikymo rezultatus, </w:t>
      </w:r>
      <w:r>
        <w:rPr>
          <w:rFonts w:ascii="Times New Roman" w:eastAsia="Times New Roman" w:hAnsi="Times New Roman" w:cs="Times New Roman"/>
          <w:sz w:val="24"/>
          <w:szCs w:val="24"/>
        </w:rPr>
        <w:t>patikslinti būsto šildymo, geriamojo vandens ir karšto vandens išlaidų kompensacijų ir socialinės paramos teikimo sąlygas tam, kad paramą gautų tie asmenys, kuriems ji labiausiai reikalinga.</w:t>
      </w:r>
    </w:p>
    <w:bookmarkEnd w:id="7"/>
    <w:p w14:paraId="3761F85C" w14:textId="77777777" w:rsidR="00B16D55" w:rsidRDefault="00B16D55" w:rsidP="00B16D55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Siūlomos teisinio reguliavimo nuostatos, laukiami rezultatai: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</w:p>
    <w:p w14:paraId="4481BFC2" w14:textId="5BD9390A" w:rsidR="00B16D55" w:rsidRDefault="00B16D55" w:rsidP="00B16D55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Aprašas yra skirtas įgyvendinti Lietuvos Respublikos piniginės socialinės paramos nepasiturintiems gyventojams įstatymu (toliau – Įstatymas) reglamentuojamų  piniginės socialinės paramos (socialinės pašalpos ir </w:t>
      </w:r>
      <w:bookmarkStart w:id="8" w:name="_Hlk150845561"/>
      <w:r>
        <w:rPr>
          <w:rFonts w:ascii="Times New Roman" w:eastAsia="Times New Roman" w:hAnsi="Times New Roman" w:cs="Times New Roman"/>
          <w:sz w:val="24"/>
          <w:szCs w:val="24"/>
        </w:rPr>
        <w:t>būsto šildymo, geriamojo vandens ir karšto vandens išlaidų kompensacijų</w:t>
      </w:r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bookmarkStart w:id="9" w:name="_Hlk526327361"/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kompensacijos)) ir socialinės paramos (vienkartinės, tikslinės, periodinės ir sąlyginės pašalpų) teikimo tvarką Panevėžio miesto gyventojams. </w:t>
      </w:r>
    </w:p>
    <w:p w14:paraId="456EDCEB" w14:textId="4A4175BA" w:rsidR="00B16D55" w:rsidRDefault="00B16D55" w:rsidP="001B6E5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Patvirtinus parengtą Sprendimo projektą bus patikslinta kompensacijų neteikimo sąlyga vienų gyvenančių ir bendrai gyvenančių asmenų (Sprendimo projekto 1.1, 1.2 p.), pakeista bendra nuostata socialinės paramos skyrimo sąlygose ir </w:t>
      </w:r>
      <w:r>
        <w:rPr>
          <w:rFonts w:ascii="Times New Roman" w:eastAsia="Times New Roman" w:hAnsi="Times New Roman" w:cs="Times New Roman"/>
          <w:sz w:val="24"/>
          <w:szCs w:val="24"/>
        </w:rPr>
        <w:t>periodinės pašalpos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skyrimo </w:t>
      </w:r>
      <w:r>
        <w:rPr>
          <w:rFonts w:ascii="Times New Roman" w:eastAsia="Calibri" w:hAnsi="Times New Roman" w:cs="Times New Roman"/>
          <w:sz w:val="24"/>
          <w:szCs w:val="24"/>
        </w:rPr>
        <w:t>sąlygose</w:t>
      </w:r>
      <w:r w:rsidR="00A85653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sąvoka ,,neįgalus asmuo“</w:t>
      </w:r>
      <w:r w:rsidR="00A85653">
        <w:rPr>
          <w:rFonts w:ascii="Times New Roman" w:eastAsia="Calibri" w:hAnsi="Times New Roman" w:cs="Times New Roman"/>
          <w:sz w:val="24"/>
          <w:szCs w:val="24"/>
        </w:rPr>
        <w:t xml:space="preserve"> pakeista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į ,,asmuo su negalia“</w:t>
      </w:r>
      <w:r w:rsidR="00A85653" w:rsidRPr="00A856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A856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bei nustatytos sąlygos, kurioms esant pareiškėjo prašymas Paramos teikimo komisijoje nesvarstomas (Sprendimo projekto 1.3 p.)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Įvertinus Aprašo taikymo rezultatus</w:t>
      </w:r>
      <w:r w:rsidR="00A85653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Sprendimo projekto 1.</w:t>
      </w:r>
      <w:r w:rsidR="00A856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p. </w:t>
      </w:r>
      <w:r w:rsidR="00A85653">
        <w:rPr>
          <w:rFonts w:ascii="Times New Roman" w:eastAsia="Times New Roman" w:hAnsi="Times New Roman" w:cs="Times New Roman"/>
          <w:noProof w:val="0"/>
          <w:sz w:val="24"/>
          <w:szCs w:val="24"/>
        </w:rPr>
        <w:t>siūloma patikslinti vienkartinės pašalpos skyrimo pobūdį ir skirti ją</w:t>
      </w:r>
      <w:r w:rsidR="001B6E55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nedelsiant</w:t>
      </w:r>
      <w:r w:rsidR="00A8565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r w:rsidR="00A85653" w:rsidRPr="00A85653">
        <w:rPr>
          <w:rFonts w:ascii="Times New Roman" w:hAnsi="Times New Roman" w:cs="Times New Roman"/>
          <w:sz w:val="24"/>
          <w:szCs w:val="24"/>
          <w:lang w:eastAsia="lt-LT"/>
        </w:rPr>
        <w:t>paskelbus ekstremalią situaciją, kai asmeniui reikalinga neatidėliotina pagalba</w:t>
      </w:r>
      <w:r w:rsidR="001B6E55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A85653" w:rsidRPr="00A8565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B6E55">
        <w:rPr>
          <w:rFonts w:ascii="Times New Roman" w:hAnsi="Times New Roman" w:cs="Times New Roman"/>
          <w:sz w:val="24"/>
          <w:szCs w:val="24"/>
          <w:lang w:eastAsia="lt-LT"/>
        </w:rPr>
        <w:t xml:space="preserve">Tuo pačiu Sprendimo projekto punktu siūloma patikslinti tikslinės pašalpos skyrimo nuostatas, įvykus gaisrui.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Sprendimo projekto 1.</w:t>
      </w:r>
      <w:r w:rsidR="001B6E5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p. siūloma patikslinti sunkios ar onkologinės ligos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lastRenderedPageBreak/>
        <w:t xml:space="preserve">atveju kreipimosi paramai gauti formuluotę pakeičiant žodžius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,, kreipiamasi per </w:t>
      </w:r>
      <w:r>
        <w:rPr>
          <w:rFonts w:ascii="Times New Roman" w:hAnsi="Times New Roman" w:cs="Times New Roman"/>
          <w:sz w:val="24"/>
          <w:szCs w:val="24"/>
          <w:lang w:eastAsia="lt-LT"/>
        </w:rPr>
        <w:t>36 mėnesius nuo šių aplinkybių atsiradimo“ į</w:t>
      </w:r>
      <w:r w:rsidR="001B6E5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,, prašymas pašalpai gauti pateiktas per 36 mėnesius nuo ligos iš Sunkių ligų sąrašo nustatymo“</w:t>
      </w:r>
      <w:r w:rsidR="001B6E55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1B6E5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Sprendimo projekto</w:t>
      </w:r>
      <w:r w:rsidR="001B6E55">
        <w:rPr>
          <w:rFonts w:ascii="Times New Roman" w:hAnsi="Times New Roman" w:cs="Times New Roman"/>
          <w:sz w:val="24"/>
          <w:szCs w:val="24"/>
          <w:lang w:eastAsia="lt-LT"/>
        </w:rPr>
        <w:t xml:space="preserve"> 1.5 p. </w:t>
      </w:r>
      <w:r w:rsidR="001B6E55">
        <w:rPr>
          <w:rFonts w:ascii="Times New Roman" w:eastAsia="Calibri" w:hAnsi="Times New Roman" w:cs="Times New Roman"/>
          <w:sz w:val="24"/>
          <w:szCs w:val="24"/>
        </w:rPr>
        <w:t>sąvoka ,,neįgalus asmuo“ pakeista į ,,asmuo su negalia“</w:t>
      </w:r>
      <w:r w:rsidR="001B6E55" w:rsidRPr="00A856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1B6E5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bei numatyta nebeskirti periodinės pašalpos ukrainiečiams, nes, nuo karo pradžios praėjus 2 metams,</w:t>
      </w:r>
      <w:r w:rsidR="00656BB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1B6E5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likę gyventi ukrainiečiai integravosi į miesto gyvenimą, yra dirbantys, registruoti Užimtumo tarnyboje, susitvarkė asmens su negalia ar senatvės pensijas, turi leidimus gyventi Lietuvos Respublikoje, todėl įgijo teisę gauti visą valstybės skiriamą paramą</w:t>
      </w:r>
      <w:r w:rsidR="00656BB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="001B6E5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Sprendimo projekto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1.</w:t>
      </w:r>
      <w:r w:rsidR="001B6E55">
        <w:rPr>
          <w:rFonts w:ascii="Times New Roman" w:hAnsi="Times New Roman" w:cs="Times New Roman"/>
          <w:sz w:val="24"/>
          <w:szCs w:val="24"/>
          <w:lang w:eastAsia="lt-LT"/>
        </w:rPr>
        <w:t>6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p. 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lang w:eastAsia="lt-LT"/>
        </w:rPr>
        <w:t>– patvirtinti nuostatą, kad sprendimas skirti arba neskirti sąlyginę pašalpą tiesiogiai stebimo trumpo gydymo kurso (DOTS) atveju priimamas be Paramos teikimo komisijos siūlymo.</w:t>
      </w:r>
    </w:p>
    <w:p w14:paraId="491E0813" w14:textId="77777777" w:rsidR="00B16D55" w:rsidRDefault="00B16D55" w:rsidP="00B16D55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Lėšų poreikis ir šaltiniai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:</w:t>
      </w:r>
    </w:p>
    <w:p w14:paraId="20289F8A" w14:textId="77777777" w:rsidR="00B16D55" w:rsidRDefault="00B16D55" w:rsidP="00B16D55">
      <w:pPr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Piniginė socialinė parama ir socialinė parama yra finansuojamos iš savivaldybės biudžeto lėšų kaip savarankiška savivaldybių funkcija. </w:t>
      </w:r>
      <w:bookmarkStart w:id="10" w:name="_Hlk508613762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Savivaldybėms skiriama lėšų suma yra lygi 2011–2013 metų laikotarpiu piniginei socialinei paramai skaičiuoti ir mokėti faktiškai panaudotai vidutinei metinei lėšų sumai (</w:t>
      </w:r>
      <w:r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4 straipsnio 3 dalis).  </w:t>
      </w:r>
      <w:bookmarkEnd w:id="10"/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2024 metams piniginei socialinei paramai  finansuoti yra </w:t>
      </w:r>
      <w:bookmarkStart w:id="11" w:name="_Hlk150843078"/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numatyta 5753,4  </w:t>
      </w:r>
      <w:bookmarkStart w:id="12" w:name="_Hlk158358614"/>
      <w:r>
        <w:rPr>
          <w:rFonts w:ascii="Times New Roman" w:eastAsia="Calibri" w:hAnsi="Times New Roman" w:cs="Times New Roman"/>
          <w:noProof w:val="0"/>
          <w:sz w:val="24"/>
          <w:szCs w:val="24"/>
        </w:rPr>
        <w:t>tūkst. Eur</w:t>
      </w:r>
      <w:bookmarkEnd w:id="12"/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iš jų </w:t>
      </w:r>
      <w:bookmarkEnd w:id="11"/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socialinei paramai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719,9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tūkst. Eur. Papildomų lėšų, patvirtinus Sprendimo projektą, nereikės.</w:t>
      </w:r>
    </w:p>
    <w:p w14:paraId="517D346B" w14:textId="77777777" w:rsidR="00B16D55" w:rsidRDefault="00B16D55" w:rsidP="00B16D55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4. Kieno iniciatyva parengtas sprendimo projektas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4B50CB0E" w14:textId="77777777" w:rsidR="00B16D55" w:rsidRDefault="00B16D55" w:rsidP="00B16D55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reikalų skyriaus iniciatyva.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758ABE49" w14:textId="77777777" w:rsidR="00B16D55" w:rsidRDefault="00B16D55" w:rsidP="00B16D55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PRIDEDAMA. </w:t>
      </w:r>
    </w:p>
    <w:p w14:paraId="66B2ED6E" w14:textId="77777777" w:rsidR="00B16D55" w:rsidRDefault="00B16D55" w:rsidP="00B16D55">
      <w:pPr>
        <w:pStyle w:val="Sraopastraipa"/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Piniginės socialinės paramos nepasiturintiems gyventojams teikimo tvarkos aprašo keičiamų punktų lyginamasis variantas;</w:t>
      </w:r>
    </w:p>
    <w:p w14:paraId="794B78FD" w14:textId="77777777" w:rsidR="00B16D55" w:rsidRDefault="00B16D55" w:rsidP="00B16D55">
      <w:pPr>
        <w:pStyle w:val="Sraopastraipa"/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Piniginės socialinės paramos nepasiturintiems gyventojams teikimo tvarkos aprašas </w:t>
      </w:r>
    </w:p>
    <w:p w14:paraId="5F6D6E8E" w14:textId="77777777" w:rsidR="00B16D55" w:rsidRDefault="00F80683" w:rsidP="00B16D55">
      <w:pPr>
        <w:tabs>
          <w:tab w:val="num" w:pos="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hyperlink r:id="rId6" w:history="1">
        <w:r w:rsidR="00B16D55">
          <w:rPr>
            <w:rStyle w:val="Hipersaitas"/>
            <w:rFonts w:ascii="Times New Roman" w:eastAsia="Times New Roman" w:hAnsi="Times New Roman" w:cs="Times New Roman"/>
            <w:noProof w:val="0"/>
            <w:sz w:val="24"/>
            <w:szCs w:val="24"/>
          </w:rPr>
          <w:t>https://www.e-tar.lt/portal/lt/legalAct/77c4ec4025ea11e9a92cf83c425b079c/asr</w:t>
        </w:r>
      </w:hyperlink>
    </w:p>
    <w:p w14:paraId="0437261D" w14:textId="77777777" w:rsidR="00B16D55" w:rsidRDefault="00B16D55" w:rsidP="00B16D55">
      <w:pPr>
        <w:pStyle w:val="Sraopastraipa"/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piniginės socialinės paramos nepasiturintiems gyventojams įstatymo nuoroda  </w:t>
      </w:r>
      <w:hyperlink r:id="rId7" w:history="1">
        <w:r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https://www.e-tar.lt/portal/lt/legalAct/TAR.3EEE59417F13/asr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14:paraId="52BDE8EC" w14:textId="77777777" w:rsidR="00B16D55" w:rsidRDefault="00B16D55" w:rsidP="00B16D55">
      <w:pPr>
        <w:spacing w:after="0" w:line="36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A9D7D06" w14:textId="77777777" w:rsidR="00B16D55" w:rsidRDefault="00B16D55" w:rsidP="00B16D5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66D24078" w14:textId="77777777" w:rsidR="00B16D55" w:rsidRDefault="00B16D55" w:rsidP="00B16D5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1BC1002B" w14:textId="1AF8F66E" w:rsidR="00B16D55" w:rsidRDefault="00B16D55" w:rsidP="00B16D55">
      <w:pPr>
        <w:spacing w:after="0" w:line="240" w:lineRule="auto"/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Ragėnienė </w:t>
      </w:r>
    </w:p>
    <w:p w14:paraId="56302146" w14:textId="77777777" w:rsidR="00B16D55" w:rsidRDefault="00B16D55" w:rsidP="00B16D55"/>
    <w:p w14:paraId="0F79685A" w14:textId="77777777" w:rsidR="00B16D55" w:rsidRDefault="00B16D55" w:rsidP="00B16D55"/>
    <w:p w14:paraId="136D03F4" w14:textId="77777777" w:rsidR="00B16D55" w:rsidRDefault="00B16D55"/>
    <w:sectPr w:rsidR="00B16D55" w:rsidSect="0000502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B61E1"/>
    <w:multiLevelType w:val="hybridMultilevel"/>
    <w:tmpl w:val="9578BDD4"/>
    <w:lvl w:ilvl="0" w:tplc="BBC864CA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80440AF"/>
    <w:multiLevelType w:val="hybridMultilevel"/>
    <w:tmpl w:val="049AE528"/>
    <w:lvl w:ilvl="0" w:tplc="BBC864CA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55"/>
    <w:rsid w:val="00005028"/>
    <w:rsid w:val="001B6E55"/>
    <w:rsid w:val="00656BB0"/>
    <w:rsid w:val="00930A97"/>
    <w:rsid w:val="00A85653"/>
    <w:rsid w:val="00B16D55"/>
    <w:rsid w:val="00F80683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10219"/>
  <w15:chartTrackingRefBased/>
  <w15:docId w15:val="{4F0832A2-E253-430D-B444-58688B78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6D55"/>
    <w:pPr>
      <w:spacing w:line="256" w:lineRule="auto"/>
    </w:pPr>
    <w:rPr>
      <w:noProof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16D55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16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3EEE59417F13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77c4ec4025ea11e9a92cf83c425b079c/asr" TargetMode="External"/><Relationship Id="rId5" Type="http://schemas.openxmlformats.org/officeDocument/2006/relationships/hyperlink" Target="https://e-tar.lt/portal/lt/legalAct/TAR.199156E4E004/as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3215</Words>
  <Characters>1833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Šukienė</dc:creator>
  <cp:keywords/>
  <dc:description/>
  <cp:lastModifiedBy>Diana Brazdžiunienė</cp:lastModifiedBy>
  <cp:revision>2</cp:revision>
  <dcterms:created xsi:type="dcterms:W3CDTF">2024-04-10T10:37:00Z</dcterms:created>
  <dcterms:modified xsi:type="dcterms:W3CDTF">2024-04-10T10:37:00Z</dcterms:modified>
</cp:coreProperties>
</file>