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4551" w14:textId="77777777" w:rsidR="006B757F" w:rsidRPr="006B757F" w:rsidRDefault="006B757F" w:rsidP="00485736">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6D4BF1CA" w14:textId="5D598AA6" w:rsidR="006B757F" w:rsidRPr="006B757F" w:rsidRDefault="00485736" w:rsidP="00485736">
      <w:pPr>
        <w:tabs>
          <w:tab w:val="left" w:pos="6521"/>
        </w:tabs>
        <w:suppressAutoHyphens w:val="0"/>
        <w:ind w:firstLine="4678"/>
        <w:rPr>
          <w:bCs/>
          <w:sz w:val="24"/>
          <w:lang w:eastAsia="en-US"/>
        </w:rPr>
      </w:pPr>
      <w:r>
        <w:rPr>
          <w:bCs/>
          <w:sz w:val="24"/>
          <w:lang w:eastAsia="en-US"/>
        </w:rPr>
        <w:t xml:space="preserve">                                </w:t>
      </w:r>
      <w:r w:rsidR="006B757F" w:rsidRPr="006B757F">
        <w:rPr>
          <w:bCs/>
          <w:sz w:val="24"/>
          <w:lang w:eastAsia="en-US"/>
        </w:rPr>
        <w:t xml:space="preserve">sprendimo Nr. </w:t>
      </w:r>
    </w:p>
    <w:p w14:paraId="1587C986"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priedas</w:t>
      </w:r>
    </w:p>
    <w:p w14:paraId="79218515" w14:textId="77777777" w:rsidR="00907A02" w:rsidRDefault="00907A02" w:rsidP="00485736">
      <w:pPr>
        <w:tabs>
          <w:tab w:val="left" w:pos="6521"/>
        </w:tabs>
        <w:ind w:firstLine="4678"/>
        <w:rPr>
          <w:bCs/>
          <w:sz w:val="24"/>
          <w:lang w:eastAsia="en-US"/>
        </w:rPr>
      </w:pPr>
    </w:p>
    <w:p w14:paraId="2C634748" w14:textId="2C1963B9" w:rsidR="006B757F" w:rsidRPr="00F345AD" w:rsidRDefault="006B757F" w:rsidP="000D4FCA">
      <w:pPr>
        <w:tabs>
          <w:tab w:val="left" w:pos="6521"/>
        </w:tabs>
        <w:jc w:val="right"/>
        <w:rPr>
          <w:b/>
          <w:sz w:val="24"/>
        </w:rPr>
      </w:pP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6118BDCE" w:rsidR="0030053C" w:rsidRPr="006B757F" w:rsidRDefault="001F3B19" w:rsidP="006D5263">
      <w:pPr>
        <w:ind w:firstLine="720"/>
        <w:jc w:val="both"/>
        <w:rPr>
          <w:sz w:val="24"/>
          <w:lang w:eastAsia="zh-CN"/>
        </w:rPr>
      </w:pPr>
      <w:r w:rsidRPr="006B757F">
        <w:rPr>
          <w:rFonts w:ascii="Times New Roman LT" w:hAnsi="Times New Roman LT"/>
          <w:sz w:val="24"/>
        </w:rPr>
        <w:t>Lietuvos valstybė, atstovaujama</w:t>
      </w:r>
      <w:r w:rsidR="002E478B" w:rsidRPr="006B757F">
        <w:rPr>
          <w:sz w:val="24"/>
        </w:rPr>
        <w:t xml:space="preserve"> Panevėžio miesto savivaldybės administracijos direktoriaus </w:t>
      </w:r>
      <w:r w:rsidR="006C7475">
        <w:rPr>
          <w:sz w:val="24"/>
          <w:szCs w:val="24"/>
        </w:rPr>
        <w:t>T</w:t>
      </w:r>
      <w:r w:rsidR="006C7475" w:rsidRPr="006C7475">
        <w:rPr>
          <w:sz w:val="24"/>
          <w:szCs w:val="24"/>
        </w:rPr>
        <w:t xml:space="preserve">. </w:t>
      </w:r>
      <w:r w:rsidR="006C7475">
        <w:rPr>
          <w:sz w:val="24"/>
          <w:szCs w:val="24"/>
        </w:rPr>
        <w:t>J</w:t>
      </w:r>
      <w:r w:rsidR="006C7475" w:rsidRPr="006C7475">
        <w:rPr>
          <w:sz w:val="24"/>
          <w:szCs w:val="24"/>
        </w:rPr>
        <w:t xml:space="preserve">. </w:t>
      </w:r>
      <w:r w:rsidR="006C7475" w:rsidRPr="006C7475">
        <w:rPr>
          <w:i/>
          <w:iCs/>
          <w:sz w:val="24"/>
          <w:szCs w:val="24"/>
        </w:rPr>
        <w:t>(duomenys neskelbtini)</w:t>
      </w:r>
      <w:r w:rsidR="002E478B" w:rsidRPr="006B757F">
        <w:rPr>
          <w:sz w:val="24"/>
        </w:rPr>
        <w:t xml:space="preserve">, veikiančio pagal </w:t>
      </w:r>
      <w:r w:rsidR="00F84608"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002E478B" w:rsidRPr="006B757F">
        <w:rPr>
          <w:sz w:val="24"/>
        </w:rPr>
        <w:t xml:space="preserve"> ir Panevėžio miesto savivaldybės mero 2024 m. sausio 25 d. potvark</w:t>
      </w:r>
      <w:r w:rsidR="00C977A0" w:rsidRPr="006B757F">
        <w:rPr>
          <w:sz w:val="24"/>
        </w:rPr>
        <w:t>į</w:t>
      </w:r>
      <w:r w:rsidR="002E478B" w:rsidRPr="006B757F">
        <w:rPr>
          <w:sz w:val="24"/>
        </w:rPr>
        <w:t xml:space="preserve"> Nr. M-62 „Dėl įgaliojimų suteikimo </w:t>
      </w:r>
      <w:r w:rsidR="00F84608" w:rsidRPr="006B757F">
        <w:rPr>
          <w:sz w:val="24"/>
        </w:rPr>
        <w:t>S</w:t>
      </w:r>
      <w:r w:rsidR="002E478B" w:rsidRPr="006B757F">
        <w:rPr>
          <w:sz w:val="24"/>
        </w:rPr>
        <w:t>avivaldybės administracijos direktoriui“,</w:t>
      </w:r>
      <w:r w:rsidR="00FF6BAA" w:rsidRPr="006B757F">
        <w:rPr>
          <w:sz w:val="24"/>
          <w:szCs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bookmarkStart w:id="1" w:name="_Hlk162612440"/>
      <w:r w:rsidR="006C7475" w:rsidRPr="006C7475">
        <w:rPr>
          <w:sz w:val="24"/>
          <w:szCs w:val="24"/>
        </w:rPr>
        <w:t xml:space="preserve">J. B. </w:t>
      </w:r>
      <w:r w:rsidR="006C7475" w:rsidRPr="006C7475">
        <w:rPr>
          <w:i/>
          <w:iCs/>
          <w:sz w:val="24"/>
          <w:szCs w:val="24"/>
        </w:rPr>
        <w:t>(duomenys neskelbtini)</w:t>
      </w:r>
      <w:bookmarkEnd w:id="1"/>
      <w:r w:rsidR="00693BBA" w:rsidRPr="006C7475">
        <w:rPr>
          <w:sz w:val="24"/>
          <w:szCs w:val="24"/>
        </w:rPr>
        <w:t>,</w:t>
      </w:r>
      <w:r w:rsidR="00693BBA" w:rsidRPr="006B757F">
        <w:rPr>
          <w:sz w:val="24"/>
        </w:rPr>
        <w:t xml:space="preserve"> </w:t>
      </w:r>
      <w:r w:rsidR="0030053C" w:rsidRPr="006B757F">
        <w:rPr>
          <w:sz w:val="24"/>
        </w:rPr>
        <w:t>toliau</w:t>
      </w:r>
      <w:r w:rsidR="004754E8" w:rsidRPr="006B757F">
        <w:rPr>
          <w:sz w:val="24"/>
        </w:rPr>
        <w:t xml:space="preserve"> vadinam</w:t>
      </w:r>
      <w:r w:rsidR="00561A8C" w:rsidRPr="006B757F">
        <w:rPr>
          <w:sz w:val="24"/>
        </w:rPr>
        <w:t>a</w:t>
      </w:r>
      <w:r w:rsidR="004754E8" w:rsidRPr="006B757F">
        <w:rPr>
          <w:sz w:val="24"/>
        </w:rPr>
        <w:t xml:space="preserve"> </w:t>
      </w:r>
      <w:r w:rsidR="00F86298" w:rsidRPr="006B757F">
        <w:rPr>
          <w:sz w:val="24"/>
        </w:rPr>
        <w:t>n</w:t>
      </w:r>
      <w:r w:rsidR="004754E8" w:rsidRPr="006B757F">
        <w:rPr>
          <w:sz w:val="24"/>
        </w:rPr>
        <w:t>uominink</w:t>
      </w:r>
      <w:r w:rsidR="00561A8C" w:rsidRPr="006B757F">
        <w:rPr>
          <w:sz w:val="24"/>
        </w:rPr>
        <w:t>u</w:t>
      </w:r>
      <w:r w:rsidR="0030053C" w:rsidRPr="006B757F">
        <w:rPr>
          <w:sz w:val="24"/>
          <w:lang w:eastAsia="zh-CN"/>
        </w:rPr>
        <w:t>, s u d a r ė šią sutartį:</w:t>
      </w:r>
    </w:p>
    <w:p w14:paraId="599FA0C7" w14:textId="0BBBE4A2"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561A8C" w:rsidRPr="006B757F">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0,6150 ha žemės sklypą, kadastro Nr. 2701/0018:258 Panevėžio m. k. v., unikalus Nr. 4400-6275-2881, esantį Panevėžyje, Meistrų g. 24, reikalingą pastatui – gamybiniam pastatui (unikalus Nr. 2794-0002-3040), pastatams – ūkiniams pastatams (unikalūs Nr. 2794-0002-3117, 2794-0002-3260), eksploatuoti.</w:t>
      </w:r>
    </w:p>
    <w:p w14:paraId="4B9F7EAA" w14:textId="7F5AB159"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640999">
        <w:rPr>
          <w:sz w:val="24"/>
          <w:szCs w:val="24"/>
          <w:lang w:eastAsia="zh-CN"/>
        </w:rPr>
        <w:t xml:space="preserve">as </w:t>
      </w:r>
      <w:r w:rsidRPr="006B757F">
        <w:rPr>
          <w:sz w:val="24"/>
          <w:szCs w:val="24"/>
          <w:lang w:eastAsia="zh-CN"/>
        </w:rPr>
        <w:t>išnuomojama</w:t>
      </w:r>
      <w:r w:rsidR="00640999">
        <w:rPr>
          <w:sz w:val="24"/>
          <w:szCs w:val="24"/>
          <w:lang w:eastAsia="zh-CN"/>
        </w:rPr>
        <w:t>s</w:t>
      </w:r>
      <w:r w:rsidRPr="006B757F">
        <w:rPr>
          <w:sz w:val="24"/>
          <w:szCs w:val="24"/>
          <w:lang w:eastAsia="zh-CN"/>
        </w:rPr>
        <w:t xml:space="preserve"> </w:t>
      </w:r>
      <w:r w:rsidR="00640999">
        <w:rPr>
          <w:i/>
          <w:iCs/>
          <w:sz w:val="24"/>
          <w:szCs w:val="24"/>
          <w:lang w:eastAsia="zh-CN"/>
        </w:rPr>
        <w:t>1</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6046494C"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2"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2"/>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3" w:name="_Hlk159308431"/>
      <w:r w:rsidR="005D0F68" w:rsidRPr="006B757F">
        <w:rPr>
          <w:i/>
          <w:iCs/>
          <w:sz w:val="24"/>
          <w:szCs w:val="24"/>
          <w:lang w:eastAsia="zh-CN"/>
        </w:rPr>
        <w:t xml:space="preserve"> </w:t>
      </w:r>
      <w:r w:rsidR="00891883" w:rsidRPr="006B757F">
        <w:rPr>
          <w:i/>
          <w:iCs/>
          <w:sz w:val="24"/>
          <w:szCs w:val="24"/>
          <w:lang w:eastAsia="zh-CN"/>
        </w:rPr>
        <w:t xml:space="preserve">– </w:t>
      </w:r>
      <w:r w:rsidR="000A7340" w:rsidRPr="006B757F">
        <w:rPr>
          <w:i/>
          <w:iCs/>
          <w:sz w:val="24"/>
          <w:szCs w:val="24"/>
          <w:lang w:eastAsia="zh-CN"/>
        </w:rPr>
        <w:t>pramonės ir sandėliavimo objektų teritorijos</w:t>
      </w:r>
      <w:r w:rsidRPr="006B757F">
        <w:rPr>
          <w:i/>
          <w:iCs/>
          <w:sz w:val="24"/>
          <w:szCs w:val="24"/>
          <w:lang w:eastAsia="zh-CN"/>
        </w:rPr>
        <w:t>.</w:t>
      </w:r>
      <w:r w:rsidRPr="006B757F">
        <w:rPr>
          <w:sz w:val="24"/>
          <w:szCs w:val="24"/>
          <w:lang w:eastAsia="zh-CN"/>
        </w:rPr>
        <w:t xml:space="preserve"> </w:t>
      </w:r>
    </w:p>
    <w:bookmarkEnd w:id="3"/>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4" w:name="_Hlk102560300"/>
      <w:r w:rsidR="00FE632D" w:rsidRPr="006B757F">
        <w:rPr>
          <w:i/>
          <w:iCs/>
          <w:sz w:val="24"/>
          <w:szCs w:val="24"/>
          <w:lang w:eastAsia="zh-CN"/>
        </w:rPr>
        <w:t>us</w:t>
      </w:r>
      <w:r w:rsidRPr="006B757F">
        <w:rPr>
          <w:i/>
          <w:iCs/>
          <w:sz w:val="24"/>
          <w:szCs w:val="24"/>
          <w:lang w:eastAsia="zh-CN"/>
        </w:rPr>
        <w:t xml:space="preserve"> </w:t>
      </w:r>
      <w:bookmarkEnd w:id="4"/>
      <w:r w:rsidRPr="006B757F">
        <w:rPr>
          <w:i/>
          <w:iCs/>
          <w:sz w:val="24"/>
          <w:szCs w:val="24"/>
          <w:lang w:eastAsia="zh-CN"/>
        </w:rPr>
        <w:t>į Panevėžio miesto bendrajame plane nurodytus galimus žemės naudojimo būdus.</w:t>
      </w:r>
    </w:p>
    <w:p w14:paraId="2FE94173" w14:textId="3BF99050"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as</w:t>
      </w:r>
      <w:r w:rsidRPr="006B757F">
        <w:rPr>
          <w:i/>
          <w:iCs/>
          <w:sz w:val="24"/>
          <w:szCs w:val="24"/>
          <w:lang w:eastAsia="en-US"/>
        </w:rPr>
        <w:t xml:space="preserve"> privalo nugriauti ir sutvarkyti žemės sklypą. Pasibaigus nuomos sutarties terminui, nuomininkas privalo nugriauti pastatytus laikinus statinius, sutvarkyti žemės sklypą.</w:t>
      </w:r>
    </w:p>
    <w:p w14:paraId="2280ADAC" w14:textId="16CAB138" w:rsidR="0030053C" w:rsidRPr="006B757F" w:rsidRDefault="0030053C" w:rsidP="00891883">
      <w:pPr>
        <w:suppressAutoHyphens w:val="0"/>
        <w:ind w:firstLine="720"/>
        <w:jc w:val="both"/>
        <w:rPr>
          <w:i/>
          <w:iCs/>
          <w:sz w:val="24"/>
          <w:szCs w:val="24"/>
          <w:lang w:eastAsia="en-US"/>
        </w:rPr>
      </w:pPr>
      <w:bookmarkStart w:id="5" w:name="part_e308d8cccb304025a9f690eafbceeb93"/>
      <w:bookmarkEnd w:id="5"/>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2D1745" w:rsidRPr="006B757F">
        <w:rPr>
          <w:i/>
          <w:iCs/>
          <w:sz w:val="24"/>
          <w:szCs w:val="24"/>
          <w:lang w:eastAsia="en-US"/>
        </w:rPr>
        <w:t>draudžiama statyti naujus statinius ar įrenginius, taip pat rekonstruoti esamus.</w:t>
      </w:r>
      <w:r w:rsidRPr="006B757F">
        <w:rPr>
          <w:i/>
          <w:iCs/>
          <w:sz w:val="24"/>
          <w:szCs w:val="24"/>
          <w:lang w:eastAsia="en-US"/>
        </w:rPr>
        <w:t xml:space="preserve"> </w:t>
      </w:r>
    </w:p>
    <w:p w14:paraId="3D93719B" w14:textId="423259CB" w:rsidR="0030053C" w:rsidRPr="006B757F" w:rsidRDefault="0030053C" w:rsidP="00F64D97">
      <w:pPr>
        <w:suppressAutoHyphens w:val="0"/>
        <w:ind w:firstLine="720"/>
        <w:jc w:val="both"/>
        <w:rPr>
          <w:i/>
          <w:iCs/>
          <w:sz w:val="24"/>
          <w:szCs w:val="24"/>
          <w:lang w:eastAsia="en-US"/>
        </w:rPr>
      </w:pPr>
      <w:bookmarkStart w:id="6" w:name="part_99e5e30cc5ca4df38307ba992da9a367"/>
      <w:bookmarkEnd w:id="6"/>
      <w:r w:rsidRPr="006B757F">
        <w:rPr>
          <w:sz w:val="24"/>
          <w:szCs w:val="24"/>
          <w:lang w:eastAsia="en-US"/>
        </w:rPr>
        <w:t xml:space="preserve">7. </w:t>
      </w:r>
      <w:r w:rsidR="00891883" w:rsidRPr="006B757F">
        <w:rPr>
          <w:color w:val="000000"/>
          <w:sz w:val="24"/>
          <w:lang w:eastAsia="en-US"/>
        </w:rPr>
        <w:t>Žemės sklypo nuomininka</w:t>
      </w:r>
      <w:r w:rsidR="000A7340" w:rsidRPr="006B757F">
        <w:rPr>
          <w:color w:val="000000"/>
          <w:sz w:val="24"/>
          <w:lang w:eastAsia="en-US"/>
        </w:rPr>
        <w:t>s</w:t>
      </w:r>
      <w:r w:rsidR="00891883" w:rsidRPr="006B757F">
        <w:rPr>
          <w:color w:val="000000"/>
          <w:sz w:val="24"/>
          <w:lang w:eastAsia="en-US"/>
        </w:rPr>
        <w:t xml:space="preserve"> galimybę statyti ir (ar) rekonstruoti statinius įgyja tik sumokėję</w:t>
      </w:r>
      <w:r w:rsidR="000A7340" w:rsidRPr="006B757F">
        <w:rPr>
          <w:color w:val="000000"/>
          <w:sz w:val="24"/>
          <w:lang w:eastAsia="en-US"/>
        </w:rPr>
        <w:t>s</w:t>
      </w:r>
      <w:r w:rsidR="00E32CF9" w:rsidRPr="006B757F">
        <w:rPr>
          <w:color w:val="000000"/>
          <w:sz w:val="24"/>
          <w:lang w:eastAsia="en-US"/>
        </w:rPr>
        <w:t xml:space="preserve"> </w:t>
      </w:r>
      <w:r w:rsidR="00891883" w:rsidRPr="006B757F">
        <w:rPr>
          <w:color w:val="000000"/>
          <w:sz w:val="24"/>
          <w:lang w:eastAsia="en-US"/>
        </w:rPr>
        <w:t xml:space="preserve">savivaldybės, kurios teritorijoje yra žemės sklypas, administracijos apskaičiuotą </w:t>
      </w:r>
      <w:r w:rsidR="00523CEE" w:rsidRPr="00523CEE">
        <w:rPr>
          <w:color w:val="000000"/>
          <w:sz w:val="24"/>
          <w:lang w:eastAsia="en-US"/>
        </w:rPr>
        <w:lastRenderedPageBreak/>
        <w:t xml:space="preserve">Lietuvos Respublikos </w:t>
      </w:r>
      <w:r w:rsidR="00523CEE">
        <w:rPr>
          <w:color w:val="000000"/>
          <w:sz w:val="24"/>
          <w:lang w:eastAsia="en-US"/>
        </w:rPr>
        <w:t>ž</w:t>
      </w:r>
      <w:r w:rsidR="00891883"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F64D97" w:rsidRPr="006B757F">
        <w:rPr>
          <w:color w:val="000000"/>
          <w:sz w:val="24"/>
          <w:lang w:eastAsia="en-US"/>
        </w:rPr>
        <w:t xml:space="preserve">: </w:t>
      </w:r>
      <w:r w:rsidR="00F64D97" w:rsidRPr="006B757F">
        <w:rPr>
          <w:i/>
          <w:iCs/>
          <w:sz w:val="24"/>
          <w:szCs w:val="24"/>
          <w:lang w:eastAsia="en-US"/>
        </w:rPr>
        <w:t xml:space="preserve">draudžiama statyti naujus statinius ar įrenginius, taip pat rekonstruoti esamus. </w:t>
      </w:r>
    </w:p>
    <w:p w14:paraId="5C7A2425" w14:textId="7903C772" w:rsidR="0030053C" w:rsidRPr="006B757F" w:rsidRDefault="0030053C" w:rsidP="0030053C">
      <w:pPr>
        <w:suppressAutoHyphens w:val="0"/>
        <w:ind w:firstLine="720"/>
        <w:jc w:val="both"/>
        <w:rPr>
          <w:sz w:val="24"/>
          <w:szCs w:val="24"/>
          <w:lang w:eastAsia="en-US"/>
        </w:rPr>
      </w:pPr>
      <w:bookmarkStart w:id="7" w:name="part_0cfcfaafd0de4467962fda1247b4d1f9"/>
      <w:bookmarkEnd w:id="7"/>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47F2B4F7" w14:textId="77777777" w:rsidR="00640999"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9. Specialiosios žemės naudojimo sąlygos: </w:t>
      </w:r>
      <w:r w:rsidR="00640999" w:rsidRPr="00F16635">
        <w:rPr>
          <w:i/>
          <w:iCs/>
          <w:sz w:val="24"/>
          <w:szCs w:val="24"/>
          <w:lang w:eastAsia="zh-CN"/>
        </w:rPr>
        <w:t>nėra.</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03A2A473" w14:textId="7AC1D4F2"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12. Žemės sklypo vertė </w:t>
      </w:r>
      <w:r w:rsidRPr="00F16635">
        <w:rPr>
          <w:sz w:val="24"/>
          <w:szCs w:val="24"/>
          <w:lang w:eastAsia="zh-CN"/>
        </w:rPr>
        <w:t xml:space="preserve">– </w:t>
      </w:r>
      <w:r w:rsidR="00640999" w:rsidRPr="00F16635">
        <w:rPr>
          <w:i/>
          <w:sz w:val="24"/>
          <w:szCs w:val="24"/>
          <w:lang w:eastAsia="zh-CN"/>
        </w:rPr>
        <w:t>100 000,00 Eur (vienas šimtas tūkstančių eurų)</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p>
    <w:p w14:paraId="77551827" w14:textId="29BC7231"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7BA0C964"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15377FF"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985E168"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lastRenderedPageBreak/>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0E9BEAD6"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18. Kiti su nuomojamo žemės sklypo naudojimu ir grąžinimu, pasibaigus nuomos sutarčiai, susiję nuomotojo ir nuomininko įsipareigojimai: </w:t>
      </w:r>
      <w:r w:rsidRPr="00516238">
        <w:rPr>
          <w:i/>
          <w:sz w:val="24"/>
          <w:szCs w:val="24"/>
          <w:lang w:eastAsia="zh-CN"/>
        </w:rPr>
        <w:t>p</w:t>
      </w:r>
      <w:r w:rsidRPr="006B757F">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5A0280DF"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04A6D7A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Nuomininkas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25DD638A"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22.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0B3BE8E5" w:rsidR="007E3632" w:rsidRPr="006B757F" w:rsidRDefault="007E3632" w:rsidP="007E3632">
      <w:pPr>
        <w:widowControl w:val="0"/>
        <w:suppressAutoHyphens w:val="0"/>
        <w:ind w:firstLine="720"/>
        <w:jc w:val="both"/>
        <w:rPr>
          <w:sz w:val="24"/>
          <w:lang w:eastAsia="lt-LT"/>
        </w:rPr>
      </w:pPr>
      <w:r w:rsidRPr="006B757F">
        <w:rPr>
          <w:sz w:val="24"/>
          <w:lang w:eastAsia="lt-LT"/>
        </w:rPr>
        <w:t>23.1. nuomininkui neįvykdžius sutarties 2</w:t>
      </w:r>
      <w:r w:rsidR="00640999">
        <w:rPr>
          <w:sz w:val="24"/>
          <w:lang w:eastAsia="lt-LT"/>
        </w:rPr>
        <w:t>7</w:t>
      </w:r>
      <w:r w:rsidRPr="006B757F">
        <w:rPr>
          <w:sz w:val="24"/>
          <w:lang w:eastAsia="lt-LT"/>
        </w:rPr>
        <w:t xml:space="preserve">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1F1D7A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B9C931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F1911D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1B083978" w:rsidR="007E3632" w:rsidRPr="006B757F"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2C4EF24D" w14:textId="164A4367"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640999">
        <w:rPr>
          <w:sz w:val="24"/>
          <w:lang w:eastAsia="en-US"/>
        </w:rPr>
        <w:t>6</w:t>
      </w:r>
      <w:r w:rsidRPr="006B757F">
        <w:rPr>
          <w:sz w:val="24"/>
          <w:lang w:eastAsia="en-US"/>
        </w:rPr>
        <w:t>. Prie šios sutarties pridedamas išnuomojamo žemės sklypo planas M 1:</w:t>
      </w:r>
      <w:r w:rsidR="00640999">
        <w:rPr>
          <w:sz w:val="24"/>
          <w:lang w:eastAsia="en-US"/>
        </w:rPr>
        <w:t>1000</w:t>
      </w:r>
      <w:r w:rsidRPr="006B757F">
        <w:rPr>
          <w:sz w:val="24"/>
          <w:lang w:eastAsia="en-US"/>
        </w:rPr>
        <w:t xml:space="preserve"> kaip neatskiriama sudedamoji šios sutarties dalis.</w:t>
      </w:r>
    </w:p>
    <w:p w14:paraId="6BB24617" w14:textId="734FEB51"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640999">
        <w:rPr>
          <w:sz w:val="24"/>
          <w:lang w:eastAsia="en-US"/>
        </w:rPr>
        <w:t>7</w:t>
      </w:r>
      <w:r w:rsidRPr="006B757F">
        <w:rPr>
          <w:sz w:val="24"/>
          <w:lang w:eastAsia="en-US"/>
        </w:rPr>
        <w:t>. Juridinį faktą apie sudarytą sutartį nuomininkas savo lėšomis per 3 mėnesius įregistruoja Nekilnojamojo turto registre.</w:t>
      </w:r>
    </w:p>
    <w:p w14:paraId="3137E38E" w14:textId="7D561899"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640999">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6C7475" w:rsidRPr="006C7475">
        <w:rPr>
          <w:sz w:val="24"/>
          <w:szCs w:val="24"/>
        </w:rPr>
        <w:t xml:space="preserve">J. B. </w:t>
      </w:r>
      <w:r w:rsidR="006C7475" w:rsidRPr="006C7475">
        <w:rPr>
          <w:i/>
          <w:iCs/>
          <w:sz w:val="24"/>
          <w:szCs w:val="24"/>
        </w:rPr>
        <w:t>(duomenys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3F8850C9"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6C7475">
        <w:rPr>
          <w:sz w:val="24"/>
          <w:szCs w:val="24"/>
          <w:lang w:eastAsia="lt-LT"/>
        </w:rPr>
        <w:t xml:space="preserve">    </w:t>
      </w:r>
      <w:r w:rsidRPr="006B757F">
        <w:rPr>
          <w:sz w:val="24"/>
          <w:szCs w:val="24"/>
          <w:lang w:eastAsia="lt-LT"/>
        </w:rPr>
        <w:t xml:space="preserve">  </w:t>
      </w:r>
      <w:r w:rsidR="006C7475">
        <w:rPr>
          <w:sz w:val="24"/>
          <w:szCs w:val="24"/>
        </w:rPr>
        <w:t>T</w:t>
      </w:r>
      <w:r w:rsidR="006C7475" w:rsidRPr="006C7475">
        <w:rPr>
          <w:sz w:val="24"/>
          <w:szCs w:val="24"/>
        </w:rPr>
        <w:t xml:space="preserve">. </w:t>
      </w:r>
      <w:r w:rsidR="006C7475">
        <w:rPr>
          <w:sz w:val="24"/>
          <w:szCs w:val="24"/>
        </w:rPr>
        <w:t>J</w:t>
      </w:r>
      <w:r w:rsidR="006C7475" w:rsidRPr="006C7475">
        <w:rPr>
          <w:sz w:val="24"/>
          <w:szCs w:val="24"/>
        </w:rPr>
        <w:t xml:space="preserve">. </w:t>
      </w:r>
      <w:r w:rsidR="006C7475" w:rsidRPr="006C7475">
        <w:rPr>
          <w:i/>
          <w:iCs/>
          <w:sz w:val="24"/>
          <w:szCs w:val="24"/>
        </w:rPr>
        <w:t>(duomenys neskelbtini)</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7E4413EA" w:rsidR="008F574C" w:rsidRPr="006B757F" w:rsidRDefault="008F574C" w:rsidP="008F574C">
      <w:pPr>
        <w:suppressAutoHyphens w:val="0"/>
        <w:jc w:val="both"/>
        <w:rPr>
          <w:sz w:val="24"/>
          <w:szCs w:val="24"/>
          <w:lang w:eastAsia="en-US"/>
        </w:rPr>
      </w:pPr>
      <w:bookmarkStart w:id="8"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6C7475" w:rsidRPr="006C7475">
        <w:rPr>
          <w:sz w:val="24"/>
          <w:szCs w:val="24"/>
        </w:rPr>
        <w:t xml:space="preserve">J. B. </w:t>
      </w:r>
      <w:r w:rsidR="006C7475" w:rsidRPr="006C7475">
        <w:rPr>
          <w:i/>
          <w:iCs/>
          <w:sz w:val="24"/>
          <w:szCs w:val="24"/>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72FF8977" w14:textId="77777777" w:rsidR="008F574C" w:rsidRPr="008F574C" w:rsidRDefault="008F574C" w:rsidP="008F574C">
      <w:pPr>
        <w:tabs>
          <w:tab w:val="left" w:pos="1418"/>
        </w:tabs>
        <w:suppressAutoHyphens w:val="0"/>
        <w:ind w:left="720"/>
        <w:jc w:val="both"/>
        <w:rPr>
          <w:sz w:val="16"/>
          <w:szCs w:val="16"/>
          <w:lang w:eastAsia="en-US"/>
        </w:rPr>
      </w:pPr>
      <w:r w:rsidRPr="006B757F">
        <w:rPr>
          <w:sz w:val="24"/>
          <w:szCs w:val="24"/>
          <w:lang w:eastAsia="en-US"/>
        </w:rPr>
        <w:t>asmens steigimo dokumentuose)</w:t>
      </w:r>
      <w:bookmarkEnd w:id="8"/>
    </w:p>
    <w:sectPr w:rsidR="008F574C" w:rsidRPr="008F574C" w:rsidSect="003A351A">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FDF34" w14:textId="77777777" w:rsidR="003A351A" w:rsidRPr="006B757F" w:rsidRDefault="003A351A">
      <w:r w:rsidRPr="006B757F">
        <w:separator/>
      </w:r>
    </w:p>
  </w:endnote>
  <w:endnote w:type="continuationSeparator" w:id="0">
    <w:p w14:paraId="70464BB6" w14:textId="77777777" w:rsidR="003A351A" w:rsidRPr="006B757F" w:rsidRDefault="003A351A">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9D218" w14:textId="77777777" w:rsidR="003A351A" w:rsidRPr="006B757F" w:rsidRDefault="003A351A">
      <w:r w:rsidRPr="006B757F">
        <w:separator/>
      </w:r>
    </w:p>
  </w:footnote>
  <w:footnote w:type="continuationSeparator" w:id="0">
    <w:p w14:paraId="3FC2CF0A" w14:textId="77777777" w:rsidR="003A351A" w:rsidRPr="006B757F" w:rsidRDefault="003A351A">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966FE9">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212B"/>
    <w:rsid w:val="00397DA5"/>
    <w:rsid w:val="003A351A"/>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4D00"/>
    <w:rsid w:val="005B5882"/>
    <w:rsid w:val="005B59BB"/>
    <w:rsid w:val="005B6D87"/>
    <w:rsid w:val="005C1B2A"/>
    <w:rsid w:val="005C33A3"/>
    <w:rsid w:val="005C440B"/>
    <w:rsid w:val="005D0F6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475"/>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7383"/>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F27"/>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6FE9"/>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635"/>
    <w:rsid w:val="00F16D3A"/>
    <w:rsid w:val="00F1775E"/>
    <w:rsid w:val="00F2438C"/>
    <w:rsid w:val="00F3068F"/>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e847d82d-b97e-4716-b8cd-9ca8cf006b80"/>
    <ds:schemaRef ds:uri="2d4b52e3-d30b-44a0-a8e1-1efde94fc7c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4CCFD-B734-467A-9F81-C7E8A3F3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9212</Words>
  <Characters>5252</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2024-05-09T06:24:00Z</dcterms:created>
  <dcterms:modified xsi:type="dcterms:W3CDTF">2024-05-09T06:24:00Z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