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AE5F4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0F947B90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4E550673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AIŠKINAMASIS RAŠTAS</w:t>
      </w:r>
    </w:p>
    <w:p w14:paraId="2EE53A07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2AEFE6A0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DĖL SPRENDIMO</w:t>
      </w:r>
    </w:p>
    <w:p w14:paraId="506F57EC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5A8CE3BB" w14:textId="700241E4" w:rsidR="00311E75" w:rsidRPr="004C31CE" w:rsidRDefault="00311E75" w:rsidP="00276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bookmarkStart w:id="0" w:name="Nr"/>
      <w:bookmarkStart w:id="1" w:name="Pavadinimas"/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lt-LT"/>
        </w:rPr>
        <w:t xml:space="preserve"> ,,</w:t>
      </w:r>
      <w:r w:rsidR="00820041" w:rsidRPr="00820041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 xml:space="preserve"> </w:t>
      </w:r>
      <w:bookmarkStart w:id="2" w:name="_Hlk115807352"/>
      <w:r w:rsidR="007E02C8" w:rsidRPr="007E02C8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DĖL VIDUTINĖS KURO KAINOS KOMPENSACIJOMS 202</w:t>
      </w:r>
      <w:r w:rsidR="00BE5189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4</w:t>
      </w:r>
      <w:r w:rsidR="007E02C8" w:rsidRPr="007E02C8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–202</w:t>
      </w:r>
      <w:r w:rsidR="00BE5189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5</w:t>
      </w:r>
      <w:r w:rsidR="007E02C8" w:rsidRPr="007E02C8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 xml:space="preserve"> METŲ ŠILDYMO SEZONUI APSKAIČIUOTI PATVIRTINIMO </w:t>
      </w:r>
      <w:r w:rsidR="0027628F" w:rsidRPr="0092709B">
        <w:rPr>
          <w:rFonts w:ascii="Times New Roman" w:eastAsia="Times New Roman" w:hAnsi="Times New Roman" w:cs="Times New Roman"/>
          <w:b/>
          <w:noProof w:val="0"/>
          <w:sz w:val="24"/>
        </w:rPr>
        <w:t>”</w:t>
      </w:r>
      <w:bookmarkEnd w:id="2"/>
      <w:r w:rsidR="0027628F"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PROJEKTO</w:t>
      </w:r>
      <w:r w:rsidR="0027628F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</w:t>
      </w:r>
    </w:p>
    <w:p w14:paraId="6A096575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05862242" w14:textId="5BB18831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</w:t>
      </w:r>
      <w:r w:rsid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</w:t>
      </w:r>
      <w:r w:rsidR="00BE51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4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r w:rsidR="004404D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09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bookmarkEnd w:id="0"/>
      <w:bookmarkEnd w:id="1"/>
      <w:r w:rsidR="00BE51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04</w:t>
      </w:r>
    </w:p>
    <w:p w14:paraId="05DCEEE9" w14:textId="77777777" w:rsidR="00311E75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Panevėžys</w:t>
      </w:r>
    </w:p>
    <w:p w14:paraId="0D9A8D7A" w14:textId="77777777" w:rsidR="00CC4447" w:rsidRPr="004C31CE" w:rsidRDefault="00CC4447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50220BBB" w14:textId="77777777" w:rsidR="00CC4447" w:rsidRPr="00CC4447" w:rsidRDefault="00CC4447" w:rsidP="00AA17B5">
      <w:pPr>
        <w:pStyle w:val="Sraopastraipa"/>
        <w:numPr>
          <w:ilvl w:val="0"/>
          <w:numId w:val="1"/>
        </w:numPr>
        <w:spacing w:after="0" w:line="360" w:lineRule="auto"/>
        <w:ind w:left="0" w:firstLine="964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CC444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Sprendimo projekto tikslai ir uždaviniai: </w:t>
      </w:r>
    </w:p>
    <w:p w14:paraId="5A83EB5D" w14:textId="4B2F90FE" w:rsidR="00756E59" w:rsidRDefault="00756E59" w:rsidP="00AA17B5">
      <w:pPr>
        <w:spacing w:after="0" w:line="312" w:lineRule="auto"/>
        <w:ind w:firstLine="964"/>
        <w:jc w:val="both"/>
        <w:rPr>
          <w:rFonts w:ascii="Times New Roman" w:eastAsia="Times New Roman" w:hAnsi="Times New Roman" w:cs="Times New Roman"/>
          <w:noProof w:val="0"/>
          <w:sz w:val="24"/>
          <w:szCs w:val="20"/>
        </w:rPr>
      </w:pPr>
      <w:r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Tarybos sprendim</w:t>
      </w:r>
      <w:r w:rsidR="00CF60B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o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,,D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ėl vidutinės kuro kainos kompensacijoms </w:t>
      </w:r>
      <w:r w:rsidR="007E02C8">
        <w:rPr>
          <w:rFonts w:ascii="Times New Roman" w:eastAsia="Times New Roman" w:hAnsi="Times New Roman" w:cs="Times New Roman"/>
          <w:noProof w:val="0"/>
          <w:sz w:val="24"/>
          <w:szCs w:val="24"/>
        </w:rPr>
        <w:t>202</w:t>
      </w:r>
      <w:r w:rsidR="00BE5189">
        <w:rPr>
          <w:rFonts w:ascii="Times New Roman" w:eastAsia="Times New Roman" w:hAnsi="Times New Roman" w:cs="Times New Roman"/>
          <w:noProof w:val="0"/>
          <w:sz w:val="24"/>
          <w:szCs w:val="24"/>
        </w:rPr>
        <w:t>4</w:t>
      </w:r>
      <w:r w:rsidR="007E02C8">
        <w:rPr>
          <w:rFonts w:ascii="Times New Roman" w:eastAsia="Times New Roman" w:hAnsi="Times New Roman" w:cs="Times New Roman"/>
          <w:noProof w:val="0"/>
          <w:sz w:val="24"/>
          <w:szCs w:val="24"/>
        </w:rPr>
        <w:t>-202</w:t>
      </w:r>
      <w:r w:rsidR="00BE5189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="007E02C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metų šildymo sezonui 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apskaičiuoti patvirtinimo</w:t>
      </w:r>
      <w:r w:rsidR="00CF60B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“ 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projekt</w:t>
      </w:r>
      <w:r w:rsidR="00CF60B4">
        <w:rPr>
          <w:rFonts w:ascii="Times New Roman" w:eastAsia="Times New Roman" w:hAnsi="Times New Roman" w:cs="Times New Roman"/>
          <w:noProof w:val="0"/>
          <w:sz w:val="24"/>
          <w:szCs w:val="24"/>
        </w:rPr>
        <w:t>as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(toliau </w:t>
      </w:r>
      <w:bookmarkStart w:id="3" w:name="_Hlk115945141"/>
      <w:r w:rsidRPr="0082004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bookmarkEnd w:id="3"/>
      <w:r w:rsidR="000623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20041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820041">
        <w:rPr>
          <w:rFonts w:ascii="Times New Roman" w:eastAsia="Times New Roman" w:hAnsi="Times New Roman" w:cs="Times New Roman"/>
          <w:sz w:val="24"/>
          <w:szCs w:val="24"/>
        </w:rPr>
        <w:t>prendimo projektas</w:t>
      </w:r>
      <w:r w:rsidR="0092709B">
        <w:rPr>
          <w:rFonts w:ascii="Times New Roman" w:eastAsia="Times New Roman" w:hAnsi="Times New Roman" w:cs="Times New Roman"/>
          <w:sz w:val="24"/>
          <w:szCs w:val="24"/>
        </w:rPr>
        <w:t>)</w:t>
      </w:r>
      <w:r w:rsidR="0092709B" w:rsidRPr="009270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2709B" w:rsidRPr="00D52B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parengtas siekiant </w:t>
      </w:r>
      <w:r w:rsidR="00CF60B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patvirtinti</w:t>
      </w:r>
      <w:r w:rsidR="0092709B" w:rsidRPr="00D52B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92709B"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A65BAA">
        <w:rPr>
          <w:rFonts w:ascii="Times New Roman" w:eastAsia="Times New Roman" w:hAnsi="Times New Roman" w:cs="Times New Roman"/>
          <w:noProof w:val="0"/>
          <w:sz w:val="24"/>
          <w:szCs w:val="24"/>
        </w:rPr>
        <w:t>202</w:t>
      </w:r>
      <w:r w:rsidR="00BE5189">
        <w:rPr>
          <w:rFonts w:ascii="Times New Roman" w:eastAsia="Times New Roman" w:hAnsi="Times New Roman" w:cs="Times New Roman"/>
          <w:noProof w:val="0"/>
          <w:sz w:val="24"/>
          <w:szCs w:val="24"/>
        </w:rPr>
        <w:t>4</w:t>
      </w:r>
      <w:r w:rsidR="00A65BAA">
        <w:rPr>
          <w:rFonts w:ascii="Times New Roman" w:eastAsia="Times New Roman" w:hAnsi="Times New Roman" w:cs="Times New Roman"/>
          <w:noProof w:val="0"/>
          <w:sz w:val="24"/>
          <w:szCs w:val="24"/>
        </w:rPr>
        <w:t>-202</w:t>
      </w:r>
      <w:r w:rsidR="00BE5189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="00A65BA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metų šildymo sezonui</w:t>
      </w:r>
      <w:r w:rsidR="00A65BAA" w:rsidRPr="00D52B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92709B" w:rsidRPr="00D52B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šildymo ir karšto vandens išlaidų kompensacijoms</w:t>
      </w:r>
      <w:r w:rsidR="009270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92709B"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(toliau</w:t>
      </w:r>
      <w:r w:rsidR="000623FE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0623FE" w:rsidRPr="0082004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0623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709B"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kompensacijos) </w:t>
      </w:r>
      <w:r w:rsidR="009270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apskaičiuoti taikomas 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vidutines kietojo ar kitokio kuro kainas (įskaitant PVM</w:t>
      </w:r>
      <w:r w:rsidR="0092709B">
        <w:rPr>
          <w:rFonts w:ascii="Times New Roman" w:eastAsia="Times New Roman" w:hAnsi="Times New Roman" w:cs="Times New Roman"/>
          <w:noProof w:val="0"/>
          <w:sz w:val="24"/>
          <w:szCs w:val="24"/>
        </w:rPr>
        <w:t>)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kai </w:t>
      </w:r>
      <w:bookmarkStart w:id="4" w:name="_Hlk80196423"/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būstui šildyti ir karštam vandeniui ruošti naudojamas kietasis ar </w:t>
      </w:r>
      <w:bookmarkEnd w:id="4"/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kitoks kuras. </w:t>
      </w:r>
      <w:bookmarkStart w:id="5" w:name="n_0"/>
    </w:p>
    <w:bookmarkEnd w:id="5"/>
    <w:p w14:paraId="306E5C0B" w14:textId="43D965C6" w:rsidR="00311E75" w:rsidRPr="004C31CE" w:rsidRDefault="00A65BAA" w:rsidP="00AA17B5">
      <w:pPr>
        <w:tabs>
          <w:tab w:val="num" w:pos="0"/>
        </w:tabs>
        <w:spacing w:after="0" w:line="312" w:lineRule="auto"/>
        <w:ind w:firstLine="96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2</w:t>
      </w:r>
      <w:r w:rsidR="00311E75"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.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CC4447" w:rsidRPr="00CC444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  <w:t>Siūlomos teisinio reguliavimo nuostatos, laukiami rezultatai: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</w:p>
    <w:p w14:paraId="2E078C44" w14:textId="4C2BC432" w:rsidR="00A65BAA" w:rsidRPr="00CF60B4" w:rsidRDefault="00A65BAA" w:rsidP="00AA17B5">
      <w:pPr>
        <w:spacing w:after="0" w:line="312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Kompensacijos skiriamos </w:t>
      </w:r>
      <w:bookmarkStart w:id="6" w:name="_Hlk115809757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vadovaujantis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>Lietuvos Respublikos piniginės socialinės paramos nepasiturintiems gyventojams įstatym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ir 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>Piniginės socialinės paramos nepasiturintiems gyventojams teikimo tvarkos apraš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patvirtinto Tarybos 2019 m. sausio 31 d. sprendimu Nr. 1-13. Vadovaujantis aprašo 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37.3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p., kai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būstui šildyti ir karštam vandeniui ruošti naudojam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kietasis arba </w:t>
      </w:r>
      <w:r w:rsidRPr="007B5A87">
        <w:rPr>
          <w:rFonts w:ascii="Times New Roman" w:eastAsia="Times New Roman" w:hAnsi="Times New Roman" w:cs="Times New Roman"/>
          <w:sz w:val="24"/>
          <w:szCs w:val="24"/>
        </w:rPr>
        <w:t>kitas kuras, vieno kubinio metro kaina (įskaitant pridėtinės vertės mokestį) nustatoma Savivaldybės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tarybos sprendimu.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Patvirtinus Sprendimo projektą bus sudaryta galimybė skirti kompensacijas asmenims, kurie šildymui ir karšatm vandeniui ruošti 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naudoja kiet</w:t>
      </w:r>
      <w:r>
        <w:rPr>
          <w:rFonts w:ascii="Times New Roman" w:eastAsia="Times New Roman" w:hAnsi="Times New Roman" w:cs="Times New Roman"/>
          <w:sz w:val="24"/>
          <w:szCs w:val="24"/>
        </w:rPr>
        <w:t>ąjį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arba kit</w:t>
      </w:r>
      <w:r>
        <w:rPr>
          <w:rFonts w:ascii="Times New Roman" w:eastAsia="Times New Roman" w:hAnsi="Times New Roman" w:cs="Times New Roman"/>
          <w:sz w:val="24"/>
          <w:szCs w:val="24"/>
        </w:rPr>
        <w:t>okį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kur</w:t>
      </w:r>
      <w:r>
        <w:rPr>
          <w:rFonts w:ascii="Times New Roman" w:eastAsia="Times New Roman" w:hAnsi="Times New Roman" w:cs="Times New Roman"/>
          <w:sz w:val="24"/>
          <w:szCs w:val="24"/>
        </w:rPr>
        <w:t>ą.</w:t>
      </w:r>
    </w:p>
    <w:bookmarkEnd w:id="6"/>
    <w:p w14:paraId="4D169B0A" w14:textId="1DA327ED" w:rsidR="00311E75" w:rsidRPr="004C31CE" w:rsidRDefault="00A65BAA" w:rsidP="00AA17B5">
      <w:pPr>
        <w:tabs>
          <w:tab w:val="num" w:pos="0"/>
        </w:tabs>
        <w:spacing w:after="0" w:line="312" w:lineRule="auto"/>
        <w:ind w:firstLine="964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3</w:t>
      </w:r>
      <w:r w:rsidR="00311E75"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. </w:t>
      </w:r>
      <w:r w:rsidR="00B17166" w:rsidRPr="00CC444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  <w:t>Lėšų poreikis ir šaltiniai</w:t>
      </w:r>
      <w:r w:rsidR="00311E75"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:</w:t>
      </w:r>
    </w:p>
    <w:p w14:paraId="74E9D756" w14:textId="77777777" w:rsidR="00FF3808" w:rsidRDefault="00137587" w:rsidP="00AA17B5">
      <w:pPr>
        <w:spacing w:after="0" w:line="312" w:lineRule="auto"/>
        <w:ind w:firstLine="964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Šildymo išlaidų, išlaidų karštam ir geriamajam vandens k</w:t>
      </w:r>
      <w:r w:rsidR="004E72B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ompensacijos 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yra 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finansuojam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os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iš savivaldybės biudžeto lėšų kaip savarankiška savivaldybių funkcija. </w:t>
      </w:r>
      <w:r w:rsidR="00FF3808" w:rsidRPr="00FF38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Savivaldybėms skiriama lėšų suma yra lygi 2011–2013 metų laikotarpiu piniginei socialinei paramai skaičiuoti ir mokėti faktiškai panaudotai vidutinei metinei lėšų sumai (</w:t>
      </w:r>
      <w:bookmarkStart w:id="7" w:name="_hlk508613762"/>
      <w:r w:rsidR="00FF3808" w:rsidRPr="00FF38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Lietuvos Respublikos piniginės socialinės paramos nepasiturintiems gyventojams įstatymo 4 straipsnio 3 dalis). </w:t>
      </w:r>
      <w:r w:rsidR="00FF3808" w:rsidRPr="00FF3808">
        <w:rPr>
          <w:rFonts w:ascii="Times New Roman" w:eastAsia="Times New Roman" w:hAnsi="Times New Roman" w:cs="Times New Roman"/>
          <w:noProof w:val="0"/>
          <w:color w:val="000000"/>
          <w:lang w:eastAsia="lt-LT"/>
        </w:rPr>
        <w:t xml:space="preserve"> </w:t>
      </w:r>
      <w:bookmarkEnd w:id="7"/>
    </w:p>
    <w:p w14:paraId="45FC530A" w14:textId="14B617EF" w:rsidR="00FF3808" w:rsidRPr="00FF3808" w:rsidRDefault="00FF3808" w:rsidP="00AA17B5">
      <w:pPr>
        <w:spacing w:after="0" w:line="312" w:lineRule="auto"/>
        <w:ind w:firstLine="964"/>
        <w:contextualSpacing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eastAsia="lt-LT"/>
        </w:rPr>
      </w:pPr>
      <w:r w:rsidRPr="00FF3808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Kompensacijas naudojant kietąjį kurą 2023-2024 m. šildymo sezono metu gavo </w:t>
      </w:r>
      <w:r w:rsidR="006213C3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 527 š</w:t>
      </w:r>
      <w:r w:rsidRPr="00FF3808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eimos ir vieni gyvenantys asmenys, tam panaudota </w:t>
      </w:r>
      <w:r w:rsidRPr="00FF38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 w:rsidR="006213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213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269,1</w:t>
      </w:r>
      <w:r w:rsidRPr="00FF38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tūkst. Eur.</w:t>
      </w:r>
      <w:r w:rsidRPr="00FF38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3808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 Patvirtinus Sprendimo projektą, tam pačiam šeimų ir vien</w:t>
      </w:r>
      <w:r w:rsidR="00DA342D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>ų</w:t>
      </w:r>
      <w:r w:rsidRPr="00FF3808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 gyvenančių asmenų skaičiui lėšų 2024-2025 šildymo sezonui poreikis </w:t>
      </w:r>
      <w:r w:rsidRPr="007B5A87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palyginus su 2023-2024 šildymo sezonu </w:t>
      </w:r>
      <w:r w:rsidRPr="00FF3808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 </w:t>
      </w:r>
      <w:r w:rsidR="006213C3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padidėtų </w:t>
      </w:r>
      <w:r w:rsidRPr="00FF3808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 ik</w:t>
      </w:r>
      <w:r w:rsidR="006213C3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i  295,0 </w:t>
      </w:r>
      <w:r w:rsidRPr="00FF3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tūkst</w:t>
      </w:r>
      <w:r w:rsidRPr="00FF38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Eur.</w:t>
      </w:r>
      <w:r w:rsidR="0013460B" w:rsidRPr="0013460B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 w:rsidR="0013460B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lt-LT"/>
        </w:rPr>
        <w:t>Š</w:t>
      </w:r>
      <w:r w:rsidR="0013460B" w:rsidRPr="007B5A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ildymo išlaidų, išlaidų karštam ir geriamajam vandens  </w:t>
      </w:r>
      <w:r w:rsidR="0013460B" w:rsidRPr="007B5A87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lt-LT"/>
        </w:rPr>
        <w:t>kompensacijoms 2024 metams finansuoti yra numatyta apie</w:t>
      </w:r>
      <w:r w:rsidR="0013460B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lt-LT"/>
        </w:rPr>
        <w:t xml:space="preserve"> 2444,3</w:t>
      </w:r>
      <w:r w:rsidR="0013460B" w:rsidRPr="007B5A87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lt-LT"/>
        </w:rPr>
        <w:t xml:space="preserve"> tūkst. Eur,  kurių</w:t>
      </w:r>
      <w:r w:rsidR="0013460B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lt-LT"/>
        </w:rPr>
        <w:t xml:space="preserve"> 5,3</w:t>
      </w:r>
      <w:r w:rsidR="0013460B" w:rsidRPr="007B5A87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lt-LT"/>
        </w:rPr>
        <w:t xml:space="preserve"> tūkst. valstybės biudžeto lėšos. Per tris šių metų ketvirčius š</w:t>
      </w:r>
      <w:r w:rsidR="0013460B" w:rsidRPr="007B5A8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ildymo išlaidų, išlaidų karštam ir geriamajam vandens kompensacijoms kietu kuru  </w:t>
      </w:r>
      <w:r w:rsidR="0013460B" w:rsidRPr="007B5A87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lt-LT"/>
        </w:rPr>
        <w:t xml:space="preserve">panaudota apie </w:t>
      </w:r>
      <w:r w:rsidR="0013460B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lt-LT"/>
        </w:rPr>
        <w:t xml:space="preserve"> 231,7 </w:t>
      </w:r>
      <w:r w:rsidR="0013460B" w:rsidRPr="007B5A87">
        <w:rPr>
          <w:rFonts w:ascii="Times New Roman" w:eastAsia="Calibri" w:hAnsi="Times New Roman" w:cs="Times New Roman"/>
          <w:noProof w:val="0"/>
          <w:color w:val="000000"/>
          <w:sz w:val="24"/>
          <w:szCs w:val="24"/>
          <w:lang w:eastAsia="lt-LT"/>
        </w:rPr>
        <w:t>tūkst. Eur.</w:t>
      </w:r>
    </w:p>
    <w:p w14:paraId="359D827F" w14:textId="2FD06D41" w:rsidR="00AA17B5" w:rsidRDefault="00A65BAA" w:rsidP="00AA17B5">
      <w:pPr>
        <w:spacing w:after="0" w:line="312" w:lineRule="auto"/>
        <w:ind w:firstLine="9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C22B8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202</w:t>
      </w:r>
      <w:r w:rsidR="00BE5189" w:rsidRPr="007C22B8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3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-202</w:t>
      </w:r>
      <w:r w:rsidR="00BE5189" w:rsidRPr="007C22B8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4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metų šildymo sezonui, b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ūsto šildymo kietuoju kuru ar </w:t>
      </w:r>
      <w:r w:rsidRPr="007C22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kitokiu, kurio sąnaudos kiekvieną mėnesį nenustatomos, 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ir karšto vandens išlaidų kompensacij</w:t>
      </w:r>
      <w:r w:rsidR="00391B3C"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>ų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apskaičiavimui buvo taikoma  </w:t>
      </w:r>
      <w:r w:rsidR="00BE5189"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>66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,00 Eur 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0"/>
        </w:rPr>
        <w:t xml:space="preserve"> 1 kubinio metro malkų (su pridėtinės vertės mokesčiu)  kaina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patvirtinta Tarybos 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lastRenderedPageBreak/>
        <w:t>202</w:t>
      </w:r>
      <w:r w:rsidR="00D940F2"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>3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m. spalio </w:t>
      </w:r>
      <w:r w:rsidR="00D940F2"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>19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d. sprendimu Nr. 1-3</w:t>
      </w:r>
      <w:r w:rsidR="00D940F2"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>24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7C22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,,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>Dėl vidutinės kuro kainos kompensacijoms 202</w:t>
      </w:r>
      <w:r w:rsidR="00BE5189"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>3</w:t>
      </w:r>
      <w:r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>–202</w:t>
      </w:r>
      <w:r w:rsidR="00BE5189" w:rsidRPr="007C22B8">
        <w:rPr>
          <w:rFonts w:ascii="Times New Roman" w:eastAsia="Times New Roman" w:hAnsi="Times New Roman" w:cs="Times New Roman"/>
          <w:noProof w:val="0"/>
          <w:sz w:val="24"/>
          <w:szCs w:val="24"/>
        </w:rPr>
        <w:t>4</w:t>
      </w:r>
      <w:r w:rsidRPr="00CC444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metų šildymo sezonui apskaičiuoti patvirtinimo ir Savivaldybės tarybos 2018 m. spalio 25 d. sprendimo Nr. 1-315 pripažinimo netekusiu galios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“</w:t>
      </w:r>
      <w:r w:rsidR="00AA17B5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</w:p>
    <w:p w14:paraId="591EBC8C" w14:textId="4F16841F" w:rsidR="00A65BAA" w:rsidRDefault="00A65BAA" w:rsidP="00AA17B5">
      <w:pPr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VĮ </w:t>
      </w:r>
      <w:r w:rsidRPr="008A47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Valstybinių miškų urėdijos duomenimis </w:t>
      </w:r>
      <w:r w:rsidR="00BE51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malkinės medienos</w:t>
      </w:r>
      <w:r w:rsidR="007B5A87" w:rsidRPr="007B5A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B5A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palyginus</w:t>
      </w:r>
      <w:r w:rsidR="00BE5189" w:rsidRPr="008A47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940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šių metų antro pusmečio </w:t>
      </w:r>
      <w:r w:rsidR="00BE5189" w:rsidRPr="008A47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kain</w:t>
      </w:r>
      <w:r w:rsidR="001346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="00BE51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 su 2023 m. </w:t>
      </w:r>
      <w:r w:rsidR="00D940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antru</w:t>
      </w:r>
      <w:r w:rsidR="00BE51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pusmečiu yra </w:t>
      </w:r>
      <w:r w:rsidR="009972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pasikeitusios. Uosinių </w:t>
      </w:r>
      <w:r w:rsidR="005D6C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ir ąžuolinių </w:t>
      </w:r>
      <w:r w:rsidR="009972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malkų kain</w:t>
      </w:r>
      <w:r w:rsidR="005D6C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os</w:t>
      </w:r>
      <w:r w:rsidR="007B5A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yra</w:t>
      </w:r>
      <w:r w:rsidR="009972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padidėj</w:t>
      </w:r>
      <w:r w:rsidR="007B5A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usi</w:t>
      </w:r>
      <w:r w:rsidR="005D6C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os,</w:t>
      </w:r>
      <w:r w:rsidR="009972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o beržinių</w:t>
      </w:r>
      <w:r w:rsidR="00D940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kitos medienos malkų kainos </w:t>
      </w:r>
      <w:r w:rsidRPr="007B5A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sumažėj</w:t>
      </w:r>
      <w:r w:rsidR="005D6C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usios</w:t>
      </w:r>
      <w:r w:rsidR="00D940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100D1208" w14:textId="6D8E0773" w:rsidR="00147C31" w:rsidRPr="001E76CB" w:rsidRDefault="00147C31" w:rsidP="00AA17B5">
      <w:pPr>
        <w:spacing w:after="0" w:line="312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</w:p>
    <w:tbl>
      <w:tblPr>
        <w:tblW w:w="94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420"/>
        <w:gridCol w:w="2977"/>
        <w:gridCol w:w="3402"/>
      </w:tblGrid>
      <w:tr w:rsidR="005D6C47" w:rsidRPr="001E76CB" w14:paraId="428C2D5A" w14:textId="77777777" w:rsidTr="005D6C47">
        <w:tc>
          <w:tcPr>
            <w:tcW w:w="637" w:type="dxa"/>
          </w:tcPr>
          <w:p w14:paraId="0B3421E7" w14:textId="77777777" w:rsidR="005D6C47" w:rsidRDefault="005D6C47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Eil.</w:t>
            </w:r>
          </w:p>
          <w:p w14:paraId="6A0542A1" w14:textId="77777777" w:rsidR="005D6C47" w:rsidRPr="001E76CB" w:rsidRDefault="005D6C47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2420" w:type="dxa"/>
          </w:tcPr>
          <w:p w14:paraId="66D9FEAA" w14:textId="77777777" w:rsidR="005D6C47" w:rsidRPr="001E76CB" w:rsidRDefault="005D6C47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Malk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ų (miško sandėlyje) rūšys pagal kaitrumo grupes</w:t>
            </w:r>
          </w:p>
        </w:tc>
        <w:tc>
          <w:tcPr>
            <w:tcW w:w="2977" w:type="dxa"/>
          </w:tcPr>
          <w:p w14:paraId="540BBA57" w14:textId="77777777" w:rsidR="005D6C47" w:rsidRDefault="005D6C47" w:rsidP="000811CD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noProof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1m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3</m:t>
                  </m:r>
                </m:sup>
              </m:sSup>
            </m:oMath>
            <w:r w:rsidRPr="001E76CB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>kaina su PVM (9 proc.)</w:t>
            </w:r>
          </w:p>
          <w:p w14:paraId="60F87BBD" w14:textId="22AFD046" w:rsidR="005D6C47" w:rsidRDefault="005D6C47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>2023 m. II pusmečiui</w:t>
            </w:r>
          </w:p>
        </w:tc>
        <w:tc>
          <w:tcPr>
            <w:tcW w:w="3402" w:type="dxa"/>
          </w:tcPr>
          <w:p w14:paraId="37AFDD39" w14:textId="77777777" w:rsidR="005D6C47" w:rsidRDefault="005D6C47" w:rsidP="005D6C47">
            <w:pPr>
              <w:spacing w:after="0" w:line="269" w:lineRule="auto"/>
              <w:ind w:left="607" w:hanging="545"/>
              <w:jc w:val="center"/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noProof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1m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3</m:t>
                  </m:r>
                </m:sup>
              </m:sSup>
            </m:oMath>
            <w:r w:rsidRPr="001E76CB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>kaina su PVM</w:t>
            </w:r>
          </w:p>
          <w:p w14:paraId="70C6AC32" w14:textId="77777777" w:rsidR="005D6C47" w:rsidRDefault="005D6C47" w:rsidP="000811CD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 xml:space="preserve"> (9 proc.)</w:t>
            </w:r>
          </w:p>
          <w:p w14:paraId="10C8E7DD" w14:textId="1F5E730A" w:rsidR="005D6C47" w:rsidRPr="001E76CB" w:rsidRDefault="005D6C47" w:rsidP="000811CD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>2024 m. II pusmečiui</w:t>
            </w:r>
          </w:p>
        </w:tc>
      </w:tr>
      <w:tr w:rsidR="005D6C47" w:rsidRPr="001E76CB" w14:paraId="12601B27" w14:textId="77777777" w:rsidTr="005D6C47">
        <w:tc>
          <w:tcPr>
            <w:tcW w:w="637" w:type="dxa"/>
          </w:tcPr>
          <w:p w14:paraId="16B4BB4D" w14:textId="77777777" w:rsidR="005D6C47" w:rsidRPr="001E76CB" w:rsidRDefault="005D6C47" w:rsidP="00BE5189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20" w:type="dxa"/>
          </w:tcPr>
          <w:p w14:paraId="2E823823" w14:textId="77777777" w:rsidR="005D6C47" w:rsidRPr="001E76CB" w:rsidRDefault="005D6C47" w:rsidP="00BE5189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(u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o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sinės)</w:t>
            </w:r>
          </w:p>
        </w:tc>
        <w:tc>
          <w:tcPr>
            <w:tcW w:w="2977" w:type="dxa"/>
          </w:tcPr>
          <w:p w14:paraId="54B07546" w14:textId="6D4EEF81" w:rsidR="005D6C47" w:rsidRPr="001E76CB" w:rsidRDefault="005D6C47" w:rsidP="00BE5189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83,37</w:t>
            </w:r>
          </w:p>
        </w:tc>
        <w:tc>
          <w:tcPr>
            <w:tcW w:w="3402" w:type="dxa"/>
          </w:tcPr>
          <w:p w14:paraId="108FE11D" w14:textId="2E88493F" w:rsidR="005D6C47" w:rsidRPr="001E76CB" w:rsidRDefault="005D6C47" w:rsidP="00BE5189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109,00</w:t>
            </w:r>
          </w:p>
        </w:tc>
      </w:tr>
      <w:tr w:rsidR="005D6C47" w:rsidRPr="001E76CB" w14:paraId="45312EDE" w14:textId="77777777" w:rsidTr="005D6C47">
        <w:tc>
          <w:tcPr>
            <w:tcW w:w="637" w:type="dxa"/>
          </w:tcPr>
          <w:p w14:paraId="0BFE54F4" w14:textId="77777777" w:rsidR="005D6C47" w:rsidRPr="001E76CB" w:rsidRDefault="005D6C47" w:rsidP="00BE5189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20" w:type="dxa"/>
          </w:tcPr>
          <w:p w14:paraId="370DC771" w14:textId="77777777" w:rsidR="005D6C47" w:rsidRPr="001E76CB" w:rsidRDefault="005D6C47" w:rsidP="00BE5189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 (ąžuolinės)</w:t>
            </w:r>
          </w:p>
        </w:tc>
        <w:tc>
          <w:tcPr>
            <w:tcW w:w="2977" w:type="dxa"/>
          </w:tcPr>
          <w:p w14:paraId="26A919BC" w14:textId="34F08EB3" w:rsidR="005D6C47" w:rsidRDefault="005D6C47" w:rsidP="00BE5189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81,19</w:t>
            </w:r>
          </w:p>
        </w:tc>
        <w:tc>
          <w:tcPr>
            <w:tcW w:w="3402" w:type="dxa"/>
          </w:tcPr>
          <w:p w14:paraId="404D196A" w14:textId="637759D6" w:rsidR="005D6C47" w:rsidRPr="001E76CB" w:rsidRDefault="005D6C47" w:rsidP="00BE5189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90,47</w:t>
            </w:r>
          </w:p>
        </w:tc>
      </w:tr>
      <w:tr w:rsidR="005D6C47" w:rsidRPr="001E76CB" w14:paraId="6940B815" w14:textId="77777777" w:rsidTr="005D6C47">
        <w:tc>
          <w:tcPr>
            <w:tcW w:w="637" w:type="dxa"/>
          </w:tcPr>
          <w:p w14:paraId="0ADFE6A0" w14:textId="77777777" w:rsidR="005D6C47" w:rsidRPr="001E76CB" w:rsidRDefault="005D6C47" w:rsidP="00BE5189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3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20" w:type="dxa"/>
          </w:tcPr>
          <w:p w14:paraId="4A9F31C9" w14:textId="77777777" w:rsidR="005D6C47" w:rsidRPr="001E76CB" w:rsidRDefault="005D6C47" w:rsidP="00BE5189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       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. 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beržinės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977" w:type="dxa"/>
          </w:tcPr>
          <w:p w14:paraId="5845C58F" w14:textId="40CB25C6" w:rsidR="005D6C47" w:rsidRDefault="005D6C47" w:rsidP="00BE5189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73,56</w:t>
            </w:r>
          </w:p>
        </w:tc>
        <w:tc>
          <w:tcPr>
            <w:tcW w:w="3402" w:type="dxa"/>
          </w:tcPr>
          <w:p w14:paraId="07B8DB1D" w14:textId="450586D4" w:rsidR="005D6C47" w:rsidRPr="001E76CB" w:rsidRDefault="005D6C47" w:rsidP="00BE5189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59,95</w:t>
            </w:r>
          </w:p>
        </w:tc>
      </w:tr>
      <w:tr w:rsidR="005D6C47" w:rsidRPr="001E76CB" w14:paraId="0E47FF9B" w14:textId="77777777" w:rsidTr="005D6C47">
        <w:tc>
          <w:tcPr>
            <w:tcW w:w="637" w:type="dxa"/>
          </w:tcPr>
          <w:p w14:paraId="72E2FDD4" w14:textId="77777777" w:rsidR="005D6C47" w:rsidRPr="001E76CB" w:rsidRDefault="005D6C47" w:rsidP="00BE5189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4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20" w:type="dxa"/>
          </w:tcPr>
          <w:p w14:paraId="0930A60E" w14:textId="77777777" w:rsidR="005D6C47" w:rsidRPr="001E76CB" w:rsidRDefault="005D6C47" w:rsidP="00BE5189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II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 (mišrios)</w:t>
            </w:r>
          </w:p>
        </w:tc>
        <w:tc>
          <w:tcPr>
            <w:tcW w:w="2977" w:type="dxa"/>
          </w:tcPr>
          <w:p w14:paraId="2A5F1A43" w14:textId="78D13086" w:rsidR="005D6C47" w:rsidRDefault="005D6C47" w:rsidP="00BE5189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47,40</w:t>
            </w:r>
          </w:p>
        </w:tc>
        <w:tc>
          <w:tcPr>
            <w:tcW w:w="3402" w:type="dxa"/>
          </w:tcPr>
          <w:p w14:paraId="1D7F5881" w14:textId="62225E6D" w:rsidR="005D6C47" w:rsidRPr="001E76CB" w:rsidRDefault="005D6C47" w:rsidP="00BE5189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50,14</w:t>
            </w:r>
          </w:p>
        </w:tc>
      </w:tr>
      <w:tr w:rsidR="005D6C47" w:rsidRPr="001E76CB" w14:paraId="5BF3A562" w14:textId="77777777" w:rsidTr="005D6C47">
        <w:trPr>
          <w:trHeight w:val="302"/>
        </w:trPr>
        <w:tc>
          <w:tcPr>
            <w:tcW w:w="637" w:type="dxa"/>
          </w:tcPr>
          <w:p w14:paraId="7B2590C8" w14:textId="77777777" w:rsidR="005D6C47" w:rsidRPr="001E76CB" w:rsidRDefault="005D6C47" w:rsidP="000811CD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5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20" w:type="dxa"/>
          </w:tcPr>
          <w:p w14:paraId="6B3040B0" w14:textId="77777777" w:rsidR="005D6C47" w:rsidRPr="001E76CB" w:rsidRDefault="005D6C47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III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 (mišrios)</w:t>
            </w:r>
          </w:p>
        </w:tc>
        <w:tc>
          <w:tcPr>
            <w:tcW w:w="2977" w:type="dxa"/>
          </w:tcPr>
          <w:p w14:paraId="352E9FD7" w14:textId="7CC0BD90" w:rsidR="005D6C47" w:rsidRDefault="005D6C47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46,31</w:t>
            </w:r>
          </w:p>
        </w:tc>
        <w:tc>
          <w:tcPr>
            <w:tcW w:w="3402" w:type="dxa"/>
          </w:tcPr>
          <w:p w14:paraId="58B6D757" w14:textId="27FA54B9" w:rsidR="005D6C47" w:rsidRPr="001E76CB" w:rsidRDefault="005D6C47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49,05</w:t>
            </w:r>
          </w:p>
        </w:tc>
      </w:tr>
      <w:tr w:rsidR="005D6C47" w:rsidRPr="00D940F2" w14:paraId="303CC851" w14:textId="77777777" w:rsidTr="005D6C47">
        <w:trPr>
          <w:trHeight w:val="302"/>
        </w:trPr>
        <w:tc>
          <w:tcPr>
            <w:tcW w:w="3057" w:type="dxa"/>
            <w:gridSpan w:val="2"/>
          </w:tcPr>
          <w:p w14:paraId="2D1C7AE4" w14:textId="77777777" w:rsidR="005D6C47" w:rsidRPr="00D940F2" w:rsidRDefault="005D6C47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</w:pPr>
            <w:r w:rsidRPr="00D940F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  <w:t>Vidutinis dydis</w:t>
            </w:r>
          </w:p>
        </w:tc>
        <w:tc>
          <w:tcPr>
            <w:tcW w:w="2977" w:type="dxa"/>
          </w:tcPr>
          <w:p w14:paraId="38A351F3" w14:textId="0939B269" w:rsidR="005D6C47" w:rsidRPr="00D940F2" w:rsidRDefault="005D6C47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</w:pPr>
            <w:r w:rsidRPr="00D940F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  <w:t>66,37</w:t>
            </w:r>
          </w:p>
        </w:tc>
        <w:tc>
          <w:tcPr>
            <w:tcW w:w="3402" w:type="dxa"/>
          </w:tcPr>
          <w:p w14:paraId="6C8B97F0" w14:textId="293C8098" w:rsidR="005D6C47" w:rsidRPr="00D940F2" w:rsidRDefault="005D6C47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</w:pPr>
            <w:r w:rsidRPr="00D940F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lt-LT"/>
              </w:rPr>
              <w:t>71,72</w:t>
            </w:r>
          </w:p>
        </w:tc>
      </w:tr>
    </w:tbl>
    <w:p w14:paraId="033796FF" w14:textId="77777777" w:rsidR="00D940F2" w:rsidRPr="00D940F2" w:rsidRDefault="00D940F2" w:rsidP="00391B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lt-LT"/>
        </w:rPr>
      </w:pPr>
    </w:p>
    <w:p w14:paraId="59823E0F" w14:textId="4E274727" w:rsidR="00391B3C" w:rsidRDefault="00D940F2" w:rsidP="00AA17B5">
      <w:pPr>
        <w:spacing w:after="0" w:line="312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Įvertinus tokius pasikeitimus </w:t>
      </w:r>
      <w:r w:rsidRPr="008A47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Sprendimo projektu siūloma </w:t>
      </w:r>
      <w:r w:rsidR="00AA17B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A477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4-</w:t>
      </w:r>
      <w:r w:rsidRPr="008A477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5</w:t>
      </w:r>
      <w:r w:rsidRPr="008A477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metų šildymo sezonui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D75B8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vidutin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ę</w:t>
      </w:r>
      <w:r w:rsidR="004D75B8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kieto kuro  (1 kub. metro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su PVM</w:t>
      </w:r>
      <w:r w:rsidR="004D75B8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)  kain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ą</w:t>
      </w:r>
      <w:r w:rsidR="004D75B8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pagal  VĮ Valstybinių miškų urėdijos  malkų kainų vidurkį (</w:t>
      </w:r>
      <w:r w:rsidR="000D692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71,72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), jį suapvalinant (siekiant mažesnės administracinės naštos)  iki </w:t>
      </w:r>
      <w:r w:rsidR="000D692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72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,00 </w:t>
      </w:r>
      <w:r w:rsidR="004D75B8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Eur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(</w:t>
      </w:r>
      <w:r w:rsidR="00391B3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S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prendimo projekto 1 p.).  </w:t>
      </w:r>
      <w:r w:rsidR="004D75B8" w:rsidRPr="00DB3E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Šią kainą taikyti ir 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apskaičiuojant kompensacijas naudojant kitą</w:t>
      </w:r>
      <w:r w:rsidR="004D75B8" w:rsidRPr="00DB3E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kur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ą</w:t>
      </w:r>
      <w:r w:rsidR="004D75B8" w:rsidRPr="00DB3E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, </w:t>
      </w:r>
      <w:r w:rsidR="004D75B8" w:rsidRPr="00DB3ED6">
        <w:rPr>
          <w:rFonts w:ascii="Times New Roman" w:hAnsi="Times New Roman" w:cs="Times New Roman"/>
          <w:bCs/>
          <w:sz w:val="24"/>
          <w:szCs w:val="24"/>
        </w:rPr>
        <w:t>kurio suvartojimas apskaitos prietaisu kiekvieną mėnesį nenustatomas (Sprendimo prjekto 2 p.)</w:t>
      </w:r>
    </w:p>
    <w:p w14:paraId="73E79F4A" w14:textId="0F4B2915" w:rsidR="00311E75" w:rsidRPr="004C31CE" w:rsidRDefault="00AA17B5" w:rsidP="00AA17B5">
      <w:pPr>
        <w:tabs>
          <w:tab w:val="num" w:pos="0"/>
        </w:tabs>
        <w:spacing w:after="0" w:line="312" w:lineRule="auto"/>
        <w:ind w:firstLine="851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4</w:t>
      </w:r>
      <w:r w:rsidR="00311E75"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. Kieno iniciatyva parengtas sprendimo projektas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</w:p>
    <w:p w14:paraId="17D6C987" w14:textId="032A5762" w:rsidR="00311E75" w:rsidRDefault="00311E75" w:rsidP="00AA17B5">
      <w:pPr>
        <w:tabs>
          <w:tab w:val="num" w:pos="0"/>
        </w:tabs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reikalų skyriaus iniciatyva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.</w:t>
      </w:r>
      <w:r w:rsidRPr="004C31C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3650D813" w14:textId="01C70320" w:rsidR="00311E75" w:rsidRDefault="00E6039A" w:rsidP="00AA17B5">
      <w:pPr>
        <w:spacing w:after="0" w:line="312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PRIDEDAMA: LR Piniginės socialinės paramos nepasiturintiems gyventojams įstatymas</w:t>
      </w:r>
    </w:p>
    <w:p w14:paraId="173A2695" w14:textId="4CAF134B" w:rsidR="00E6039A" w:rsidRDefault="00000000" w:rsidP="00AA17B5">
      <w:pPr>
        <w:spacing w:after="0" w:line="312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hyperlink r:id="rId5" w:history="1">
        <w:r w:rsidR="00E6039A" w:rsidRPr="0034442F">
          <w:rPr>
            <w:rStyle w:val="Hipersaitas"/>
            <w:rFonts w:ascii="Times New Roman" w:eastAsia="Times New Roman" w:hAnsi="Times New Roman" w:cs="Times New Roman"/>
            <w:noProof w:val="0"/>
            <w:sz w:val="24"/>
            <w:szCs w:val="24"/>
            <w:lang w:eastAsia="lt-LT"/>
          </w:rPr>
          <w:t>https://www.e-tar.lt/portal/lt/legalAct/TAR.3EEE59417F13/asr</w:t>
        </w:r>
      </w:hyperlink>
    </w:p>
    <w:p w14:paraId="46524BDF" w14:textId="77777777" w:rsidR="00E6039A" w:rsidRDefault="00E6039A" w:rsidP="00AA17B5">
      <w:pPr>
        <w:spacing w:after="0" w:line="312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5C363C31" w14:textId="77777777" w:rsidR="00E6039A" w:rsidRDefault="00E6039A" w:rsidP="00AA17B5">
      <w:pPr>
        <w:spacing w:after="0" w:line="312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25ADCDBC" w14:textId="77777777" w:rsidR="00E6039A" w:rsidRPr="004C31CE" w:rsidRDefault="00E6039A" w:rsidP="00AA17B5">
      <w:pPr>
        <w:spacing w:after="0" w:line="312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567E1383" w14:textId="77777777" w:rsidR="00311E75" w:rsidRPr="004C31CE" w:rsidRDefault="00311E75" w:rsidP="00AA17B5">
      <w:pPr>
        <w:spacing w:after="0" w:line="312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3DBF74C9" w14:textId="77777777" w:rsidR="00311E75" w:rsidRPr="004C31CE" w:rsidRDefault="00311E75" w:rsidP="00AA17B5">
      <w:pPr>
        <w:spacing w:after="0" w:line="312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Socialinių reikalų skyriaus  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      </w:t>
      </w:r>
    </w:p>
    <w:p w14:paraId="507CC296" w14:textId="4F477B88" w:rsidR="00463E6F" w:rsidRDefault="00311E75" w:rsidP="00AA17B5">
      <w:pPr>
        <w:spacing w:after="0" w:line="312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išmokų poskyrio vedėja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Zita </w:t>
      </w:r>
      <w:proofErr w:type="spellStart"/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Ragėnienė</w:t>
      </w:r>
      <w:proofErr w:type="spellEnd"/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</w:p>
    <w:p w14:paraId="3FDD6CD4" w14:textId="77777777" w:rsidR="00463E6F" w:rsidRDefault="00463E6F" w:rsidP="00AA17B5">
      <w:pPr>
        <w:tabs>
          <w:tab w:val="left" w:pos="0"/>
        </w:tabs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4AA39E48" w14:textId="77777777" w:rsidR="00463E6F" w:rsidRDefault="00463E6F" w:rsidP="00AA17B5">
      <w:pPr>
        <w:tabs>
          <w:tab w:val="left" w:pos="0"/>
        </w:tabs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4003ABAF" w14:textId="77777777" w:rsidR="00463E6F" w:rsidRDefault="00463E6F" w:rsidP="00CC444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sectPr w:rsidR="00463E6F" w:rsidSect="00D9328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366C8"/>
    <w:multiLevelType w:val="hybridMultilevel"/>
    <w:tmpl w:val="7E922580"/>
    <w:lvl w:ilvl="0" w:tplc="AFCA6FF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8910C7"/>
    <w:multiLevelType w:val="hybridMultilevel"/>
    <w:tmpl w:val="0BEE18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01306"/>
    <w:multiLevelType w:val="hybridMultilevel"/>
    <w:tmpl w:val="EB9C3D20"/>
    <w:lvl w:ilvl="0" w:tplc="7FC672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5516A"/>
    <w:multiLevelType w:val="hybridMultilevel"/>
    <w:tmpl w:val="B75CFBBE"/>
    <w:lvl w:ilvl="0" w:tplc="F5B260D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E74B6"/>
    <w:multiLevelType w:val="hybridMultilevel"/>
    <w:tmpl w:val="C762AB54"/>
    <w:lvl w:ilvl="0" w:tplc="02C21E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69694330">
    <w:abstractNumId w:val="5"/>
  </w:num>
  <w:num w:numId="2" w16cid:durableId="1713118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443925">
    <w:abstractNumId w:val="1"/>
  </w:num>
  <w:num w:numId="4" w16cid:durableId="314070491">
    <w:abstractNumId w:val="4"/>
  </w:num>
  <w:num w:numId="5" w16cid:durableId="1851597422">
    <w:abstractNumId w:val="3"/>
  </w:num>
  <w:num w:numId="6" w16cid:durableId="433526059">
    <w:abstractNumId w:val="2"/>
  </w:num>
  <w:num w:numId="7" w16cid:durableId="171746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04"/>
    <w:rsid w:val="000422AD"/>
    <w:rsid w:val="00053342"/>
    <w:rsid w:val="000623FE"/>
    <w:rsid w:val="00087C00"/>
    <w:rsid w:val="000A3BB9"/>
    <w:rsid w:val="000A5EB9"/>
    <w:rsid w:val="000C1B41"/>
    <w:rsid w:val="000D6929"/>
    <w:rsid w:val="00122622"/>
    <w:rsid w:val="0013460B"/>
    <w:rsid w:val="00137587"/>
    <w:rsid w:val="00147C31"/>
    <w:rsid w:val="001B2496"/>
    <w:rsid w:val="001E76CB"/>
    <w:rsid w:val="001F48A1"/>
    <w:rsid w:val="0027628F"/>
    <w:rsid w:val="00311E75"/>
    <w:rsid w:val="00351053"/>
    <w:rsid w:val="00372536"/>
    <w:rsid w:val="00391B3C"/>
    <w:rsid w:val="003B7004"/>
    <w:rsid w:val="004356B3"/>
    <w:rsid w:val="004404DB"/>
    <w:rsid w:val="00440548"/>
    <w:rsid w:val="00463E6F"/>
    <w:rsid w:val="00493F42"/>
    <w:rsid w:val="004C3D88"/>
    <w:rsid w:val="004D0800"/>
    <w:rsid w:val="004D75B8"/>
    <w:rsid w:val="004E71CE"/>
    <w:rsid w:val="004E72B1"/>
    <w:rsid w:val="005215C7"/>
    <w:rsid w:val="00527B05"/>
    <w:rsid w:val="00530296"/>
    <w:rsid w:val="005728D3"/>
    <w:rsid w:val="005A26FF"/>
    <w:rsid w:val="005D6C47"/>
    <w:rsid w:val="006213C3"/>
    <w:rsid w:val="006A1CF9"/>
    <w:rsid w:val="006B2391"/>
    <w:rsid w:val="006E054B"/>
    <w:rsid w:val="006F701A"/>
    <w:rsid w:val="006F7850"/>
    <w:rsid w:val="0070189B"/>
    <w:rsid w:val="00726C78"/>
    <w:rsid w:val="0074536F"/>
    <w:rsid w:val="00756E59"/>
    <w:rsid w:val="00770B1B"/>
    <w:rsid w:val="0077555B"/>
    <w:rsid w:val="00777843"/>
    <w:rsid w:val="0079595A"/>
    <w:rsid w:val="007B5A87"/>
    <w:rsid w:val="007C22B8"/>
    <w:rsid w:val="007C37B8"/>
    <w:rsid w:val="007E02C8"/>
    <w:rsid w:val="007F2FA7"/>
    <w:rsid w:val="007F6E1C"/>
    <w:rsid w:val="00806CD8"/>
    <w:rsid w:val="00807D32"/>
    <w:rsid w:val="00820041"/>
    <w:rsid w:val="008A4770"/>
    <w:rsid w:val="008D5834"/>
    <w:rsid w:val="0092709B"/>
    <w:rsid w:val="009313A2"/>
    <w:rsid w:val="00995D3B"/>
    <w:rsid w:val="009972F8"/>
    <w:rsid w:val="00A21A42"/>
    <w:rsid w:val="00A441C7"/>
    <w:rsid w:val="00A65BAA"/>
    <w:rsid w:val="00AA17B5"/>
    <w:rsid w:val="00AD2F28"/>
    <w:rsid w:val="00AE340B"/>
    <w:rsid w:val="00AF4531"/>
    <w:rsid w:val="00B12D84"/>
    <w:rsid w:val="00B17166"/>
    <w:rsid w:val="00BB488A"/>
    <w:rsid w:val="00BE5189"/>
    <w:rsid w:val="00CC4447"/>
    <w:rsid w:val="00CF60B4"/>
    <w:rsid w:val="00D26844"/>
    <w:rsid w:val="00D940F2"/>
    <w:rsid w:val="00DA194A"/>
    <w:rsid w:val="00DA342D"/>
    <w:rsid w:val="00DB3ED6"/>
    <w:rsid w:val="00E12D25"/>
    <w:rsid w:val="00E335D8"/>
    <w:rsid w:val="00E6039A"/>
    <w:rsid w:val="00E70EEE"/>
    <w:rsid w:val="00E84B65"/>
    <w:rsid w:val="00EA01B7"/>
    <w:rsid w:val="00F058CA"/>
    <w:rsid w:val="00F35F44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6E25"/>
  <w15:chartTrackingRefBased/>
  <w15:docId w15:val="{779EF561-D31D-4B7E-AD40-BAF88C0B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1E75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F6E1C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7628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A194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6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4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TAR.3EEE59417F13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2919</Words>
  <Characters>1665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Ragėnienė</dc:creator>
  <cp:keywords/>
  <dc:description/>
  <cp:lastModifiedBy>K121</cp:lastModifiedBy>
  <cp:revision>4</cp:revision>
  <cp:lastPrinted>2024-09-17T08:43:00Z</cp:lastPrinted>
  <dcterms:created xsi:type="dcterms:W3CDTF">2024-09-10T11:35:00Z</dcterms:created>
  <dcterms:modified xsi:type="dcterms:W3CDTF">2024-09-17T08:47:00Z</dcterms:modified>
</cp:coreProperties>
</file>