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D7E26">
        <w:rPr>
          <w:b/>
        </w:rPr>
        <w:t>AIŠKINAMASIS RAŠTAS</w:t>
      </w:r>
    </w:p>
    <w:p w14:paraId="3CD8732B" w14:textId="77777777" w:rsidR="00C44EE6" w:rsidRPr="00BD7E26" w:rsidRDefault="00C44EE6" w:rsidP="00CC0DF0">
      <w:pPr>
        <w:tabs>
          <w:tab w:val="left" w:pos="0"/>
        </w:tabs>
        <w:jc w:val="center"/>
        <w:rPr>
          <w:b/>
        </w:rPr>
      </w:pPr>
    </w:p>
    <w:p w14:paraId="71E4760E" w14:textId="75177ED9" w:rsidR="009500ED" w:rsidRPr="00DD00CA" w:rsidRDefault="00DD00CA" w:rsidP="00FC1162">
      <w:pPr>
        <w:jc w:val="center"/>
        <w:rPr>
          <w:b/>
          <w:bCs/>
          <w:shd w:val="clear" w:color="auto" w:fill="FFFFFF"/>
        </w:rPr>
      </w:pPr>
      <w:r w:rsidRPr="00DD00CA">
        <w:rPr>
          <w:b/>
          <w:bCs/>
        </w:rPr>
        <w:t>DĖL PRITARIMO PROJEKTO „PRIEDANGŲ INFRASTRUKTŪROS PLĖTRA PANEVĖŽIO MIESTE“ ĮGYVENDINIMO PLANO TEIKIMUI IR JO ĮGYVENDINIMUI</w:t>
      </w:r>
    </w:p>
    <w:p w14:paraId="77C4EA46" w14:textId="19361CA1" w:rsidR="006539FD" w:rsidRPr="00BD7E26" w:rsidRDefault="00F56BB8" w:rsidP="001352EF">
      <w:pPr>
        <w:tabs>
          <w:tab w:val="left" w:pos="0"/>
        </w:tabs>
        <w:jc w:val="center"/>
      </w:pPr>
      <w:r w:rsidRPr="00BD7E26">
        <w:t>20</w:t>
      </w:r>
      <w:r w:rsidR="0078280A" w:rsidRPr="00BD7E26">
        <w:t>2</w:t>
      </w:r>
      <w:r w:rsidR="00BD7E26" w:rsidRPr="00BD7E26">
        <w:t>4</w:t>
      </w:r>
      <w:r w:rsidRPr="00BD7E26">
        <w:t xml:space="preserve"> m. </w:t>
      </w:r>
      <w:r w:rsidR="00C44EE6">
        <w:t>gruodžio 3</w:t>
      </w:r>
      <w:r w:rsidR="0058713E">
        <w:t xml:space="preserve"> </w:t>
      </w:r>
      <w:r w:rsidRPr="00BD7E26">
        <w:t>d.</w:t>
      </w:r>
    </w:p>
    <w:p w14:paraId="77C4EA47" w14:textId="77777777" w:rsidR="006539FD" w:rsidRPr="00BD7E26" w:rsidRDefault="006539FD" w:rsidP="001352EF">
      <w:pPr>
        <w:tabs>
          <w:tab w:val="left" w:pos="0"/>
        </w:tabs>
        <w:jc w:val="center"/>
      </w:pPr>
      <w:r w:rsidRPr="00BD7E26">
        <w:t>Panevėžys</w:t>
      </w:r>
    </w:p>
    <w:p w14:paraId="77C4EA48" w14:textId="77777777" w:rsidR="00B06BEE" w:rsidRPr="00AD6C34" w:rsidRDefault="00B06BEE" w:rsidP="001352EF">
      <w:pPr>
        <w:tabs>
          <w:tab w:val="left" w:pos="0"/>
        </w:tabs>
        <w:jc w:val="center"/>
        <w:rPr>
          <w:color w:val="FF0000"/>
        </w:rPr>
      </w:pPr>
    </w:p>
    <w:p w14:paraId="53684352" w14:textId="61C4B905" w:rsidR="00C61BA1" w:rsidRDefault="00D83A57" w:rsidP="00772066">
      <w:pPr>
        <w:tabs>
          <w:tab w:val="left" w:pos="0"/>
        </w:tabs>
        <w:ind w:firstLine="720"/>
        <w:jc w:val="both"/>
      </w:pPr>
      <w:r w:rsidRPr="009C5BEC">
        <w:rPr>
          <w:b/>
        </w:rPr>
        <w:t>1.</w:t>
      </w:r>
      <w:r w:rsidR="00A00395" w:rsidRPr="009C5BEC">
        <w:rPr>
          <w:b/>
        </w:rPr>
        <w:t xml:space="preserve"> </w:t>
      </w:r>
      <w:r w:rsidR="00D736F0" w:rsidRPr="009C5BEC">
        <w:rPr>
          <w:b/>
        </w:rPr>
        <w:t>Sprendimo projekto tikslai ir uždaviniai</w:t>
      </w:r>
      <w:r w:rsidR="00E53864" w:rsidRPr="009C5BEC">
        <w:rPr>
          <w:b/>
        </w:rPr>
        <w:t>:</w:t>
      </w:r>
      <w:r w:rsidR="00E53864" w:rsidRPr="009C5BEC">
        <w:t xml:space="preserve"> </w:t>
      </w:r>
    </w:p>
    <w:p w14:paraId="64CFCFF6" w14:textId="77777777" w:rsidR="00772066" w:rsidRPr="009C5BEC" w:rsidRDefault="00772066" w:rsidP="00772066">
      <w:pPr>
        <w:tabs>
          <w:tab w:val="left" w:pos="0"/>
        </w:tabs>
        <w:ind w:firstLine="720"/>
        <w:jc w:val="both"/>
      </w:pPr>
    </w:p>
    <w:p w14:paraId="483FAB1A" w14:textId="77777777" w:rsidR="00C52090" w:rsidRDefault="00726A06" w:rsidP="00DD00CA">
      <w:pPr>
        <w:tabs>
          <w:tab w:val="left" w:pos="0"/>
        </w:tabs>
        <w:spacing w:line="360" w:lineRule="auto"/>
        <w:ind w:firstLine="720"/>
        <w:jc w:val="both"/>
      </w:pPr>
      <w:r w:rsidRPr="009C5BEC">
        <w:t xml:space="preserve"> </w:t>
      </w:r>
      <w:r w:rsidR="00C44EE6">
        <w:t>V</w:t>
      </w:r>
      <w:r w:rsidR="00C44EE6" w:rsidRPr="00C44EE6">
        <w:t xml:space="preserve">iešoji įstaiga Vidaus reikalų ministerijos projektų valdymo agentūra (toliau – Agentūra) paskelbė kvietimą teikti projektų įgyvendinimo planus (toliau – paraiška) </w:t>
      </w:r>
      <w:r w:rsidR="00C52090" w:rsidRPr="00C52090">
        <w:t>vadovaujantis Pirmuoju projektų finansavimo sąlygų aprašu, patvirtintu Lietuvos Respublikos vidaus reikalų ministro 2023 m. kovo 14 d. įsakymu Nr. 1V-127 „Dėl Civilinės saugos stiprinimo ir plėtros programos pažangos priemonės Nr. 07-012-10-04-01/07-013-10-04-01/01-001-10-04-01 „Stiprinti pasirengimą valdyti krizes ir ekstremaliąsias situacijas ir šalinti jų padarinius“ aprašo patvirtinimo“</w:t>
      </w:r>
      <w:r w:rsidR="00C52090">
        <w:t>.</w:t>
      </w:r>
    </w:p>
    <w:p w14:paraId="69465F88" w14:textId="1246FC09" w:rsidR="00C44EE6" w:rsidRDefault="00C44EE6" w:rsidP="00DD00CA">
      <w:pPr>
        <w:tabs>
          <w:tab w:val="left" w:pos="0"/>
        </w:tabs>
        <w:spacing w:line="360" w:lineRule="auto"/>
        <w:ind w:firstLine="720"/>
        <w:jc w:val="both"/>
      </w:pPr>
      <w:r w:rsidRPr="00C44EE6">
        <w:t xml:space="preserve">Pagal šį kvietimą remiama veikla – </w:t>
      </w:r>
      <w:r w:rsidR="00DD00CA">
        <w:t xml:space="preserve">priedangų, įtrauktų į savivaldybės mero potvarkiu patvirtintą priedangų ir jų poreikių sąrašą (toliau – Priedangų sąrašas), įrengimas stiprinant jų atsparumą ir pritaikant riboto judumo asmenims. </w:t>
      </w:r>
    </w:p>
    <w:p w14:paraId="6EF6DC63" w14:textId="10E9BACC" w:rsidR="00C44EE6" w:rsidRDefault="00C44EE6" w:rsidP="00C44EE6">
      <w:pPr>
        <w:tabs>
          <w:tab w:val="left" w:pos="0"/>
        </w:tabs>
        <w:spacing w:line="360" w:lineRule="auto"/>
        <w:ind w:firstLine="720"/>
        <w:jc w:val="both"/>
      </w:pPr>
      <w:r w:rsidRPr="00C44EE6">
        <w:t>Projektų įgyvendinimo planų pateikimo terminas</w:t>
      </w:r>
      <w:r>
        <w:t xml:space="preserve"> - i</w:t>
      </w:r>
      <w:r w:rsidRPr="00C44EE6">
        <w:t xml:space="preserve">ki 2025 m. sausio </w:t>
      </w:r>
      <w:r w:rsidR="00DD00CA">
        <w:t xml:space="preserve">3 </w:t>
      </w:r>
      <w:r w:rsidRPr="00C44EE6">
        <w:t>d.</w:t>
      </w:r>
    </w:p>
    <w:p w14:paraId="7DC3356B" w14:textId="77777777" w:rsidR="00DD00CA" w:rsidRDefault="00C44EE6" w:rsidP="00DD00CA">
      <w:pPr>
        <w:tabs>
          <w:tab w:val="left" w:pos="0"/>
        </w:tabs>
        <w:spacing w:line="360" w:lineRule="auto"/>
        <w:ind w:firstLine="720"/>
        <w:jc w:val="both"/>
      </w:pPr>
      <w:r w:rsidRPr="00C44EE6">
        <w:t>Projektų atrankos būdas</w:t>
      </w:r>
      <w:r>
        <w:t xml:space="preserve"> – k</w:t>
      </w:r>
      <w:r w:rsidRPr="00C44EE6">
        <w:t>onkursas</w:t>
      </w:r>
      <w:r>
        <w:t>.</w:t>
      </w:r>
    </w:p>
    <w:p w14:paraId="60EE2418" w14:textId="77777777" w:rsidR="00DD00CA" w:rsidRDefault="00DD00CA" w:rsidP="00DD00CA">
      <w:pPr>
        <w:tabs>
          <w:tab w:val="left" w:pos="0"/>
        </w:tabs>
        <w:spacing w:line="360" w:lineRule="auto"/>
        <w:ind w:firstLine="720"/>
        <w:jc w:val="both"/>
      </w:pPr>
      <w:r>
        <w:t xml:space="preserve">Projekto </w:t>
      </w:r>
      <w:r>
        <w:rPr>
          <w:bCs/>
        </w:rPr>
        <w:t>minimali suma – 100 000 Eur;</w:t>
      </w:r>
    </w:p>
    <w:p w14:paraId="665F329F" w14:textId="26DC4BBC" w:rsidR="00DD00CA" w:rsidRPr="00DD00CA" w:rsidRDefault="00DD00CA" w:rsidP="00DD00CA">
      <w:pPr>
        <w:tabs>
          <w:tab w:val="left" w:pos="0"/>
        </w:tabs>
        <w:spacing w:line="360" w:lineRule="auto"/>
        <w:ind w:firstLine="720"/>
        <w:jc w:val="both"/>
      </w:pPr>
      <w:r>
        <w:rPr>
          <w:bCs/>
        </w:rPr>
        <w:t xml:space="preserve">Projekto maksimali suma: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969"/>
        <w:gridCol w:w="2268"/>
      </w:tblGrid>
      <w:tr w:rsidR="00DD00CA" w14:paraId="4D01A5A0" w14:textId="77777777" w:rsidTr="00B4646F">
        <w:tc>
          <w:tcPr>
            <w:tcW w:w="589" w:type="dxa"/>
            <w:shd w:val="clear" w:color="auto" w:fill="D9D9D9" w:themeFill="background1" w:themeFillShade="D9"/>
          </w:tcPr>
          <w:p w14:paraId="6D25F6B2" w14:textId="77777777" w:rsidR="00DD00CA" w:rsidRDefault="00DD00CA" w:rsidP="00B4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</w:rPr>
              <w:t>Eil. Nr.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475EAF2" w14:textId="77777777" w:rsidR="00DD00CA" w:rsidRDefault="00DD00CA" w:rsidP="00B4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</w:rPr>
              <w:t>Savivaldybės gyventojų skaičius pagal 2024 m. oficialiąją statistiką</w:t>
            </w:r>
            <w:r>
              <w:rPr>
                <w:b/>
                <w:bCs/>
                <w:kern w:val="2"/>
                <w:vertAlign w:val="superscript"/>
              </w:rPr>
              <w:footnoteReference w:id="1"/>
            </w:r>
            <w:r>
              <w:rPr>
                <w:b/>
                <w:bCs/>
                <w:kern w:val="2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AC32F7E" w14:textId="77777777" w:rsidR="00DD00CA" w:rsidRDefault="00DD00CA" w:rsidP="00B4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</w:rPr>
              <w:t>Maksimali projekto suma, Eur</w:t>
            </w:r>
          </w:p>
        </w:tc>
      </w:tr>
      <w:tr w:rsidR="00DD00CA" w14:paraId="6962F908" w14:textId="77777777" w:rsidTr="00B4646F">
        <w:tc>
          <w:tcPr>
            <w:tcW w:w="589" w:type="dxa"/>
          </w:tcPr>
          <w:p w14:paraId="533BD573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1.</w:t>
            </w:r>
          </w:p>
        </w:tc>
        <w:tc>
          <w:tcPr>
            <w:tcW w:w="3969" w:type="dxa"/>
          </w:tcPr>
          <w:p w14:paraId="39786CF4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&lt;50 000</w:t>
            </w:r>
          </w:p>
        </w:tc>
        <w:tc>
          <w:tcPr>
            <w:tcW w:w="2268" w:type="dxa"/>
          </w:tcPr>
          <w:p w14:paraId="5BF88DC0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200 000</w:t>
            </w:r>
          </w:p>
        </w:tc>
      </w:tr>
      <w:tr w:rsidR="00DD00CA" w14:paraId="2B9829C0" w14:textId="77777777" w:rsidTr="00B4646F">
        <w:tc>
          <w:tcPr>
            <w:tcW w:w="589" w:type="dxa"/>
          </w:tcPr>
          <w:p w14:paraId="14F89288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2.</w:t>
            </w:r>
          </w:p>
        </w:tc>
        <w:tc>
          <w:tcPr>
            <w:tcW w:w="3969" w:type="dxa"/>
          </w:tcPr>
          <w:p w14:paraId="1F1A3118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50 001 – 100 000</w:t>
            </w:r>
          </w:p>
        </w:tc>
        <w:tc>
          <w:tcPr>
            <w:tcW w:w="2268" w:type="dxa"/>
          </w:tcPr>
          <w:p w14:paraId="4ADA1659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300 000</w:t>
            </w:r>
          </w:p>
        </w:tc>
      </w:tr>
      <w:tr w:rsidR="00DD00CA" w14:paraId="669411D9" w14:textId="77777777" w:rsidTr="00B4646F">
        <w:tc>
          <w:tcPr>
            <w:tcW w:w="589" w:type="dxa"/>
          </w:tcPr>
          <w:p w14:paraId="0786874A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3.</w:t>
            </w:r>
          </w:p>
        </w:tc>
        <w:tc>
          <w:tcPr>
            <w:tcW w:w="3969" w:type="dxa"/>
          </w:tcPr>
          <w:p w14:paraId="4F00E1DF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100 001 – 150 000</w:t>
            </w:r>
          </w:p>
        </w:tc>
        <w:tc>
          <w:tcPr>
            <w:tcW w:w="2268" w:type="dxa"/>
          </w:tcPr>
          <w:p w14:paraId="6FE6067E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450 000</w:t>
            </w:r>
          </w:p>
        </w:tc>
      </w:tr>
      <w:tr w:rsidR="00DD00CA" w14:paraId="0397F807" w14:textId="77777777" w:rsidTr="00B4646F">
        <w:tc>
          <w:tcPr>
            <w:tcW w:w="589" w:type="dxa"/>
          </w:tcPr>
          <w:p w14:paraId="597D9842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4.</w:t>
            </w:r>
          </w:p>
        </w:tc>
        <w:tc>
          <w:tcPr>
            <w:tcW w:w="3969" w:type="dxa"/>
          </w:tcPr>
          <w:p w14:paraId="4247016E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150 001 – 350 000</w:t>
            </w:r>
          </w:p>
        </w:tc>
        <w:tc>
          <w:tcPr>
            <w:tcW w:w="2268" w:type="dxa"/>
          </w:tcPr>
          <w:p w14:paraId="390EB08E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1 250 000</w:t>
            </w:r>
          </w:p>
        </w:tc>
      </w:tr>
      <w:tr w:rsidR="00DD00CA" w14:paraId="13A5F157" w14:textId="77777777" w:rsidTr="00B4646F">
        <w:tc>
          <w:tcPr>
            <w:tcW w:w="589" w:type="dxa"/>
          </w:tcPr>
          <w:p w14:paraId="7812E01C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5.</w:t>
            </w:r>
          </w:p>
        </w:tc>
        <w:tc>
          <w:tcPr>
            <w:tcW w:w="3969" w:type="dxa"/>
          </w:tcPr>
          <w:p w14:paraId="072C7B86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&gt;350 000</w:t>
            </w:r>
          </w:p>
        </w:tc>
        <w:tc>
          <w:tcPr>
            <w:tcW w:w="2268" w:type="dxa"/>
          </w:tcPr>
          <w:p w14:paraId="508B8624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2 500 000</w:t>
            </w:r>
          </w:p>
        </w:tc>
      </w:tr>
    </w:tbl>
    <w:p w14:paraId="2C87FD5C" w14:textId="77777777" w:rsidR="00DD00CA" w:rsidRDefault="00DD00CA" w:rsidP="00DD00CA">
      <w:pPr>
        <w:tabs>
          <w:tab w:val="left" w:pos="0"/>
        </w:tabs>
        <w:spacing w:line="360" w:lineRule="auto"/>
        <w:jc w:val="both"/>
      </w:pPr>
    </w:p>
    <w:p w14:paraId="11C9E688" w14:textId="77777777" w:rsidR="00DD00CA" w:rsidRDefault="00DD00CA" w:rsidP="00DD00CA">
      <w:pPr>
        <w:tabs>
          <w:tab w:val="left" w:pos="0"/>
        </w:tabs>
        <w:spacing w:line="360" w:lineRule="auto"/>
        <w:ind w:firstLine="720"/>
        <w:jc w:val="both"/>
      </w:pPr>
      <w:r w:rsidRPr="00DD00CA">
        <w:t>Orientacinė investicijų suma į vieną priedangą – ≤ 40 000 Eur</w:t>
      </w:r>
      <w:r>
        <w:t>.</w:t>
      </w:r>
      <w:r w:rsidRPr="00DD00CA">
        <w:t xml:space="preserve"> </w:t>
      </w:r>
    </w:p>
    <w:p w14:paraId="392596C5" w14:textId="41CCE882" w:rsidR="00772066" w:rsidRPr="00C44EE6" w:rsidRDefault="00DD00CA" w:rsidP="00DD3A78">
      <w:pPr>
        <w:tabs>
          <w:tab w:val="left" w:pos="0"/>
        </w:tabs>
        <w:spacing w:line="360" w:lineRule="auto"/>
        <w:ind w:firstLine="720"/>
        <w:jc w:val="both"/>
      </w:pPr>
      <w:r w:rsidRPr="00C61BA1">
        <w:t>Pagrindinė tikslinė grupė – gyventojai.</w:t>
      </w:r>
    </w:p>
    <w:p w14:paraId="77C4EA4B" w14:textId="07414A24" w:rsidR="0059465A" w:rsidRPr="009C5BEC" w:rsidRDefault="00D83A57" w:rsidP="005C414B">
      <w:pPr>
        <w:ind w:firstLine="709"/>
        <w:jc w:val="both"/>
      </w:pPr>
      <w:r w:rsidRPr="009C5BEC">
        <w:rPr>
          <w:b/>
        </w:rPr>
        <w:t>2.</w:t>
      </w:r>
      <w:r w:rsidR="00D736F0" w:rsidRPr="009C5BEC">
        <w:rPr>
          <w:b/>
        </w:rPr>
        <w:t xml:space="preserve"> </w:t>
      </w:r>
      <w:r w:rsidR="00D736F0" w:rsidRPr="009C5BEC">
        <w:rPr>
          <w:b/>
          <w:bCs/>
        </w:rPr>
        <w:t>Siūlomos teisinio reguliavimo nuostatos, laukiami rezultatai</w:t>
      </w:r>
      <w:r w:rsidRPr="009C5BEC">
        <w:rPr>
          <w:b/>
          <w:bCs/>
        </w:rPr>
        <w:t>:</w:t>
      </w:r>
      <w:r w:rsidRPr="009C5BEC">
        <w:t xml:space="preserve"> </w:t>
      </w:r>
    </w:p>
    <w:p w14:paraId="18D479CD" w14:textId="77777777" w:rsidR="009D3004" w:rsidRPr="009C5BEC" w:rsidRDefault="009D3004" w:rsidP="005C414B">
      <w:pPr>
        <w:ind w:firstLine="709"/>
        <w:jc w:val="both"/>
      </w:pPr>
    </w:p>
    <w:p w14:paraId="6D725BF4" w14:textId="77777777" w:rsidR="00B64C14" w:rsidRDefault="00B64C14" w:rsidP="00B64C14">
      <w:pPr>
        <w:tabs>
          <w:tab w:val="left" w:pos="0"/>
        </w:tabs>
        <w:spacing w:line="360" w:lineRule="auto"/>
        <w:ind w:firstLine="720"/>
        <w:jc w:val="both"/>
      </w:pPr>
      <w:r w:rsidRPr="001725A2">
        <w:t xml:space="preserve">Šiuo metu teikiamas Tarybos sprendimo projektas dėl pritarimo Projekto įgyvendinimo plano teikimui </w:t>
      </w:r>
      <w:r>
        <w:t>Valstybės gynimo fondo</w:t>
      </w:r>
      <w:r w:rsidRPr="001725A2">
        <w:t xml:space="preserve"> investicijoms gauti, Projekto dalinio finansavimo ir įgyvendinimo</w:t>
      </w:r>
      <w:r>
        <w:t>.</w:t>
      </w:r>
    </w:p>
    <w:p w14:paraId="2648595E" w14:textId="7774BDF4" w:rsidR="007E0DB6" w:rsidRDefault="00B64C14" w:rsidP="007E0DB6">
      <w:pPr>
        <w:tabs>
          <w:tab w:val="left" w:pos="0"/>
        </w:tabs>
        <w:spacing w:line="360" w:lineRule="auto"/>
        <w:ind w:firstLine="720"/>
        <w:jc w:val="both"/>
      </w:pPr>
      <w:r w:rsidRPr="001725A2">
        <w:t xml:space="preserve">Projekto tikslas </w:t>
      </w:r>
      <w:r>
        <w:t xml:space="preserve">– </w:t>
      </w:r>
      <w:r w:rsidR="007B1F33">
        <w:t>priedangų infrastruktūros plėtra, s</w:t>
      </w:r>
      <w:r w:rsidR="007B1F33" w:rsidRPr="007B1F33">
        <w:t>tiprin</w:t>
      </w:r>
      <w:r w:rsidR="007B1F33">
        <w:t>at</w:t>
      </w:r>
      <w:r w:rsidR="007B1F33" w:rsidRPr="007B1F33">
        <w:t xml:space="preserve"> pasirengimą valdyti krizes ir ekstremaliąsias situacijas ir šalinti jų padarinius</w:t>
      </w:r>
      <w:r w:rsidR="007B1F33">
        <w:t>.</w:t>
      </w:r>
    </w:p>
    <w:p w14:paraId="74F4E455" w14:textId="2560B1A3" w:rsidR="007E0DB6" w:rsidRDefault="00B64C14" w:rsidP="007E0DB6">
      <w:pPr>
        <w:tabs>
          <w:tab w:val="left" w:pos="0"/>
        </w:tabs>
        <w:spacing w:line="360" w:lineRule="auto"/>
        <w:ind w:firstLine="720"/>
        <w:jc w:val="both"/>
      </w:pPr>
      <w:r>
        <w:t xml:space="preserve">Projekto rezultatas – </w:t>
      </w:r>
      <w:r w:rsidR="00DD3A78">
        <w:t xml:space="preserve">įrengtų ir/ar atnaujintų priedangų skaičius Panevėžio mieste. </w:t>
      </w:r>
    </w:p>
    <w:p w14:paraId="13F23386" w14:textId="409930E8" w:rsidR="00B64C14" w:rsidRPr="001725A2" w:rsidRDefault="00B64C14" w:rsidP="00B64C14">
      <w:pPr>
        <w:tabs>
          <w:tab w:val="left" w:pos="0"/>
        </w:tabs>
        <w:spacing w:line="360" w:lineRule="auto"/>
        <w:ind w:firstLine="720"/>
        <w:jc w:val="both"/>
      </w:pPr>
    </w:p>
    <w:p w14:paraId="1375B9C2" w14:textId="164D1A22" w:rsidR="00726A06" w:rsidRPr="003B18FF" w:rsidRDefault="00B64C14" w:rsidP="003B18FF">
      <w:pPr>
        <w:tabs>
          <w:tab w:val="left" w:pos="0"/>
        </w:tabs>
        <w:spacing w:line="360" w:lineRule="auto"/>
        <w:ind w:firstLine="720"/>
        <w:jc w:val="both"/>
      </w:pPr>
      <w:r w:rsidRPr="00B64C14">
        <w:lastRenderedPageBreak/>
        <w:t xml:space="preserve">         </w:t>
      </w:r>
    </w:p>
    <w:p w14:paraId="512B0DCA" w14:textId="77777777" w:rsidR="006F51FE" w:rsidRPr="006741DF" w:rsidRDefault="00094BE0" w:rsidP="006F51FE">
      <w:pPr>
        <w:tabs>
          <w:tab w:val="left" w:pos="0"/>
        </w:tabs>
        <w:spacing w:line="360" w:lineRule="auto"/>
        <w:jc w:val="both"/>
      </w:pPr>
      <w:r w:rsidRPr="006741DF">
        <w:t xml:space="preserve">      </w:t>
      </w:r>
      <w:r w:rsidR="00D83A57" w:rsidRPr="006741DF">
        <w:rPr>
          <w:b/>
        </w:rPr>
        <w:t>3.</w:t>
      </w:r>
      <w:r w:rsidR="00D736F0" w:rsidRPr="006741DF">
        <w:rPr>
          <w:b/>
        </w:rPr>
        <w:t xml:space="preserve"> </w:t>
      </w:r>
      <w:r w:rsidR="00D736F0" w:rsidRPr="006741DF">
        <w:rPr>
          <w:b/>
          <w:bCs/>
        </w:rPr>
        <w:t>Lėšų poreikis ir šaltiniai</w:t>
      </w:r>
      <w:r w:rsidR="00D83A57" w:rsidRPr="006741DF">
        <w:rPr>
          <w:b/>
          <w:bCs/>
        </w:rPr>
        <w:t>:</w:t>
      </w:r>
      <w:r w:rsidR="00D83A57" w:rsidRPr="006741DF">
        <w:t xml:space="preserve"> </w:t>
      </w:r>
    </w:p>
    <w:p w14:paraId="11463330" w14:textId="77777777" w:rsidR="004779B0" w:rsidRDefault="004779B0" w:rsidP="004779B0">
      <w:pPr>
        <w:tabs>
          <w:tab w:val="left" w:pos="0"/>
        </w:tabs>
        <w:spacing w:line="360" w:lineRule="auto"/>
        <w:ind w:firstLine="720"/>
        <w:jc w:val="both"/>
      </w:pPr>
      <w:r>
        <w:t xml:space="preserve">Projekto </w:t>
      </w:r>
      <w:r>
        <w:rPr>
          <w:bCs/>
        </w:rPr>
        <w:t>minimali suma – 100 000 Eur;</w:t>
      </w:r>
    </w:p>
    <w:p w14:paraId="54A251B7" w14:textId="06686D71" w:rsidR="004779B0" w:rsidRPr="00DD00CA" w:rsidRDefault="004779B0" w:rsidP="004779B0">
      <w:pPr>
        <w:tabs>
          <w:tab w:val="left" w:pos="0"/>
        </w:tabs>
        <w:spacing w:line="360" w:lineRule="auto"/>
        <w:ind w:firstLine="720"/>
        <w:jc w:val="both"/>
      </w:pPr>
      <w:r>
        <w:rPr>
          <w:bCs/>
        </w:rPr>
        <w:t>Projekto maksimali suma Panevėžio miestui pagal gyventojų skaičių – 300 000 Eur.</w:t>
      </w:r>
    </w:p>
    <w:p w14:paraId="25E65B38" w14:textId="78B6A135" w:rsidR="004779B0" w:rsidRDefault="004779B0" w:rsidP="004779B0">
      <w:pPr>
        <w:tabs>
          <w:tab w:val="left" w:pos="0"/>
        </w:tabs>
        <w:spacing w:line="360" w:lineRule="auto"/>
        <w:ind w:firstLine="720"/>
        <w:jc w:val="both"/>
      </w:pPr>
      <w:r w:rsidRPr="00DD00CA">
        <w:t>Orientacinė investicijų suma į vieną priedangą – ≤ 40 000 Eur</w:t>
      </w:r>
      <w:r>
        <w:t>.</w:t>
      </w:r>
      <w:r w:rsidRPr="00DD00CA">
        <w:t xml:space="preserve"> </w:t>
      </w:r>
    </w:p>
    <w:p w14:paraId="600B4211" w14:textId="262C12C5" w:rsidR="00B64C14" w:rsidRDefault="00B64C14" w:rsidP="00B64C14">
      <w:pPr>
        <w:tabs>
          <w:tab w:val="left" w:pos="0"/>
        </w:tabs>
        <w:spacing w:line="360" w:lineRule="auto"/>
        <w:ind w:firstLine="720"/>
        <w:jc w:val="both"/>
      </w:pPr>
      <w:r>
        <w:t xml:space="preserve">Projekto išlaidų tinkamumo finansuoti laikotarpis – </w:t>
      </w:r>
      <w:r w:rsidR="004779B0" w:rsidRPr="004779B0">
        <w:t>iki 2025 m. gruodžio 15 d. arba 18 mėnesių nuo projekto sutarties sudarymo, jeigu taip nustatyta projekto sutartyje.</w:t>
      </w:r>
    </w:p>
    <w:p w14:paraId="6F0EA1DF" w14:textId="44042648" w:rsidR="007B1F33" w:rsidRDefault="007B1F33" w:rsidP="00B64C14">
      <w:pPr>
        <w:tabs>
          <w:tab w:val="left" w:pos="0"/>
        </w:tabs>
        <w:spacing w:line="360" w:lineRule="auto"/>
        <w:ind w:firstLine="720"/>
        <w:jc w:val="both"/>
      </w:pPr>
      <w:r w:rsidRPr="007B1F33">
        <w:t>Tinkamos finansuoti išlaidos patirtos nuo 2025 m. sausio 1 d.</w:t>
      </w:r>
    </w:p>
    <w:p w14:paraId="106466F4" w14:textId="7EB74EA4" w:rsidR="00B64C14" w:rsidRDefault="00B64C14" w:rsidP="00B64C14">
      <w:pPr>
        <w:tabs>
          <w:tab w:val="left" w:pos="0"/>
        </w:tabs>
        <w:spacing w:line="360" w:lineRule="auto"/>
        <w:ind w:firstLine="720"/>
        <w:jc w:val="both"/>
      </w:pPr>
      <w:r w:rsidRPr="005F59F4">
        <w:t xml:space="preserve">Projekto tinkamų finansuoti išlaidų dalis, kurios nepadengia projektui skiriamo finansavimo </w:t>
      </w:r>
      <w:r>
        <w:t xml:space="preserve">ir netinkamos finansuoti </w:t>
      </w:r>
      <w:r w:rsidRPr="005F59F4">
        <w:t>lėšos, turi būti finansuojama iš projekto vykdytojo lėšų</w:t>
      </w:r>
      <w:r>
        <w:t>.</w:t>
      </w:r>
    </w:p>
    <w:p w14:paraId="03D2DFA9" w14:textId="77777777" w:rsidR="00C858EE" w:rsidRPr="006741DF" w:rsidRDefault="00C858EE" w:rsidP="00B64C14">
      <w:pPr>
        <w:tabs>
          <w:tab w:val="left" w:pos="0"/>
        </w:tabs>
        <w:jc w:val="both"/>
        <w:rPr>
          <w:b/>
        </w:rPr>
      </w:pPr>
    </w:p>
    <w:p w14:paraId="444AEEDD" w14:textId="621BCE1B" w:rsidR="00DE6F9B" w:rsidRPr="006741DF" w:rsidRDefault="00C9136B" w:rsidP="00C9136B">
      <w:pPr>
        <w:tabs>
          <w:tab w:val="left" w:pos="0"/>
        </w:tabs>
        <w:jc w:val="both"/>
        <w:rPr>
          <w:b/>
        </w:rPr>
      </w:pPr>
      <w:r w:rsidRPr="006741DF">
        <w:rPr>
          <w:b/>
        </w:rPr>
        <w:t xml:space="preserve">     </w:t>
      </w:r>
      <w:r w:rsidR="00D83A57" w:rsidRPr="006741DF">
        <w:rPr>
          <w:b/>
        </w:rPr>
        <w:t>4.</w:t>
      </w:r>
      <w:r w:rsidR="00E86C4C" w:rsidRPr="006741DF">
        <w:rPr>
          <w:b/>
        </w:rPr>
        <w:t xml:space="preserve"> </w:t>
      </w:r>
      <w:r w:rsidR="00D736F0" w:rsidRPr="006741DF">
        <w:rPr>
          <w:b/>
          <w:bCs/>
        </w:rPr>
        <w:t>Sprendimui priimti reikalingi pagrindimai, skaičiavimai ar paaiškinimai</w:t>
      </w:r>
      <w:r w:rsidR="00D83A57" w:rsidRPr="006741DF">
        <w:rPr>
          <w:b/>
          <w:bCs/>
        </w:rPr>
        <w:t>:</w:t>
      </w:r>
      <w:r w:rsidR="00D83A57" w:rsidRPr="006741DF">
        <w:rPr>
          <w:b/>
        </w:rPr>
        <w:t xml:space="preserve"> </w:t>
      </w:r>
    </w:p>
    <w:p w14:paraId="1D3519B2" w14:textId="77777777" w:rsidR="00726A06" w:rsidRPr="006741DF" w:rsidRDefault="00726A06" w:rsidP="00C9136B">
      <w:pPr>
        <w:tabs>
          <w:tab w:val="left" w:pos="0"/>
        </w:tabs>
        <w:jc w:val="both"/>
        <w:rPr>
          <w:b/>
        </w:rPr>
      </w:pPr>
    </w:p>
    <w:p w14:paraId="1A5C9463" w14:textId="170F5F99" w:rsidR="00897F22" w:rsidRDefault="00726A06" w:rsidP="00726A06">
      <w:pPr>
        <w:tabs>
          <w:tab w:val="left" w:pos="0"/>
          <w:tab w:val="left" w:pos="1134"/>
        </w:tabs>
        <w:spacing w:line="360" w:lineRule="auto"/>
        <w:jc w:val="both"/>
      </w:pPr>
      <w:r w:rsidRPr="006741DF">
        <w:t xml:space="preserve">             </w:t>
      </w:r>
      <w:r w:rsidR="00897F22">
        <w:t xml:space="preserve">Planuojama rengti paraišką </w:t>
      </w:r>
      <w:r w:rsidR="004779B0">
        <w:t>300</w:t>
      </w:r>
      <w:r w:rsidR="00897F22">
        <w:t xml:space="preserve"> 000 Eur. </w:t>
      </w:r>
    </w:p>
    <w:p w14:paraId="3DD3EE7F" w14:textId="111E9C91" w:rsidR="00897F22" w:rsidRDefault="00897F22" w:rsidP="00726A06">
      <w:pPr>
        <w:tabs>
          <w:tab w:val="left" w:pos="0"/>
          <w:tab w:val="left" w:pos="1134"/>
        </w:tabs>
        <w:spacing w:line="360" w:lineRule="auto"/>
        <w:jc w:val="both"/>
      </w:pPr>
      <w:r>
        <w:t xml:space="preserve">             Tiksli bendra projekto vertė bus aiški tik atlikus viešuosius pirkimus. </w:t>
      </w:r>
    </w:p>
    <w:p w14:paraId="43A207C9" w14:textId="77777777" w:rsidR="00CD4245" w:rsidRPr="001725A2" w:rsidRDefault="00CD4245" w:rsidP="00CD4245">
      <w:pPr>
        <w:tabs>
          <w:tab w:val="left" w:pos="0"/>
        </w:tabs>
        <w:spacing w:line="360" w:lineRule="auto"/>
        <w:ind w:firstLine="720"/>
        <w:jc w:val="both"/>
      </w:pPr>
      <w:r w:rsidRPr="00CD4245">
        <w:t>Vadovaujantis Panevėžio miesto savivaldybės vardu sudaromų sutarčių pasirašymo tvarkos aprašo</w:t>
      </w:r>
      <w:r w:rsidRPr="001725A2">
        <w:t>, patvirtinto Panevėžio miesto savivaldybės tarybos 2023 m. gruodžio 28 d. sprendimu Nr. 1-394 „</w:t>
      </w:r>
      <w:r w:rsidRPr="00CD4245">
        <w:t>Dėl Panevėžio miesto savivaldybės vardu sudaromų sutarčių pasirašymo tvarkos aprašo patvirtinimo, Savivaldybės tarybos 2014 m. gegužės 29 d. sprendimo Nr. 1-154 pripažinimo netekusiu galios ir įgaliojimo Savivaldybės merui</w:t>
      </w:r>
      <w:r w:rsidRPr="001725A2">
        <w:t>“, tam, kad Panevėžio miesto savivaldybės administracijos direktorius galėtų pasirašyti Projekto finansavimo  sutartį bei dokumentus, susijusius su Projekto finansavimu ir įgyvendinimu reikalingas Tarybos sprendimas.</w:t>
      </w:r>
    </w:p>
    <w:p w14:paraId="7F306B12" w14:textId="77777777" w:rsidR="00BB00B5" w:rsidRDefault="00BB00B5" w:rsidP="00726A06">
      <w:pPr>
        <w:tabs>
          <w:tab w:val="left" w:pos="0"/>
          <w:tab w:val="left" w:pos="1134"/>
        </w:tabs>
        <w:spacing w:line="360" w:lineRule="auto"/>
        <w:jc w:val="both"/>
      </w:pPr>
    </w:p>
    <w:p w14:paraId="77C4EA57" w14:textId="27EEBF10" w:rsidR="00434584" w:rsidRPr="006741DF" w:rsidRDefault="00AA299B" w:rsidP="00C858EE">
      <w:pPr>
        <w:tabs>
          <w:tab w:val="left" w:pos="0"/>
        </w:tabs>
        <w:ind w:firstLine="720"/>
        <w:jc w:val="both"/>
      </w:pPr>
      <w:r w:rsidRPr="006741DF">
        <w:rPr>
          <w:b/>
        </w:rPr>
        <w:t>5</w:t>
      </w:r>
      <w:r w:rsidR="00D83A57" w:rsidRPr="006741DF">
        <w:rPr>
          <w:b/>
        </w:rPr>
        <w:t>.</w:t>
      </w:r>
      <w:r w:rsidR="008F7A51" w:rsidRPr="006741DF">
        <w:rPr>
          <w:b/>
        </w:rPr>
        <w:t xml:space="preserve"> </w:t>
      </w:r>
      <w:r w:rsidR="00D83A57" w:rsidRPr="006741DF">
        <w:rPr>
          <w:b/>
        </w:rPr>
        <w:t>Kieno iniciatyva parengtas sprendimo projektas:</w:t>
      </w:r>
      <w:r w:rsidR="00D83A57" w:rsidRPr="006741DF">
        <w:t xml:space="preserve"> </w:t>
      </w:r>
    </w:p>
    <w:p w14:paraId="50A35C4C" w14:textId="77777777" w:rsidR="00C858EE" w:rsidRPr="006741DF" w:rsidRDefault="00C858EE" w:rsidP="00C858EE">
      <w:pPr>
        <w:tabs>
          <w:tab w:val="left" w:pos="0"/>
        </w:tabs>
        <w:ind w:firstLine="720"/>
        <w:jc w:val="both"/>
      </w:pPr>
    </w:p>
    <w:p w14:paraId="3F88D54C" w14:textId="5329BCE5" w:rsidR="00ED1444" w:rsidRPr="006741DF" w:rsidRDefault="00ED1444" w:rsidP="00ED1444">
      <w:pPr>
        <w:tabs>
          <w:tab w:val="left" w:pos="0"/>
        </w:tabs>
        <w:spacing w:line="360" w:lineRule="auto"/>
        <w:contextualSpacing/>
        <w:jc w:val="both"/>
      </w:pPr>
      <w:r w:rsidRPr="006741DF">
        <w:t xml:space="preserve">        </w:t>
      </w:r>
      <w:r w:rsidR="004D7AE7" w:rsidRPr="006741DF">
        <w:t xml:space="preserve"> </w:t>
      </w:r>
      <w:r w:rsidRPr="006741DF">
        <w:t xml:space="preserve"> Sprendimo projektas rengiamas Savivaldybės administracijos iniciatyva</w:t>
      </w:r>
      <w:r w:rsidR="00CD4245">
        <w:t>.</w:t>
      </w:r>
    </w:p>
    <w:p w14:paraId="1AAF59FF" w14:textId="1FD9E07A" w:rsidR="000806FF" w:rsidRPr="006741DF" w:rsidRDefault="000806FF" w:rsidP="00881759">
      <w:pPr>
        <w:tabs>
          <w:tab w:val="left" w:pos="567"/>
        </w:tabs>
        <w:spacing w:line="360" w:lineRule="auto"/>
        <w:jc w:val="both"/>
      </w:pPr>
    </w:p>
    <w:p w14:paraId="161FF43A" w14:textId="0755D139" w:rsidR="00ED1444" w:rsidRDefault="00CD4245" w:rsidP="00ED1444">
      <w:pPr>
        <w:spacing w:line="360" w:lineRule="auto"/>
        <w:jc w:val="both"/>
        <w:outlineLvl w:val="0"/>
        <w:rPr>
          <w:szCs w:val="20"/>
        </w:rPr>
      </w:pPr>
      <w:r>
        <w:rPr>
          <w:szCs w:val="20"/>
        </w:rPr>
        <w:t>Patarėjas, atliekantis savivaldybės parengties funkcijas                             Justas Laurinavičius</w:t>
      </w:r>
    </w:p>
    <w:p w14:paraId="6DD5E5EA" w14:textId="77777777" w:rsidR="00CD4245" w:rsidRDefault="00CD4245" w:rsidP="00ED1444">
      <w:pPr>
        <w:spacing w:line="360" w:lineRule="auto"/>
        <w:jc w:val="both"/>
        <w:outlineLvl w:val="0"/>
        <w:rPr>
          <w:szCs w:val="20"/>
        </w:rPr>
      </w:pPr>
    </w:p>
    <w:p w14:paraId="23071A45" w14:textId="25955B22" w:rsidR="00CD4245" w:rsidRPr="006741DF" w:rsidRDefault="00CD4245" w:rsidP="00ED1444">
      <w:pPr>
        <w:spacing w:line="360" w:lineRule="auto"/>
        <w:jc w:val="both"/>
        <w:outlineLvl w:val="0"/>
        <w:rPr>
          <w:szCs w:val="20"/>
        </w:rPr>
      </w:pPr>
      <w:r>
        <w:rPr>
          <w:szCs w:val="20"/>
        </w:rPr>
        <w:t>Investicijų projektų skyriaus vedėja                                                            Lina Bareikienė</w:t>
      </w:r>
    </w:p>
    <w:sectPr w:rsidR="00CD4245" w:rsidRPr="006741DF" w:rsidSect="009C1107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EA5F8" w14:textId="77777777" w:rsidR="00D867AF" w:rsidRDefault="00D867AF" w:rsidP="00A52524">
      <w:r>
        <w:separator/>
      </w:r>
    </w:p>
  </w:endnote>
  <w:endnote w:type="continuationSeparator" w:id="0">
    <w:p w14:paraId="2269DCB0" w14:textId="77777777" w:rsidR="00D867AF" w:rsidRDefault="00D867A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00519" w14:textId="77777777" w:rsidR="00D867AF" w:rsidRDefault="00D867AF" w:rsidP="00A52524">
      <w:r>
        <w:separator/>
      </w:r>
    </w:p>
  </w:footnote>
  <w:footnote w:type="continuationSeparator" w:id="0">
    <w:p w14:paraId="5A5E1A69" w14:textId="77777777" w:rsidR="00D867AF" w:rsidRDefault="00D867AF" w:rsidP="00A52524">
      <w:r>
        <w:continuationSeparator/>
      </w:r>
    </w:p>
  </w:footnote>
  <w:footnote w:id="1">
    <w:p w14:paraId="60285D69" w14:textId="77777777" w:rsidR="00DD00CA" w:rsidRDefault="00DD00CA" w:rsidP="00DD00CA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color w:val="0563C1"/>
          <w:sz w:val="20"/>
          <w:u w:val="single"/>
        </w:rPr>
        <w:t>https://osp.stat.gov.lt/statistiniu-rodikliu-analize?hash=4afc61cc-bdb7-435f-9041-f8ba09de5b24#/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3"/>
  </w:num>
  <w:num w:numId="4" w16cid:durableId="41362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1789"/>
    <w:rsid w:val="00003982"/>
    <w:rsid w:val="00004E09"/>
    <w:rsid w:val="00005B95"/>
    <w:rsid w:val="00007F9B"/>
    <w:rsid w:val="0001413A"/>
    <w:rsid w:val="00014C86"/>
    <w:rsid w:val="000249F6"/>
    <w:rsid w:val="0002781C"/>
    <w:rsid w:val="0003001F"/>
    <w:rsid w:val="0004383E"/>
    <w:rsid w:val="000447F0"/>
    <w:rsid w:val="00044E44"/>
    <w:rsid w:val="0004567B"/>
    <w:rsid w:val="00046C27"/>
    <w:rsid w:val="00047414"/>
    <w:rsid w:val="00047554"/>
    <w:rsid w:val="00051990"/>
    <w:rsid w:val="00052C11"/>
    <w:rsid w:val="0006183E"/>
    <w:rsid w:val="00062068"/>
    <w:rsid w:val="00066E6B"/>
    <w:rsid w:val="00066EF6"/>
    <w:rsid w:val="00070FD7"/>
    <w:rsid w:val="000806FF"/>
    <w:rsid w:val="00081D67"/>
    <w:rsid w:val="000913B9"/>
    <w:rsid w:val="0009252D"/>
    <w:rsid w:val="00094BE0"/>
    <w:rsid w:val="000B4E18"/>
    <w:rsid w:val="000C3941"/>
    <w:rsid w:val="000C7788"/>
    <w:rsid w:val="000D3F23"/>
    <w:rsid w:val="000D4A32"/>
    <w:rsid w:val="000D55C4"/>
    <w:rsid w:val="000E2F3E"/>
    <w:rsid w:val="000E3E20"/>
    <w:rsid w:val="000F3551"/>
    <w:rsid w:val="000F47FD"/>
    <w:rsid w:val="000F5938"/>
    <w:rsid w:val="000F6B8A"/>
    <w:rsid w:val="000F7704"/>
    <w:rsid w:val="00104049"/>
    <w:rsid w:val="00114AEB"/>
    <w:rsid w:val="00117E43"/>
    <w:rsid w:val="00123228"/>
    <w:rsid w:val="00133661"/>
    <w:rsid w:val="001352EF"/>
    <w:rsid w:val="00142E2C"/>
    <w:rsid w:val="001453E9"/>
    <w:rsid w:val="0014744F"/>
    <w:rsid w:val="001510E0"/>
    <w:rsid w:val="0015445D"/>
    <w:rsid w:val="00155035"/>
    <w:rsid w:val="00155DE4"/>
    <w:rsid w:val="00160AAB"/>
    <w:rsid w:val="00163CB6"/>
    <w:rsid w:val="0017148A"/>
    <w:rsid w:val="001744F5"/>
    <w:rsid w:val="001839F1"/>
    <w:rsid w:val="00185F27"/>
    <w:rsid w:val="001868E5"/>
    <w:rsid w:val="00192CD8"/>
    <w:rsid w:val="00193BEE"/>
    <w:rsid w:val="001A3516"/>
    <w:rsid w:val="001A5EA3"/>
    <w:rsid w:val="001A6B36"/>
    <w:rsid w:val="001B1B5A"/>
    <w:rsid w:val="001B36D1"/>
    <w:rsid w:val="001B6486"/>
    <w:rsid w:val="001B666D"/>
    <w:rsid w:val="001B7CE4"/>
    <w:rsid w:val="001C4A37"/>
    <w:rsid w:val="001C7E22"/>
    <w:rsid w:val="001D0CFA"/>
    <w:rsid w:val="001D2243"/>
    <w:rsid w:val="001D340A"/>
    <w:rsid w:val="001D610D"/>
    <w:rsid w:val="001D7D66"/>
    <w:rsid w:val="001E09BE"/>
    <w:rsid w:val="001E0FEF"/>
    <w:rsid w:val="001E2E0C"/>
    <w:rsid w:val="001F5465"/>
    <w:rsid w:val="001F6739"/>
    <w:rsid w:val="001F7A5E"/>
    <w:rsid w:val="00201025"/>
    <w:rsid w:val="00201D6E"/>
    <w:rsid w:val="00207563"/>
    <w:rsid w:val="002078F7"/>
    <w:rsid w:val="00210927"/>
    <w:rsid w:val="0021258E"/>
    <w:rsid w:val="00213AB9"/>
    <w:rsid w:val="00217FFC"/>
    <w:rsid w:val="00220B04"/>
    <w:rsid w:val="002225AF"/>
    <w:rsid w:val="00224D53"/>
    <w:rsid w:val="002265FB"/>
    <w:rsid w:val="00231C34"/>
    <w:rsid w:val="0023453F"/>
    <w:rsid w:val="00236AE6"/>
    <w:rsid w:val="00243165"/>
    <w:rsid w:val="002509BD"/>
    <w:rsid w:val="00250B20"/>
    <w:rsid w:val="002510EF"/>
    <w:rsid w:val="00252546"/>
    <w:rsid w:val="0025467A"/>
    <w:rsid w:val="0025678E"/>
    <w:rsid w:val="00265C97"/>
    <w:rsid w:val="0026732C"/>
    <w:rsid w:val="00267684"/>
    <w:rsid w:val="00270237"/>
    <w:rsid w:val="00272359"/>
    <w:rsid w:val="00283C28"/>
    <w:rsid w:val="00286B01"/>
    <w:rsid w:val="002872EB"/>
    <w:rsid w:val="00290442"/>
    <w:rsid w:val="002914C2"/>
    <w:rsid w:val="0029165E"/>
    <w:rsid w:val="0029446D"/>
    <w:rsid w:val="00294868"/>
    <w:rsid w:val="002959E0"/>
    <w:rsid w:val="002A3891"/>
    <w:rsid w:val="002A73A9"/>
    <w:rsid w:val="002B19FB"/>
    <w:rsid w:val="002B3A6A"/>
    <w:rsid w:val="002B502F"/>
    <w:rsid w:val="002B772E"/>
    <w:rsid w:val="002C203B"/>
    <w:rsid w:val="002C5297"/>
    <w:rsid w:val="002C72A5"/>
    <w:rsid w:val="002D1B5C"/>
    <w:rsid w:val="002D7495"/>
    <w:rsid w:val="002E1C63"/>
    <w:rsid w:val="002F02BD"/>
    <w:rsid w:val="002F294E"/>
    <w:rsid w:val="00301F32"/>
    <w:rsid w:val="003167E2"/>
    <w:rsid w:val="003301AE"/>
    <w:rsid w:val="0034259C"/>
    <w:rsid w:val="00343D41"/>
    <w:rsid w:val="00346F24"/>
    <w:rsid w:val="003535C0"/>
    <w:rsid w:val="003535F7"/>
    <w:rsid w:val="00354A9A"/>
    <w:rsid w:val="003561DD"/>
    <w:rsid w:val="00362E4A"/>
    <w:rsid w:val="0037303E"/>
    <w:rsid w:val="0037426A"/>
    <w:rsid w:val="003762B9"/>
    <w:rsid w:val="003854E9"/>
    <w:rsid w:val="00393E18"/>
    <w:rsid w:val="003A088D"/>
    <w:rsid w:val="003B187E"/>
    <w:rsid w:val="003B18FF"/>
    <w:rsid w:val="003B3161"/>
    <w:rsid w:val="003B3767"/>
    <w:rsid w:val="003B5724"/>
    <w:rsid w:val="003B6813"/>
    <w:rsid w:val="003B69B1"/>
    <w:rsid w:val="003C36C1"/>
    <w:rsid w:val="003C53C4"/>
    <w:rsid w:val="003D3883"/>
    <w:rsid w:val="003D3B6D"/>
    <w:rsid w:val="003D4713"/>
    <w:rsid w:val="003D6483"/>
    <w:rsid w:val="003E23AE"/>
    <w:rsid w:val="003E3032"/>
    <w:rsid w:val="003F0F72"/>
    <w:rsid w:val="00400D86"/>
    <w:rsid w:val="004022A3"/>
    <w:rsid w:val="00403AF9"/>
    <w:rsid w:val="00404560"/>
    <w:rsid w:val="00413ACE"/>
    <w:rsid w:val="00421857"/>
    <w:rsid w:val="004222C7"/>
    <w:rsid w:val="00423B47"/>
    <w:rsid w:val="00434584"/>
    <w:rsid w:val="00441287"/>
    <w:rsid w:val="00443FDB"/>
    <w:rsid w:val="00450256"/>
    <w:rsid w:val="00455B16"/>
    <w:rsid w:val="00461BF7"/>
    <w:rsid w:val="00462829"/>
    <w:rsid w:val="004724E7"/>
    <w:rsid w:val="00472CB8"/>
    <w:rsid w:val="004779B0"/>
    <w:rsid w:val="00481EBB"/>
    <w:rsid w:val="00491B53"/>
    <w:rsid w:val="004A5AF0"/>
    <w:rsid w:val="004A7141"/>
    <w:rsid w:val="004B1BA5"/>
    <w:rsid w:val="004B3489"/>
    <w:rsid w:val="004B5651"/>
    <w:rsid w:val="004B7BC3"/>
    <w:rsid w:val="004C0E56"/>
    <w:rsid w:val="004C1118"/>
    <w:rsid w:val="004C14E5"/>
    <w:rsid w:val="004C20A3"/>
    <w:rsid w:val="004C7594"/>
    <w:rsid w:val="004C7C72"/>
    <w:rsid w:val="004D3C2F"/>
    <w:rsid w:val="004D7AE7"/>
    <w:rsid w:val="004E51DD"/>
    <w:rsid w:val="004E5D2B"/>
    <w:rsid w:val="004F24E2"/>
    <w:rsid w:val="004F6EC8"/>
    <w:rsid w:val="004F7999"/>
    <w:rsid w:val="004F7EF5"/>
    <w:rsid w:val="00503738"/>
    <w:rsid w:val="00504B7D"/>
    <w:rsid w:val="0050689B"/>
    <w:rsid w:val="005140C4"/>
    <w:rsid w:val="00520C5A"/>
    <w:rsid w:val="005227E0"/>
    <w:rsid w:val="00523CAF"/>
    <w:rsid w:val="005316C6"/>
    <w:rsid w:val="00531FD1"/>
    <w:rsid w:val="00532877"/>
    <w:rsid w:val="005336FE"/>
    <w:rsid w:val="00536F4F"/>
    <w:rsid w:val="00540B19"/>
    <w:rsid w:val="0055435A"/>
    <w:rsid w:val="00561A82"/>
    <w:rsid w:val="00573BD9"/>
    <w:rsid w:val="00573CAD"/>
    <w:rsid w:val="00576615"/>
    <w:rsid w:val="00582F67"/>
    <w:rsid w:val="00585D38"/>
    <w:rsid w:val="0058713E"/>
    <w:rsid w:val="005909C2"/>
    <w:rsid w:val="0059465A"/>
    <w:rsid w:val="00595BEE"/>
    <w:rsid w:val="005A094E"/>
    <w:rsid w:val="005A2B5B"/>
    <w:rsid w:val="005A5C8E"/>
    <w:rsid w:val="005A7A10"/>
    <w:rsid w:val="005B0280"/>
    <w:rsid w:val="005B4E5B"/>
    <w:rsid w:val="005B5240"/>
    <w:rsid w:val="005B707F"/>
    <w:rsid w:val="005C0E53"/>
    <w:rsid w:val="005C414B"/>
    <w:rsid w:val="005C4A05"/>
    <w:rsid w:val="005D0A03"/>
    <w:rsid w:val="005D0C45"/>
    <w:rsid w:val="005D148C"/>
    <w:rsid w:val="005D2174"/>
    <w:rsid w:val="005E0B0D"/>
    <w:rsid w:val="005E25D8"/>
    <w:rsid w:val="005E3036"/>
    <w:rsid w:val="005E3704"/>
    <w:rsid w:val="00604049"/>
    <w:rsid w:val="0060661D"/>
    <w:rsid w:val="00607D31"/>
    <w:rsid w:val="00613AFF"/>
    <w:rsid w:val="0061607E"/>
    <w:rsid w:val="00616B3D"/>
    <w:rsid w:val="0061776C"/>
    <w:rsid w:val="00621260"/>
    <w:rsid w:val="00622932"/>
    <w:rsid w:val="00624480"/>
    <w:rsid w:val="00626CE6"/>
    <w:rsid w:val="00627759"/>
    <w:rsid w:val="00644363"/>
    <w:rsid w:val="00647385"/>
    <w:rsid w:val="00647B1C"/>
    <w:rsid w:val="006539FD"/>
    <w:rsid w:val="006611C9"/>
    <w:rsid w:val="00666FAE"/>
    <w:rsid w:val="00670701"/>
    <w:rsid w:val="00670A26"/>
    <w:rsid w:val="006733A7"/>
    <w:rsid w:val="006741DF"/>
    <w:rsid w:val="00683C22"/>
    <w:rsid w:val="0068564D"/>
    <w:rsid w:val="00692ADB"/>
    <w:rsid w:val="006961FD"/>
    <w:rsid w:val="006A041A"/>
    <w:rsid w:val="006A5476"/>
    <w:rsid w:val="006A5BC0"/>
    <w:rsid w:val="006A7314"/>
    <w:rsid w:val="006A7494"/>
    <w:rsid w:val="006B18C5"/>
    <w:rsid w:val="006B1F77"/>
    <w:rsid w:val="006B2F30"/>
    <w:rsid w:val="006B53A2"/>
    <w:rsid w:val="006B7B46"/>
    <w:rsid w:val="006D3591"/>
    <w:rsid w:val="006D4D71"/>
    <w:rsid w:val="006D5BC6"/>
    <w:rsid w:val="006F0D13"/>
    <w:rsid w:val="006F51FE"/>
    <w:rsid w:val="007121FE"/>
    <w:rsid w:val="00712ADB"/>
    <w:rsid w:val="00713E68"/>
    <w:rsid w:val="00714A6C"/>
    <w:rsid w:val="00717603"/>
    <w:rsid w:val="00722BA8"/>
    <w:rsid w:val="00726A06"/>
    <w:rsid w:val="007374BC"/>
    <w:rsid w:val="00740A90"/>
    <w:rsid w:val="00741752"/>
    <w:rsid w:val="00741814"/>
    <w:rsid w:val="00741BFD"/>
    <w:rsid w:val="00742CB4"/>
    <w:rsid w:val="0074446C"/>
    <w:rsid w:val="00751FC1"/>
    <w:rsid w:val="0075269D"/>
    <w:rsid w:val="00754062"/>
    <w:rsid w:val="0076118A"/>
    <w:rsid w:val="00761E17"/>
    <w:rsid w:val="0076256E"/>
    <w:rsid w:val="00763A51"/>
    <w:rsid w:val="00771CC1"/>
    <w:rsid w:val="00772066"/>
    <w:rsid w:val="0077404D"/>
    <w:rsid w:val="00782050"/>
    <w:rsid w:val="0078280A"/>
    <w:rsid w:val="00783235"/>
    <w:rsid w:val="00783F03"/>
    <w:rsid w:val="00786E45"/>
    <w:rsid w:val="0079663E"/>
    <w:rsid w:val="007A044E"/>
    <w:rsid w:val="007A163E"/>
    <w:rsid w:val="007A2F87"/>
    <w:rsid w:val="007A3BDE"/>
    <w:rsid w:val="007B1F33"/>
    <w:rsid w:val="007B450E"/>
    <w:rsid w:val="007B5ACA"/>
    <w:rsid w:val="007C4228"/>
    <w:rsid w:val="007C601B"/>
    <w:rsid w:val="007D0623"/>
    <w:rsid w:val="007D0BE7"/>
    <w:rsid w:val="007D5F27"/>
    <w:rsid w:val="007D7B8A"/>
    <w:rsid w:val="007E0DB6"/>
    <w:rsid w:val="007F60AF"/>
    <w:rsid w:val="007F7422"/>
    <w:rsid w:val="00807B2C"/>
    <w:rsid w:val="0081207F"/>
    <w:rsid w:val="00812E50"/>
    <w:rsid w:val="008133A4"/>
    <w:rsid w:val="00814057"/>
    <w:rsid w:val="00817123"/>
    <w:rsid w:val="008201B6"/>
    <w:rsid w:val="00821D84"/>
    <w:rsid w:val="00826441"/>
    <w:rsid w:val="0083069B"/>
    <w:rsid w:val="008310AE"/>
    <w:rsid w:val="00842886"/>
    <w:rsid w:val="008449A7"/>
    <w:rsid w:val="00845E4A"/>
    <w:rsid w:val="008500E2"/>
    <w:rsid w:val="008565FF"/>
    <w:rsid w:val="00861921"/>
    <w:rsid w:val="008674C1"/>
    <w:rsid w:val="0087319A"/>
    <w:rsid w:val="00874356"/>
    <w:rsid w:val="008801C6"/>
    <w:rsid w:val="00881759"/>
    <w:rsid w:val="00883E7D"/>
    <w:rsid w:val="00885A18"/>
    <w:rsid w:val="008870C5"/>
    <w:rsid w:val="0089215A"/>
    <w:rsid w:val="00897F22"/>
    <w:rsid w:val="008A1CB6"/>
    <w:rsid w:val="008A20C3"/>
    <w:rsid w:val="008B20EA"/>
    <w:rsid w:val="008B7F7D"/>
    <w:rsid w:val="008C6757"/>
    <w:rsid w:val="008D12D1"/>
    <w:rsid w:val="008D23DF"/>
    <w:rsid w:val="008D24EB"/>
    <w:rsid w:val="008D27F9"/>
    <w:rsid w:val="008D6C97"/>
    <w:rsid w:val="008E0049"/>
    <w:rsid w:val="008F1B79"/>
    <w:rsid w:val="008F3CEE"/>
    <w:rsid w:val="008F7A51"/>
    <w:rsid w:val="00900EDF"/>
    <w:rsid w:val="009022A5"/>
    <w:rsid w:val="00904E33"/>
    <w:rsid w:val="009068EC"/>
    <w:rsid w:val="009129F1"/>
    <w:rsid w:val="009177AB"/>
    <w:rsid w:val="0092588B"/>
    <w:rsid w:val="00926F7A"/>
    <w:rsid w:val="00931AEB"/>
    <w:rsid w:val="00931EE1"/>
    <w:rsid w:val="009453AD"/>
    <w:rsid w:val="009500ED"/>
    <w:rsid w:val="00961F2A"/>
    <w:rsid w:val="009643C1"/>
    <w:rsid w:val="00964813"/>
    <w:rsid w:val="00965126"/>
    <w:rsid w:val="009653DC"/>
    <w:rsid w:val="00966E54"/>
    <w:rsid w:val="0097074B"/>
    <w:rsid w:val="00971969"/>
    <w:rsid w:val="00972F7E"/>
    <w:rsid w:val="00982A4D"/>
    <w:rsid w:val="00984089"/>
    <w:rsid w:val="00984ED2"/>
    <w:rsid w:val="0099314A"/>
    <w:rsid w:val="00994919"/>
    <w:rsid w:val="009A015F"/>
    <w:rsid w:val="009A020D"/>
    <w:rsid w:val="009A03BD"/>
    <w:rsid w:val="009A0A02"/>
    <w:rsid w:val="009A5FF0"/>
    <w:rsid w:val="009B0664"/>
    <w:rsid w:val="009B4236"/>
    <w:rsid w:val="009C1107"/>
    <w:rsid w:val="009C41D2"/>
    <w:rsid w:val="009C5BEC"/>
    <w:rsid w:val="009D13DC"/>
    <w:rsid w:val="009D143C"/>
    <w:rsid w:val="009D1CBB"/>
    <w:rsid w:val="009D2661"/>
    <w:rsid w:val="009D3004"/>
    <w:rsid w:val="009D3E1F"/>
    <w:rsid w:val="009E4449"/>
    <w:rsid w:val="009E54C7"/>
    <w:rsid w:val="009E6D9A"/>
    <w:rsid w:val="009E70C8"/>
    <w:rsid w:val="009F21B3"/>
    <w:rsid w:val="009F21F7"/>
    <w:rsid w:val="009F6BF2"/>
    <w:rsid w:val="00A00395"/>
    <w:rsid w:val="00A07528"/>
    <w:rsid w:val="00A11261"/>
    <w:rsid w:val="00A202DC"/>
    <w:rsid w:val="00A23967"/>
    <w:rsid w:val="00A26F16"/>
    <w:rsid w:val="00A30713"/>
    <w:rsid w:val="00A3228A"/>
    <w:rsid w:val="00A32CC5"/>
    <w:rsid w:val="00A3416E"/>
    <w:rsid w:val="00A34C2B"/>
    <w:rsid w:val="00A50AFE"/>
    <w:rsid w:val="00A52524"/>
    <w:rsid w:val="00A65439"/>
    <w:rsid w:val="00A66E7C"/>
    <w:rsid w:val="00A712F3"/>
    <w:rsid w:val="00A719D0"/>
    <w:rsid w:val="00A7365B"/>
    <w:rsid w:val="00A8785C"/>
    <w:rsid w:val="00A87C7C"/>
    <w:rsid w:val="00A901A7"/>
    <w:rsid w:val="00A91746"/>
    <w:rsid w:val="00A936CD"/>
    <w:rsid w:val="00A94900"/>
    <w:rsid w:val="00A968CB"/>
    <w:rsid w:val="00AA0A42"/>
    <w:rsid w:val="00AA18CF"/>
    <w:rsid w:val="00AA1DB9"/>
    <w:rsid w:val="00AA299B"/>
    <w:rsid w:val="00AA77EF"/>
    <w:rsid w:val="00AA781A"/>
    <w:rsid w:val="00AB6C6F"/>
    <w:rsid w:val="00AB796F"/>
    <w:rsid w:val="00AC1F11"/>
    <w:rsid w:val="00AC2FFA"/>
    <w:rsid w:val="00AC7C7C"/>
    <w:rsid w:val="00AD5374"/>
    <w:rsid w:val="00AD676D"/>
    <w:rsid w:val="00AD6C34"/>
    <w:rsid w:val="00AE3A5D"/>
    <w:rsid w:val="00AE4336"/>
    <w:rsid w:val="00AE703E"/>
    <w:rsid w:val="00AF4FC5"/>
    <w:rsid w:val="00AF58BA"/>
    <w:rsid w:val="00B0021B"/>
    <w:rsid w:val="00B03B39"/>
    <w:rsid w:val="00B068B5"/>
    <w:rsid w:val="00B06BEE"/>
    <w:rsid w:val="00B15200"/>
    <w:rsid w:val="00B27549"/>
    <w:rsid w:val="00B3014E"/>
    <w:rsid w:val="00B30257"/>
    <w:rsid w:val="00B332F8"/>
    <w:rsid w:val="00B3333A"/>
    <w:rsid w:val="00B3422D"/>
    <w:rsid w:val="00B37E71"/>
    <w:rsid w:val="00B42A26"/>
    <w:rsid w:val="00B46CFD"/>
    <w:rsid w:val="00B503AA"/>
    <w:rsid w:val="00B5446B"/>
    <w:rsid w:val="00B64C14"/>
    <w:rsid w:val="00B7093C"/>
    <w:rsid w:val="00B72ADC"/>
    <w:rsid w:val="00B72FC6"/>
    <w:rsid w:val="00B7349A"/>
    <w:rsid w:val="00B74417"/>
    <w:rsid w:val="00B764F2"/>
    <w:rsid w:val="00B76F5C"/>
    <w:rsid w:val="00B813E5"/>
    <w:rsid w:val="00B86A53"/>
    <w:rsid w:val="00BA0DC5"/>
    <w:rsid w:val="00BA1BE5"/>
    <w:rsid w:val="00BA56C1"/>
    <w:rsid w:val="00BA797C"/>
    <w:rsid w:val="00BB00B5"/>
    <w:rsid w:val="00BB063E"/>
    <w:rsid w:val="00BB1560"/>
    <w:rsid w:val="00BB2DB7"/>
    <w:rsid w:val="00BB7453"/>
    <w:rsid w:val="00BB7698"/>
    <w:rsid w:val="00BC5892"/>
    <w:rsid w:val="00BD1257"/>
    <w:rsid w:val="00BD356A"/>
    <w:rsid w:val="00BD74AC"/>
    <w:rsid w:val="00BD7E26"/>
    <w:rsid w:val="00BF2481"/>
    <w:rsid w:val="00BF268C"/>
    <w:rsid w:val="00BF739D"/>
    <w:rsid w:val="00BF7E24"/>
    <w:rsid w:val="00C000DF"/>
    <w:rsid w:val="00C011D7"/>
    <w:rsid w:val="00C03200"/>
    <w:rsid w:val="00C03505"/>
    <w:rsid w:val="00C04247"/>
    <w:rsid w:val="00C06F03"/>
    <w:rsid w:val="00C10A05"/>
    <w:rsid w:val="00C11539"/>
    <w:rsid w:val="00C11AE3"/>
    <w:rsid w:val="00C20261"/>
    <w:rsid w:val="00C23689"/>
    <w:rsid w:val="00C25760"/>
    <w:rsid w:val="00C32CFD"/>
    <w:rsid w:val="00C3406D"/>
    <w:rsid w:val="00C351E7"/>
    <w:rsid w:val="00C41AA1"/>
    <w:rsid w:val="00C44EE6"/>
    <w:rsid w:val="00C46CBC"/>
    <w:rsid w:val="00C5176B"/>
    <w:rsid w:val="00C51C76"/>
    <w:rsid w:val="00C52090"/>
    <w:rsid w:val="00C6045F"/>
    <w:rsid w:val="00C61BA1"/>
    <w:rsid w:val="00C62413"/>
    <w:rsid w:val="00C63552"/>
    <w:rsid w:val="00C661EB"/>
    <w:rsid w:val="00C7289C"/>
    <w:rsid w:val="00C74D79"/>
    <w:rsid w:val="00C76A01"/>
    <w:rsid w:val="00C77A17"/>
    <w:rsid w:val="00C83D58"/>
    <w:rsid w:val="00C858EE"/>
    <w:rsid w:val="00C906DE"/>
    <w:rsid w:val="00C912DF"/>
    <w:rsid w:val="00C9136B"/>
    <w:rsid w:val="00C92C42"/>
    <w:rsid w:val="00C9501B"/>
    <w:rsid w:val="00C9616B"/>
    <w:rsid w:val="00CA0399"/>
    <w:rsid w:val="00CA09B4"/>
    <w:rsid w:val="00CA0EF1"/>
    <w:rsid w:val="00CA1C21"/>
    <w:rsid w:val="00CA2974"/>
    <w:rsid w:val="00CA47D8"/>
    <w:rsid w:val="00CA5474"/>
    <w:rsid w:val="00CB02C9"/>
    <w:rsid w:val="00CC0DF0"/>
    <w:rsid w:val="00CC3385"/>
    <w:rsid w:val="00CC4225"/>
    <w:rsid w:val="00CD19EC"/>
    <w:rsid w:val="00CD1AC0"/>
    <w:rsid w:val="00CD270F"/>
    <w:rsid w:val="00CD40FE"/>
    <w:rsid w:val="00CD4245"/>
    <w:rsid w:val="00CD5270"/>
    <w:rsid w:val="00CE0993"/>
    <w:rsid w:val="00CE217C"/>
    <w:rsid w:val="00CE3C8A"/>
    <w:rsid w:val="00CE5DFA"/>
    <w:rsid w:val="00CE7152"/>
    <w:rsid w:val="00CE7CE2"/>
    <w:rsid w:val="00CF451D"/>
    <w:rsid w:val="00D13EA1"/>
    <w:rsid w:val="00D174C7"/>
    <w:rsid w:val="00D21554"/>
    <w:rsid w:val="00D251A6"/>
    <w:rsid w:val="00D25E94"/>
    <w:rsid w:val="00D26C63"/>
    <w:rsid w:val="00D26D28"/>
    <w:rsid w:val="00D27DAE"/>
    <w:rsid w:val="00D41DCA"/>
    <w:rsid w:val="00D42335"/>
    <w:rsid w:val="00D432A9"/>
    <w:rsid w:val="00D470CE"/>
    <w:rsid w:val="00D536E3"/>
    <w:rsid w:val="00D54507"/>
    <w:rsid w:val="00D56D4E"/>
    <w:rsid w:val="00D627C1"/>
    <w:rsid w:val="00D736F0"/>
    <w:rsid w:val="00D767EA"/>
    <w:rsid w:val="00D82483"/>
    <w:rsid w:val="00D83A57"/>
    <w:rsid w:val="00D867AF"/>
    <w:rsid w:val="00D872F8"/>
    <w:rsid w:val="00D93128"/>
    <w:rsid w:val="00D93470"/>
    <w:rsid w:val="00D96B8F"/>
    <w:rsid w:val="00D97525"/>
    <w:rsid w:val="00DA1A5C"/>
    <w:rsid w:val="00DA31DC"/>
    <w:rsid w:val="00DA4550"/>
    <w:rsid w:val="00DB1804"/>
    <w:rsid w:val="00DB3C73"/>
    <w:rsid w:val="00DB5AF7"/>
    <w:rsid w:val="00DC1E3B"/>
    <w:rsid w:val="00DC26C4"/>
    <w:rsid w:val="00DC33F4"/>
    <w:rsid w:val="00DD00CA"/>
    <w:rsid w:val="00DD3A78"/>
    <w:rsid w:val="00DE6688"/>
    <w:rsid w:val="00DE6E1C"/>
    <w:rsid w:val="00DE6E50"/>
    <w:rsid w:val="00DE6F9B"/>
    <w:rsid w:val="00DF0786"/>
    <w:rsid w:val="00DF6041"/>
    <w:rsid w:val="00DF682B"/>
    <w:rsid w:val="00E01918"/>
    <w:rsid w:val="00E02D8B"/>
    <w:rsid w:val="00E12339"/>
    <w:rsid w:val="00E129C4"/>
    <w:rsid w:val="00E13246"/>
    <w:rsid w:val="00E15AA1"/>
    <w:rsid w:val="00E20E51"/>
    <w:rsid w:val="00E27484"/>
    <w:rsid w:val="00E31A71"/>
    <w:rsid w:val="00E33DC5"/>
    <w:rsid w:val="00E34311"/>
    <w:rsid w:val="00E350BE"/>
    <w:rsid w:val="00E43A1C"/>
    <w:rsid w:val="00E46A45"/>
    <w:rsid w:val="00E5090A"/>
    <w:rsid w:val="00E53864"/>
    <w:rsid w:val="00E53CC3"/>
    <w:rsid w:val="00E54BAF"/>
    <w:rsid w:val="00E57C7E"/>
    <w:rsid w:val="00E61173"/>
    <w:rsid w:val="00E61FFF"/>
    <w:rsid w:val="00E64102"/>
    <w:rsid w:val="00E70D60"/>
    <w:rsid w:val="00E74C4A"/>
    <w:rsid w:val="00E77864"/>
    <w:rsid w:val="00E86A1F"/>
    <w:rsid w:val="00E86C4C"/>
    <w:rsid w:val="00E909FE"/>
    <w:rsid w:val="00E90E21"/>
    <w:rsid w:val="00E923F8"/>
    <w:rsid w:val="00E936DD"/>
    <w:rsid w:val="00E93B93"/>
    <w:rsid w:val="00E968C7"/>
    <w:rsid w:val="00EA2E59"/>
    <w:rsid w:val="00EA4FB9"/>
    <w:rsid w:val="00EA6E14"/>
    <w:rsid w:val="00EB3D70"/>
    <w:rsid w:val="00EC1D0F"/>
    <w:rsid w:val="00EC7D65"/>
    <w:rsid w:val="00ED0D98"/>
    <w:rsid w:val="00ED1444"/>
    <w:rsid w:val="00ED4056"/>
    <w:rsid w:val="00ED441B"/>
    <w:rsid w:val="00ED54EC"/>
    <w:rsid w:val="00ED7CF4"/>
    <w:rsid w:val="00EE06A7"/>
    <w:rsid w:val="00EE314C"/>
    <w:rsid w:val="00EE5B4C"/>
    <w:rsid w:val="00EF44D3"/>
    <w:rsid w:val="00EF6A2B"/>
    <w:rsid w:val="00EF77CD"/>
    <w:rsid w:val="00F03643"/>
    <w:rsid w:val="00F03D6B"/>
    <w:rsid w:val="00F12864"/>
    <w:rsid w:val="00F227BA"/>
    <w:rsid w:val="00F37F60"/>
    <w:rsid w:val="00F45F2B"/>
    <w:rsid w:val="00F50489"/>
    <w:rsid w:val="00F50E4D"/>
    <w:rsid w:val="00F517F5"/>
    <w:rsid w:val="00F56BB8"/>
    <w:rsid w:val="00F63C8C"/>
    <w:rsid w:val="00F649EC"/>
    <w:rsid w:val="00F65E61"/>
    <w:rsid w:val="00F845AA"/>
    <w:rsid w:val="00F86497"/>
    <w:rsid w:val="00F86A79"/>
    <w:rsid w:val="00F86A89"/>
    <w:rsid w:val="00F903A6"/>
    <w:rsid w:val="00FA082B"/>
    <w:rsid w:val="00FA13F9"/>
    <w:rsid w:val="00FA25F9"/>
    <w:rsid w:val="00FA2C90"/>
    <w:rsid w:val="00FA6480"/>
    <w:rsid w:val="00FA67D5"/>
    <w:rsid w:val="00FA7A31"/>
    <w:rsid w:val="00FA7FA2"/>
    <w:rsid w:val="00FB0925"/>
    <w:rsid w:val="00FB0F98"/>
    <w:rsid w:val="00FC1162"/>
    <w:rsid w:val="00FC140B"/>
    <w:rsid w:val="00FC2218"/>
    <w:rsid w:val="00FC3D61"/>
    <w:rsid w:val="00FC6F54"/>
    <w:rsid w:val="00FD0BB2"/>
    <w:rsid w:val="00FD5E06"/>
    <w:rsid w:val="00FD646F"/>
    <w:rsid w:val="00FD6EE4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44EE6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aliases w:val="Char,Diagrama,Char Diagrama Diagrama,Diagrama Diagrama Diagrama,En-tête-1,En-tête-2,hd,Header 2,EY 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Char Diagrama Diagrama Diagrama,Diagrama Diagrama Diagrama Diagrama,En-tête-1 Diagrama,En-tête-2 Diagrama,hd Diagrama,Header 2 Diagrama,EY Header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93BE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93BEE"/>
    <w:rPr>
      <w:sz w:val="24"/>
      <w:szCs w:val="24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44EE6"/>
    <w:rPr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D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6891-43B9-47B1-A387-DC7266DF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3403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2024-12-19T08:36:00Z</dcterms:created>
  <dcterms:modified xsi:type="dcterms:W3CDTF">2024-12-19T08:36:00Z</dcterms:modified>
</cp:coreProperties>
</file>