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4A9E3D" w14:textId="77777777" w:rsidR="00A2250B" w:rsidRDefault="00F30E37">
      <w:pPr>
        <w:jc w:val="center"/>
        <w:rPr>
          <w:szCs w:val="24"/>
        </w:rPr>
      </w:pPr>
      <w:r>
        <w:rPr>
          <w:noProof/>
        </w:rPr>
        <w:drawing>
          <wp:inline distT="0" distB="0" distL="0" distR="0" wp14:anchorId="2074906B" wp14:editId="32D50D66">
            <wp:extent cx="495300" cy="600075"/>
            <wp:effectExtent l="0" t="0" r="0" b="0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55DEF" w14:textId="77777777" w:rsidR="00A2250B" w:rsidRDefault="00A2250B">
      <w:pPr>
        <w:jc w:val="center"/>
        <w:rPr>
          <w:szCs w:val="24"/>
        </w:rPr>
      </w:pPr>
    </w:p>
    <w:p w14:paraId="3F115026" w14:textId="77777777" w:rsidR="00A2250B" w:rsidRDefault="00F30E37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163C8FBC" w14:textId="77777777" w:rsidR="00A2250B" w:rsidRDefault="00A2250B">
      <w:pPr>
        <w:keepNext/>
        <w:jc w:val="center"/>
        <w:outlineLvl w:val="1"/>
      </w:pPr>
    </w:p>
    <w:p w14:paraId="2C62CF2D" w14:textId="77777777" w:rsidR="00A2250B" w:rsidRDefault="00A2250B">
      <w:pPr>
        <w:keepNext/>
        <w:jc w:val="center"/>
        <w:outlineLvl w:val="1"/>
      </w:pPr>
    </w:p>
    <w:p w14:paraId="65B2CDCF" w14:textId="77777777" w:rsidR="00A2250B" w:rsidRDefault="00F30E37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78E5D96" w14:textId="77777777" w:rsidR="00A2250B" w:rsidRDefault="00F30E37">
      <w:pPr>
        <w:pStyle w:val="Antrat1"/>
      </w:pPr>
      <w:bookmarkStart w:id="0" w:name="_Hlk128745853"/>
      <w:r>
        <w:rPr>
          <w:bCs/>
        </w:rPr>
        <w:t xml:space="preserve">DĖL ŽEMĖS SKLYPO </w:t>
      </w:r>
      <w:r>
        <w:t xml:space="preserve">(KADASTRO NR. 2701/0010:144), ESANČIO PANEVĖŽYJE, J. JANONIO G. 1, </w:t>
      </w:r>
      <w:r>
        <w:rPr>
          <w:bCs/>
        </w:rPr>
        <w:t>DALI</w:t>
      </w:r>
      <w:bookmarkEnd w:id="0"/>
      <w:r>
        <w:rPr>
          <w:bCs/>
        </w:rPr>
        <w:t xml:space="preserve">ES DYDŽIO NUSTATYMO </w:t>
      </w:r>
      <w:r>
        <w:t>IR ŠIOS ŽEMĖS SKLYPO DALIES NUOMOS</w:t>
      </w:r>
    </w:p>
    <w:p w14:paraId="2D67AAA3" w14:textId="77777777" w:rsidR="00A2250B" w:rsidRDefault="00A2250B">
      <w:pPr>
        <w:pStyle w:val="Antrat1"/>
      </w:pPr>
    </w:p>
    <w:p w14:paraId="7D09F2CC" w14:textId="77777777" w:rsidR="00A2250B" w:rsidRDefault="00F30E37">
      <w:pPr>
        <w:jc w:val="center"/>
      </w:pPr>
      <w:r>
        <w:fldChar w:fldCharType="begin">
          <w:ffData>
            <w:name w:val="registravimoDataIlga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Style w:val="Style3"/>
        </w:rPr>
        <w:t>     </w:t>
      </w:r>
      <w:r>
        <w:fldChar w:fldCharType="end"/>
      </w:r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</w:p>
    <w:p w14:paraId="01B4762C" w14:textId="77777777" w:rsidR="00A2250B" w:rsidRDefault="00F30E37">
      <w:pPr>
        <w:keepNext/>
        <w:jc w:val="center"/>
        <w:outlineLvl w:val="2"/>
        <w:rPr>
          <w:b/>
        </w:rPr>
      </w:pPr>
      <w:r>
        <w:t>Panevėžys</w:t>
      </w:r>
    </w:p>
    <w:p w14:paraId="0326256B" w14:textId="77777777" w:rsidR="00A2250B" w:rsidRDefault="00A2250B">
      <w:pPr>
        <w:jc w:val="center"/>
      </w:pPr>
    </w:p>
    <w:p w14:paraId="69762C86" w14:textId="77777777" w:rsidR="00A2250B" w:rsidRDefault="00A2250B">
      <w:pPr>
        <w:jc w:val="center"/>
      </w:pPr>
    </w:p>
    <w:p w14:paraId="7596F96C" w14:textId="5D6B561A" w:rsidR="00A2250B" w:rsidRDefault="00F30E37" w:rsidP="00DB1220">
      <w:pPr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t xml:space="preserve">Vadovaudamasi Lietuvos Respublikos vietos savivaldos įstatymo 15 straipsnio 2 dalies 20 punktu, Lietuvos Respublikos žemės įstatymo 7 straipsnio 1 dalies 2 punktu, </w:t>
      </w:r>
      <w:bookmarkStart w:id="1" w:name="_Hlk145022277"/>
      <w:r>
        <w:rPr>
          <w:szCs w:val="24"/>
        </w:rPr>
        <w:t>9 straipsnio 1 dalies 1 punktu, 6 dalies 1 punktu, Kitos paskirties valstybinės žemės sklypų pardavimo ir nuomos taisyklių, patvirtintų Lietuvos Respublikos Vyriausybės 1999 m. kovo 9 d. nutarimu Nr. 260 „Dėl Kitos paskirties valstybinės žemės sklypų pardavimo ir nuomos taisyklių patvirtinimo“, 2, 13, 35, 36, 44</w:t>
      </w:r>
      <w:r>
        <w:rPr>
          <w:szCs w:val="24"/>
          <w:vertAlign w:val="superscript"/>
        </w:rPr>
        <w:t xml:space="preserve"> </w:t>
      </w:r>
      <w:r>
        <w:rPr>
          <w:szCs w:val="24"/>
        </w:rPr>
        <w:t>punktais</w:t>
      </w:r>
      <w:bookmarkEnd w:id="1"/>
      <w:r>
        <w:rPr>
          <w:szCs w:val="24"/>
        </w:rPr>
        <w:t xml:space="preserve">, Pastatų, statinių, įrenginių, pastatytų iki 1996 m. sausio 1 d., saugaus naudojimo termino nustatymo tvarka, patvirtinta Lietuvos Respublikos aplinkos ministro 2003 m. gegužės 19 d. įsakymu Nr. 237 „Dėl Pastatų, statinių, įrenginių, pastatytų iki 1996 m. sausio 1 d., saugaus naudojimo termino nustatymo tvarkos patvirtinimo“, statybos techninio reglamento STR 1.12.06:2002 „Statinio naudojimo paskirtis ir gyvavimo trukmė“, patvirtinto Lietuvos Respublikos aplinkos ministro 2002 m. spalio 30 d. įsakymu Nr. 565 „Dėl statybos techninio reglamento STR 1.12.06:2002 „Statinio naudojimo paskirtis ir gyvavimo trukmė“ patvirtinimo“, priedo „Statinio gyvavimo trukmė priklausomai nuo statinio naudojimo paskirties ir statybos produktų, iš kurių jis pastatytas“ 18.1 papunkčiu, atsižvelgdama į UAB „Dominati“ 2024 m. lapkričio 24 d. prašymą ir Nacionalinės žemės tarnybos prie Aplinkos ministerijos 2025 m. kovo 24 d. išvadą Nr. </w:t>
      </w:r>
      <w:r w:rsidRPr="00DB1220">
        <w:rPr>
          <w:szCs w:val="24"/>
        </w:rPr>
        <w:t>1SD-33327-(8.5 E.)</w:t>
      </w:r>
      <w:r>
        <w:rPr>
          <w:szCs w:val="24"/>
        </w:rPr>
        <w:t xml:space="preserve"> „</w:t>
      </w:r>
      <w:r w:rsidRPr="00DB1220">
        <w:rPr>
          <w:szCs w:val="24"/>
        </w:rPr>
        <w:t>Dėl valstybinės žemės nuomos sutarties</w:t>
      </w:r>
      <w:r>
        <w:rPr>
          <w:szCs w:val="24"/>
        </w:rPr>
        <w:t xml:space="preserve"> </w:t>
      </w:r>
      <w:r w:rsidRPr="00DB1220">
        <w:rPr>
          <w:szCs w:val="24"/>
        </w:rPr>
        <w:t>projekto atitikties teisės aktų reikalavimams</w:t>
      </w:r>
      <w:r>
        <w:rPr>
          <w:szCs w:val="24"/>
        </w:rPr>
        <w:t xml:space="preserve">“, Panevėžio miesto savivaldybės taryba n u s p r e n d ž i a: </w:t>
      </w:r>
      <w:bookmarkStart w:id="2" w:name="_Hlk159942987"/>
      <w:bookmarkStart w:id="3" w:name="_Hlk159943594"/>
    </w:p>
    <w:p w14:paraId="3BEB9A3F" w14:textId="77777777" w:rsidR="00A2250B" w:rsidRDefault="00F30E37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>Nustatyti pastatui – transformatorinei (unikalus Nr. 2796-4009-6210) eksploatuoti reikalingą 6,2974 ha žemės sklypo (kadastro Nr. 2701/0010:144), esančio Panevėžyje, J. Janonio g. 1, dalies dydį – 0,0512 ha.</w:t>
      </w:r>
    </w:p>
    <w:p w14:paraId="58894005" w14:textId="77777777" w:rsidR="00A2250B" w:rsidRDefault="00F30E37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 xml:space="preserve">Išnuomoti UAB „Dominati“ šio sprendimo 1 punkte nurodytą žemės sklypo dalį pagal valstybinės žemės nuomos sutarties projektą (priedas), kuris yra neatskiriamoji šio sprendimo dalis. </w:t>
      </w:r>
    </w:p>
    <w:p w14:paraId="2469F78E" w14:textId="77777777" w:rsidR="00A2250B" w:rsidRDefault="00F30E37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>
        <w:rPr>
          <w:bCs/>
          <w:szCs w:val="24"/>
        </w:rPr>
        <w:lastRenderedPageBreak/>
        <w:t>Nustatyti, kad šio sprendimo 1 punkte nurodyta valstybinės žemės sklypo dalis išnuomojama 2 metams. Nuomos terminas nustatytas atsižvelgiant į valstybės interesus pagal žemės sklype esančių statinių ekonomiškai pagrįstą naudojimo trukmę ir nusidėvėjimo duomenis.</w:t>
      </w:r>
      <w:bookmarkEnd w:id="2"/>
      <w:bookmarkEnd w:id="3"/>
    </w:p>
    <w:p w14:paraId="104AC01B" w14:textId="77777777" w:rsidR="00A2250B" w:rsidRDefault="00F30E37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>Nurodyti, kad sprendimas per vieną mėnesį gali būti skundžiamas Panevėžio apylinkės teismo Panevėžio rūmams (Laisvės a. 17, 35200 Panevėžys), Lietuvos Respublikos civilinio proceso kodekso nustatyta tvarka.</w:t>
      </w:r>
    </w:p>
    <w:p w14:paraId="27B2BCC9" w14:textId="77777777" w:rsidR="00A2250B" w:rsidRDefault="00A2250B">
      <w:pPr>
        <w:ind w:firstLine="840"/>
        <w:jc w:val="both"/>
        <w:rPr>
          <w:bCs/>
          <w:szCs w:val="24"/>
        </w:rPr>
      </w:pPr>
    </w:p>
    <w:p w14:paraId="0F014516" w14:textId="77777777" w:rsidR="00A2250B" w:rsidRDefault="00A2250B">
      <w:pPr>
        <w:ind w:firstLine="840"/>
        <w:jc w:val="both"/>
        <w:rPr>
          <w:bCs/>
          <w:szCs w:val="24"/>
        </w:rPr>
      </w:pPr>
    </w:p>
    <w:p w14:paraId="3A386482" w14:textId="6C44180A" w:rsidR="00A2250B" w:rsidRDefault="00F30E37">
      <w:pPr>
        <w:jc w:val="both"/>
        <w:rPr>
          <w:bCs/>
          <w:szCs w:val="24"/>
        </w:rPr>
      </w:pPr>
      <w:r>
        <w:rPr>
          <w:bCs/>
          <w:szCs w:val="24"/>
        </w:rPr>
        <w:t>Mero pareigas laikinai einantis Savivaldybės tarybos narys                                  Petras Luomanas</w:t>
      </w:r>
    </w:p>
    <w:sectPr w:rsidR="00A2250B">
      <w:headerReference w:type="default" r:id="rId8"/>
      <w:footerReference w:type="default" r:id="rId9"/>
      <w:footerReference w:type="first" r:id="rId10"/>
      <w:pgSz w:w="11906" w:h="16838"/>
      <w:pgMar w:top="1134" w:right="567" w:bottom="1134" w:left="1701" w:header="0" w:footer="0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23C748" w14:textId="77777777" w:rsidR="000A41B7" w:rsidRDefault="000A41B7">
      <w:r>
        <w:separator/>
      </w:r>
    </w:p>
  </w:endnote>
  <w:endnote w:type="continuationSeparator" w:id="0">
    <w:p w14:paraId="0EA51BDD" w14:textId="77777777" w:rsidR="000A41B7" w:rsidRDefault="000A4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TimesLT">
    <w:altName w:val="Times New Roman"/>
    <w:charset w:val="01"/>
    <w:family w:val="roman"/>
    <w:pitch w:val="variable"/>
  </w:font>
  <w:font w:name="HelveticaLT">
    <w:altName w:val="Arial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14FAA7" w14:textId="77777777" w:rsidR="00A2250B" w:rsidRDefault="00F30E37">
    <w:pPr>
      <w:tabs>
        <w:tab w:val="left" w:pos="8445"/>
      </w:tabs>
    </w:pPr>
    <w:r>
      <w:tab/>
    </w:r>
  </w:p>
  <w:p w14:paraId="51E0B521" w14:textId="77777777" w:rsidR="00A2250B" w:rsidRDefault="00A2250B"/>
  <w:p w14:paraId="3491925F" w14:textId="77777777" w:rsidR="00A2250B" w:rsidRDefault="00A2250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B3F3D" w14:textId="77777777" w:rsidR="00A2250B" w:rsidRDefault="00A2250B">
    <w:pPr>
      <w:pStyle w:val="Porat"/>
    </w:pPr>
  </w:p>
  <w:p w14:paraId="09D5CAC0" w14:textId="77777777" w:rsidR="00A2250B" w:rsidRDefault="00A2250B">
    <w:pPr>
      <w:pStyle w:val="Porat"/>
    </w:pPr>
  </w:p>
  <w:p w14:paraId="69CFD514" w14:textId="77777777" w:rsidR="00A2250B" w:rsidRDefault="00A2250B">
    <w:pPr>
      <w:pStyle w:val="Porat"/>
    </w:pPr>
  </w:p>
  <w:p w14:paraId="652E5C58" w14:textId="77777777" w:rsidR="00A2250B" w:rsidRDefault="00A2250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35EA7C" w14:textId="77777777" w:rsidR="000A41B7" w:rsidRDefault="000A41B7">
      <w:r>
        <w:separator/>
      </w:r>
    </w:p>
  </w:footnote>
  <w:footnote w:type="continuationSeparator" w:id="0">
    <w:p w14:paraId="24A24801" w14:textId="77777777" w:rsidR="000A41B7" w:rsidRDefault="000A4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64B46E" w14:textId="77777777" w:rsidR="00A2250B" w:rsidRDefault="00A2250B">
    <w:pPr>
      <w:pStyle w:val="Antrats"/>
      <w:jc w:val="center"/>
    </w:pPr>
  </w:p>
  <w:p w14:paraId="776A99A7" w14:textId="77777777" w:rsidR="00A2250B" w:rsidRDefault="00A2250B">
    <w:pPr>
      <w:pStyle w:val="Antrats"/>
      <w:jc w:val="center"/>
    </w:pPr>
  </w:p>
  <w:p w14:paraId="4F9596A0" w14:textId="77777777" w:rsidR="00A2250B" w:rsidRDefault="00F30E37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38C054D0" w14:textId="77777777" w:rsidR="00A2250B" w:rsidRDefault="00A2250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181FFC"/>
    <w:multiLevelType w:val="multilevel"/>
    <w:tmpl w:val="9634CD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70D593F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1398281825">
    <w:abstractNumId w:val="1"/>
  </w:num>
  <w:num w:numId="2" w16cid:durableId="765229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50B"/>
    <w:rsid w:val="000A41B7"/>
    <w:rsid w:val="00104D24"/>
    <w:rsid w:val="00217768"/>
    <w:rsid w:val="00301BD1"/>
    <w:rsid w:val="003B408C"/>
    <w:rsid w:val="003D47D6"/>
    <w:rsid w:val="006E7078"/>
    <w:rsid w:val="00A2250B"/>
    <w:rsid w:val="00AA6E73"/>
    <w:rsid w:val="00D82CCA"/>
    <w:rsid w:val="00DB1220"/>
    <w:rsid w:val="00DC6CD9"/>
    <w:rsid w:val="00F3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31360"/>
  <w15:docId w15:val="{6B22A7DC-D9F2-4D6B-A19E-F8714ED51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qFormat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qFormat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qFormat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qFormat/>
    <w:locked/>
    <w:rsid w:val="00BB130F"/>
    <w:rPr>
      <w:rFonts w:ascii="Calibri" w:hAnsi="Calibri"/>
      <w:i/>
      <w:sz w:val="24"/>
      <w:lang w:eastAsia="en-US"/>
    </w:rPr>
  </w:style>
  <w:style w:type="character" w:customStyle="1" w:styleId="HeaderChar">
    <w:name w:val="Header Char"/>
    <w:basedOn w:val="Numatytasispastraiposriftas"/>
    <w:uiPriority w:val="99"/>
    <w:semiHidden/>
    <w:qFormat/>
    <w:locked/>
    <w:rsid w:val="00BB130F"/>
    <w:rPr>
      <w:sz w:val="20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qFormat/>
    <w:locked/>
    <w:rsid w:val="00BB130F"/>
    <w:rPr>
      <w:sz w:val="20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qFormat/>
    <w:locked/>
    <w:rsid w:val="00BB6886"/>
    <w:rPr>
      <w:sz w:val="24"/>
      <w:lang w:eastAsia="en-US"/>
    </w:rPr>
  </w:style>
  <w:style w:type="character" w:customStyle="1" w:styleId="BodyText2Char">
    <w:name w:val="Body Text 2 Char"/>
    <w:basedOn w:val="Numatytasispastraiposriftas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qFormat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qFormat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qFormat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qFormat/>
    <w:locked/>
    <w:rsid w:val="007A38DC"/>
    <w:rPr>
      <w:rFonts w:ascii="Calibri" w:hAnsi="Calibri"/>
      <w:i/>
      <w:sz w:val="24"/>
      <w:lang w:eastAsia="en-US"/>
    </w:rPr>
  </w:style>
  <w:style w:type="character" w:customStyle="1" w:styleId="BodyTextIndentChar">
    <w:name w:val="Body Text Indent Char"/>
    <w:basedOn w:val="Numatytasispastraiposriftas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qFormat/>
    <w:locked/>
    <w:rsid w:val="007A38DC"/>
    <w:rPr>
      <w:sz w:val="24"/>
      <w:lang w:eastAsia="en-US"/>
    </w:rPr>
  </w:style>
  <w:style w:type="character" w:customStyle="1" w:styleId="FontStyle13">
    <w:name w:val="Font Style13"/>
    <w:uiPriority w:val="99"/>
    <w:qFormat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qFormat/>
    <w:rsid w:val="003E58F0"/>
    <w:rPr>
      <w:rFonts w:ascii="Times New Roman" w:hAnsi="Times New Roman"/>
      <w:sz w:val="24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roid Sans Devanagari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paragraph" w:styleId="Sraas">
    <w:name w:val="List"/>
    <w:basedOn w:val="Pagrindinistekstas"/>
    <w:rPr>
      <w:rFonts w:cs="Droid Sans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Droid Sans Devanagari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Droid Sans Devanagari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qFormat/>
    <w:rsid w:val="00421D43"/>
    <w:rPr>
      <w:sz w:val="2"/>
    </w:rPr>
  </w:style>
  <w:style w:type="paragraph" w:styleId="Pagrindinistekstas2">
    <w:name w:val="Body Text 2"/>
    <w:basedOn w:val="prastasis"/>
    <w:link w:val="Pagrindinistekstas2Diagrama"/>
    <w:uiPriority w:val="99"/>
    <w:qFormat/>
    <w:rsid w:val="00E874D4"/>
    <w:pPr>
      <w:spacing w:after="120" w:line="480" w:lineRule="auto"/>
    </w:p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paragraph" w:customStyle="1" w:styleId="bodytext">
    <w:name w:val="bodytext"/>
    <w:basedOn w:val="prastasis"/>
    <w:uiPriority w:val="99"/>
    <w:qFormat/>
    <w:rsid w:val="007A38DC"/>
    <w:pPr>
      <w:ind w:firstLine="312"/>
      <w:jc w:val="both"/>
    </w:pPr>
    <w:rPr>
      <w:rFonts w:ascii="TimesLT" w:hAnsi="TimesLT"/>
      <w:sz w:val="20"/>
      <w:lang w:eastAsia="lt-LT"/>
    </w:rPr>
  </w:style>
  <w:style w:type="paragraph" w:styleId="Sraopastraipa">
    <w:name w:val="List Paragraph"/>
    <w:basedOn w:val="prastasis"/>
    <w:uiPriority w:val="34"/>
    <w:qFormat/>
    <w:rsid w:val="007C05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1785</Words>
  <Characters>1019</Characters>
  <Application>Microsoft Office Word</Application>
  <DocSecurity>4</DocSecurity>
  <Lines>8</Lines>
  <Paragraphs>5</Paragraphs>
  <ScaleCrop>false</ScaleCrop>
  <Company>PMS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2025-03-25T11:08:00Z</dcterms:created>
  <dcterms:modified xsi:type="dcterms:W3CDTF">2025-03-25T11:08:00Z</dcterms:modified>
  <dc:language>en-US</dc:language>
</cp:coreProperties>
</file>