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B80C5" w14:textId="77777777" w:rsidR="00EB3014" w:rsidRPr="00EB3014" w:rsidRDefault="00EB3014" w:rsidP="00EB30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AIŠKINAMASIS RAŠTAS</w:t>
      </w:r>
    </w:p>
    <w:p w14:paraId="7A07C3FA" w14:textId="77777777" w:rsidR="00EB3014" w:rsidRPr="00EB3014" w:rsidRDefault="00EB3014" w:rsidP="00EB30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6F659CA" w14:textId="53B95F22" w:rsidR="00EB3014" w:rsidRPr="00EB3014" w:rsidRDefault="00EB3014" w:rsidP="00EB30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EB301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DĖL PANEVĖŽIO MIESTO SAVIVALDYBĖS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</w:t>
      </w:r>
      <w:r w:rsidRPr="00EB301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METŲ ATASKAITŲ RINKINIO PATVIRTINIMO</w:t>
      </w:r>
    </w:p>
    <w:p w14:paraId="03DF6517" w14:textId="45F187C6" w:rsidR="00EB3014" w:rsidRPr="00EB3014" w:rsidRDefault="00EB3014" w:rsidP="00EB3014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2024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balandžio 29</w:t>
      </w: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</w:t>
      </w:r>
    </w:p>
    <w:p w14:paraId="2C35DA81" w14:textId="77777777" w:rsidR="00EB3014" w:rsidRPr="00EB3014" w:rsidRDefault="00EB3014" w:rsidP="00EB3014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90C54B7" w14:textId="3E102295" w:rsidR="00EB3014" w:rsidRPr="00EB3014" w:rsidRDefault="00EB3014" w:rsidP="00EB3014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Sprendimo projekto tikslai ir uždaviniai: </w:t>
      </w:r>
      <w:r w:rsidRPr="00EB3014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 xml:space="preserve">Sprendimo projekto tikslas – įgyvendinti Lietuvos Respublikos vietos savivaldos įstatymo nuostatą. Uždavinys - patvirtinti Panevėžio miesto savivaldybės </w:t>
      </w:r>
      <w:r w:rsidRPr="00EB3014">
        <w:rPr>
          <w:rFonts w:ascii="Times New Roman" w:eastAsia="Times New Roman" w:hAnsi="Times New Roman" w:cs="Calibri"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>202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>4</w:t>
      </w:r>
      <w:r w:rsidRPr="00EB3014">
        <w:rPr>
          <w:rFonts w:ascii="Times New Roman" w:eastAsia="Times New Roman" w:hAnsi="Times New Roman" w:cs="Calibri"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metų ataskaitų rinkinį. </w:t>
      </w:r>
    </w:p>
    <w:p w14:paraId="591ABFC1" w14:textId="321E3EC0" w:rsidR="00EB3014" w:rsidRPr="00EB3014" w:rsidRDefault="00EB3014" w:rsidP="00EB3014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Siūlomos teisinio reguliavimo nuostatos, laukiami rezultatai: </w:t>
      </w:r>
      <w:r w:rsidRPr="00EB3014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Nuostatos</w:t>
      </w:r>
      <w:r w:rsidRPr="00EB3014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 - </w:t>
      </w:r>
      <w:r w:rsidRPr="00EB3014">
        <w:rPr>
          <w:rFonts w:ascii="Times New Roman" w:eastAsia="Times New Roman" w:hAnsi="Times New Roman" w:cs="Calibri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Lietuvos Respublikos vietos savivaldos įstatymo 15 straipsnio 2 dalies 12 </w:t>
      </w:r>
      <w:r w:rsidRPr="00EB3014"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  <w:t xml:space="preserve">punkte nurodoma, kad Savivaldybės </w:t>
      </w:r>
      <w:r w:rsidRPr="00EB3014">
        <w:rPr>
          <w:rFonts w:ascii="Times New Roman" w:eastAsia="Times New Roman" w:hAnsi="Times New Roman" w:cs="Calibri"/>
          <w:kern w:val="0"/>
          <w:sz w:val="24"/>
          <w:szCs w:val="24"/>
          <w:lang w:eastAsia="lt-LT"/>
          <w14:ligatures w14:val="none"/>
        </w:rPr>
        <w:t xml:space="preserve">taryba </w:t>
      </w:r>
      <w:r w:rsidRPr="00EB3014"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  <w:t xml:space="preserve">tvirtina Savivaldybės metinių ataskaitų rinkinį. </w:t>
      </w:r>
      <w:r w:rsidRPr="00EB3014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Rinkinys parengtas vadovaujantis </w:t>
      </w:r>
      <w:r w:rsidRPr="00EB3014">
        <w:rPr>
          <w:rFonts w:ascii="Times New Roman" w:eastAsia="Times New Roman" w:hAnsi="Times New Roman" w:cs="Calibri"/>
          <w:color w:val="000000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Lietuvos Respublikos viešojo sektoriaus atskaitomybės įstatymo 6 straipsnio 1 dalyje nustatyta tvarka ir pateiktas šio Įstatymo priede nustatytais terminais. </w:t>
      </w:r>
      <w:r w:rsidRPr="00EB3014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lt-LT"/>
          <w14:ligatures w14:val="none"/>
        </w:rPr>
        <w:t xml:space="preserve">Laukiami rezultatai – Savivaldybės tarybos </w:t>
      </w:r>
      <w:r w:rsidRPr="00EB3014">
        <w:rPr>
          <w:rFonts w:ascii="Times New Roman" w:eastAsia="Times New Roman" w:hAnsi="Times New Roman" w:cs="Calibri"/>
          <w:bCs/>
          <w:kern w:val="0"/>
          <w:sz w:val="24"/>
          <w:szCs w:val="24"/>
          <w:lang w:eastAsia="lt-LT"/>
          <w14:ligatures w14:val="none"/>
        </w:rPr>
        <w:t>patvirtintas Panevėžio miesto savivaldybės</w:t>
      </w:r>
      <w:r w:rsidRPr="00EB3014">
        <w:rPr>
          <w:rFonts w:ascii="Times New Roman" w:eastAsia="Times New Roman" w:hAnsi="Times New Roman" w:cs="Calibri"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 202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>4</w:t>
      </w:r>
      <w:r w:rsidRPr="00EB3014">
        <w:rPr>
          <w:rFonts w:ascii="Times New Roman" w:eastAsia="Times New Roman" w:hAnsi="Times New Roman" w:cs="Calibri"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metų ataskaitų rinkinys, įgyvendintos teisinio reguliavimo nuostatos.</w:t>
      </w:r>
    </w:p>
    <w:p w14:paraId="723B2FB1" w14:textId="77777777" w:rsidR="00EB3014" w:rsidRPr="00EB3014" w:rsidRDefault="00EB3014" w:rsidP="00EB3014">
      <w:pPr>
        <w:numPr>
          <w:ilvl w:val="0"/>
          <w:numId w:val="1"/>
        </w:numPr>
        <w:tabs>
          <w:tab w:val="left" w:pos="589"/>
        </w:tabs>
        <w:spacing w:line="360" w:lineRule="auto"/>
        <w:contextualSpacing/>
        <w:jc w:val="both"/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>Lėšų poreikis ir šaltiniai:  š</w:t>
      </w:r>
      <w:r w:rsidRPr="00EB3014">
        <w:rPr>
          <w:rFonts w:ascii="Times New Roman" w:eastAsia="Times New Roman" w:hAnsi="Times New Roman" w:cs="Calibri"/>
          <w:kern w:val="0"/>
          <w:sz w:val="24"/>
          <w:szCs w:val="24"/>
          <w:lang w:eastAsia="lt-LT"/>
          <w14:ligatures w14:val="none"/>
        </w:rPr>
        <w:t xml:space="preserve">iam Tarybos sprendimui </w:t>
      </w:r>
      <w:r w:rsidRPr="00EB3014">
        <w:rPr>
          <w:rFonts w:ascii="Times New Roman" w:eastAsia="Calibri" w:hAnsi="Times New Roman" w:cs="Calibri"/>
          <w:kern w:val="0"/>
          <w:sz w:val="24"/>
          <w:szCs w:val="24"/>
          <w:shd w:val="clear" w:color="auto" w:fill="FFFFFF"/>
          <w14:ligatures w14:val="none"/>
        </w:rPr>
        <w:t xml:space="preserve"> įgyvendinti lėšų nereikia. </w:t>
      </w:r>
    </w:p>
    <w:p w14:paraId="63A19EAC" w14:textId="77777777" w:rsidR="00EB3014" w:rsidRPr="00EB3014" w:rsidRDefault="00EB3014" w:rsidP="00EB301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Calibri"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  <w:t xml:space="preserve">Sprendimui priimti reikalingi pagrindimai, skaičiavimai ar paaiškinimai: </w:t>
      </w:r>
    </w:p>
    <w:p w14:paraId="4A51129D" w14:textId="673729CC" w:rsidR="00EB3014" w:rsidRPr="00EB3014" w:rsidRDefault="00EB3014" w:rsidP="00EB30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Panevėžio miesto savivaldybės</w:t>
      </w:r>
      <w:r w:rsidRPr="00EB301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>4</w:t>
      </w:r>
      <w:r w:rsidRPr="00EB301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metų ataskaitų rinkinys parengtas, kaip vienas </w:t>
      </w:r>
      <w:r w:rsidRPr="00EB30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v</w:t>
      </w: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iešojo sektoriaus subjektų grupės ataskaitų rinkinys. Savivaldybės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metų ataskaitų rinkinį</w:t>
      </w:r>
      <w:r w:rsidRPr="00EB301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sudaro:</w:t>
      </w:r>
    </w:p>
    <w:p w14:paraId="2343DA9E" w14:textId="77777777" w:rsidR="00EB3014" w:rsidRPr="00EB3014" w:rsidRDefault="00EB3014" w:rsidP="00EB30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1) metinė veiklos ataskaita; </w:t>
      </w:r>
      <w:bookmarkStart w:id="0" w:name="part_0b5aba78240c4293adbd89184eb40388"/>
      <w:bookmarkEnd w:id="0"/>
    </w:p>
    <w:p w14:paraId="7D26A11B" w14:textId="77777777" w:rsidR="00EB3014" w:rsidRPr="00EB3014" w:rsidRDefault="00EB3014" w:rsidP="00EB301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2) metinių finansinių ataskaitų rinkinys; </w:t>
      </w:r>
    </w:p>
    <w:p w14:paraId="4DFF9479" w14:textId="77777777" w:rsidR="00EB3014" w:rsidRPr="00EB3014" w:rsidRDefault="00EB3014" w:rsidP="00EB301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3) metinių biudžeto vykdymo ataskaitų rinkinys. </w:t>
      </w:r>
    </w:p>
    <w:p w14:paraId="60EFD5F9" w14:textId="7883F758" w:rsidR="00EB3014" w:rsidRPr="00EB3014" w:rsidRDefault="00EB3014" w:rsidP="00EB3014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Metinėje veiklos ataskaitoje pateikta informacija apie mero veiklos rezultatus,</w:t>
      </w:r>
      <w:r w:rsidRPr="00EB3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regiono plėtros plane nustatytų uždavinių įgyvendinimą. Kartu pateikiama </w:t>
      </w:r>
      <w:r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 w:rsidR="008C51E0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-202</w:t>
      </w:r>
      <w:r w:rsidR="008C51E0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</w:t>
      </w: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strateginio veiklos plano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metų ataskaita, kurioje atsispindi informacija apie metinius veiklos rezultatus, atsižvelgiant į veiklos tikslų pasiekimą, informacija apie atliktus darbus ir kita su metiniais veiklos rezultatais susijusi informacija, leidžianti veiklos rezultatus susieti su įgyvendintomis priemonėmis ir sunaudotais ištekliais.</w:t>
      </w:r>
    </w:p>
    <w:p w14:paraId="6BF0A080" w14:textId="1ACD9E05" w:rsidR="00EB3014" w:rsidRPr="00824D37" w:rsidRDefault="00EB3014" w:rsidP="00EB3014">
      <w:pPr>
        <w:spacing w:after="0" w:line="360" w:lineRule="auto"/>
        <w:ind w:firstLine="1296"/>
        <w:jc w:val="both"/>
        <w:rPr>
          <w:rFonts w:ascii="Calibri" w:eastAsia="Times New Roman" w:hAnsi="Calibri" w:cs="Times New Roman"/>
          <w:kern w:val="0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Metinių finansinių ataskaitų rinkinyje pateikti </w:t>
      </w:r>
      <w:r w:rsidRPr="00EB3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finansiniai duomenys apie finansinę būklę, veiklos rezultatus, pinigų srautus. Visas Panevėžio miesto savivaldybės turtas </w:t>
      </w:r>
      <w:r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2024 metų pabaigoje sudarė </w:t>
      </w:r>
      <w:r w:rsidR="0097760B"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644.644,88 </w:t>
      </w:r>
      <w:r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tūkst. Eur, grynasis turtas – </w:t>
      </w:r>
      <w:r w:rsidR="0097760B"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217.406,78 </w:t>
      </w:r>
      <w:r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tūkst. Eur. Savivaldybės pagrindinės veiklos pajamos per 202</w:t>
      </w:r>
      <w:r w:rsidR="0097760B"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</w:t>
      </w:r>
      <w:r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metus buvo </w:t>
      </w:r>
      <w:r w:rsidR="0097760B"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263.755,95 </w:t>
      </w:r>
      <w:r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tūkst. Eur, sąnaudos – </w:t>
      </w:r>
      <w:r w:rsidR="0097760B"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254.636,52 </w:t>
      </w:r>
      <w:r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tūkst. Eur. Pagrindinės veiklos rezultatas – perviršis </w:t>
      </w:r>
      <w:r w:rsidR="0097760B"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9.119,43 </w:t>
      </w:r>
      <w:r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tūkst. Eur. Įvertinus kitos veiklos, finansinės ir investicinės veiklos rezultatus, nuosavybės metodo įtaką, Savivaldybės grynasis</w:t>
      </w:r>
      <w:r w:rsidRPr="00EB30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lastRenderedPageBreak/>
        <w:t xml:space="preserve">perviršis už 2024 metus buvo </w:t>
      </w:r>
      <w:r w:rsidR="0097760B"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14.552,16 </w:t>
      </w:r>
      <w:r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tūkst. Eur. </w:t>
      </w:r>
      <w:r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Ataskaitinio laikotarpio pabaigoje pinigai ir pinigų ekvivalentai sudarė  </w:t>
      </w:r>
      <w:r w:rsidR="0097760B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21.124,68 </w:t>
      </w:r>
      <w:r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tūkst. Eur.</w:t>
      </w:r>
      <w:r w:rsidRPr="00824D37">
        <w:rPr>
          <w:rFonts w:ascii="Calibri" w:eastAsia="Times New Roman" w:hAnsi="Calibri" w:cs="Times New Roman"/>
          <w:kern w:val="0"/>
          <w:lang w:eastAsia="lt-LT"/>
          <w14:ligatures w14:val="none"/>
        </w:rPr>
        <w:t xml:space="preserve"> </w:t>
      </w:r>
    </w:p>
    <w:p w14:paraId="094A2FB0" w14:textId="6190BDC4" w:rsidR="00EB3014" w:rsidRPr="00EB3014" w:rsidRDefault="00EB3014" w:rsidP="00EB301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824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  <w:t xml:space="preserve">Metinių biudžeto vykdymo ataskaitų rinkinyje pateikti biudžeto pajamų ir išlaidų sąmatos vykdymo duomenys. </w:t>
      </w:r>
      <w:r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2024 metų Savivaldybės biudžeto pajamų planas sudarė </w:t>
      </w:r>
      <w:r w:rsidR="0097760B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182</w:t>
      </w:r>
      <w:r w:rsidR="00CF5939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97760B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160,0</w:t>
      </w:r>
      <w:r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tūkst. Eur, per metus  gauta </w:t>
      </w:r>
      <w:r w:rsidR="0097760B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185</w:t>
      </w:r>
      <w:r w:rsidR="00CF5939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97760B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872,4</w:t>
      </w:r>
      <w:r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tūkst. Eur pajamų, planas įvykdytas 10</w:t>
      </w:r>
      <w:r w:rsidR="0097760B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97760B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</w:t>
      </w:r>
      <w:r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proc. Biudžeto išlaidų planas, įvertinus Savivaldybės 202</w:t>
      </w:r>
      <w:r w:rsidR="008C51E0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nepanaudotų biudžeto lėšų likutį, sudarė </w:t>
      </w:r>
      <w:r w:rsidR="008C51E0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200</w:t>
      </w:r>
      <w:r w:rsidR="00CF5939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8C51E0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106,5 </w:t>
      </w:r>
      <w:r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tūkst. Eur, išleista </w:t>
      </w:r>
      <w:r w:rsidR="008C51E0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182</w:t>
      </w:r>
      <w:r w:rsidR="00CF5939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8C51E0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182,6</w:t>
      </w:r>
      <w:r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tūkst. Eur arba </w:t>
      </w:r>
      <w:r w:rsidR="008C51E0"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91,0</w:t>
      </w:r>
      <w:r w:rsidRPr="00824D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proc.</w:t>
      </w:r>
    </w:p>
    <w:p w14:paraId="7E1416AD" w14:textId="77777777" w:rsidR="00EB3014" w:rsidRPr="00EB3014" w:rsidRDefault="00EB3014" w:rsidP="00EB30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Kieno iniciatyva parengtas sprendimo projektas: </w:t>
      </w: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Sprendimo</w:t>
      </w:r>
      <w:r w:rsidRPr="00EB30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projekto rengėjas Panevėžio miesto savivaldybės administracija. </w:t>
      </w:r>
    </w:p>
    <w:p w14:paraId="63B6DD56" w14:textId="77777777" w:rsidR="00EB3014" w:rsidRPr="00EB3014" w:rsidRDefault="00EB3014" w:rsidP="00EB3014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</w:pPr>
    </w:p>
    <w:p w14:paraId="79561B0F" w14:textId="77777777" w:rsidR="00EB3014" w:rsidRPr="00EB3014" w:rsidRDefault="00EB3014" w:rsidP="00EB3014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</w:pPr>
    </w:p>
    <w:p w14:paraId="77590116" w14:textId="77777777" w:rsidR="00EB3014" w:rsidRPr="00EB3014" w:rsidRDefault="00EB3014" w:rsidP="00EB3014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Calibri"/>
          <w:b/>
          <w:kern w:val="0"/>
          <w:sz w:val="24"/>
          <w:szCs w:val="24"/>
          <w:lang w:eastAsia="lt-LT"/>
          <w14:ligatures w14:val="none"/>
        </w:rPr>
      </w:pPr>
    </w:p>
    <w:p w14:paraId="2C8BA5E6" w14:textId="77777777" w:rsidR="00EB3014" w:rsidRPr="00EB3014" w:rsidRDefault="00EB3014" w:rsidP="00EB3014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Komunikacijų skyriaus vedėja                                                       Rūta Karčiauskienė</w:t>
      </w:r>
    </w:p>
    <w:p w14:paraId="04683A9B" w14:textId="77777777" w:rsidR="00EB3014" w:rsidRPr="00EB3014" w:rsidRDefault="00EB3014" w:rsidP="00EB3014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301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Strateginio planavimo ir finansų skyriaus vedėja                         Audronė Meškauskienė</w:t>
      </w:r>
    </w:p>
    <w:p w14:paraId="2D9CFBD1" w14:textId="77777777" w:rsidR="00EB3014" w:rsidRPr="00EB3014" w:rsidRDefault="00EB3014" w:rsidP="00EB3014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9B2B4CB" w14:textId="77777777" w:rsidR="002A3203" w:rsidRDefault="002A3203"/>
    <w:sectPr w:rsidR="002A32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348215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14"/>
    <w:rsid w:val="00282D62"/>
    <w:rsid w:val="002A3203"/>
    <w:rsid w:val="002B5DF0"/>
    <w:rsid w:val="006C38EE"/>
    <w:rsid w:val="007D6852"/>
    <w:rsid w:val="00824D37"/>
    <w:rsid w:val="008C51E0"/>
    <w:rsid w:val="0097760B"/>
    <w:rsid w:val="00AF02A7"/>
    <w:rsid w:val="00B8061A"/>
    <w:rsid w:val="00C047A6"/>
    <w:rsid w:val="00C446D6"/>
    <w:rsid w:val="00CF5939"/>
    <w:rsid w:val="00EB3014"/>
    <w:rsid w:val="00F3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B8A2"/>
  <w15:chartTrackingRefBased/>
  <w15:docId w15:val="{A86B1486-87C3-4F83-87A7-4260A7BE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3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3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3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3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3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3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3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3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3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3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3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30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30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30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30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30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30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3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3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3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30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30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30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3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30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3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2147</Words>
  <Characters>1224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dcterms:created xsi:type="dcterms:W3CDTF">2025-05-08T06:11:00Z</dcterms:created>
  <dcterms:modified xsi:type="dcterms:W3CDTF">2025-05-08T06:11:00Z</dcterms:modified>
</cp:coreProperties>
</file>