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08FB" w14:textId="77777777" w:rsidR="00872F59" w:rsidRDefault="00872F59" w:rsidP="00872F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AIŠKINAMASIS RAŠTAS</w:t>
      </w:r>
    </w:p>
    <w:p w14:paraId="4E046936" w14:textId="77777777" w:rsidR="00872F59" w:rsidRDefault="00872F59" w:rsidP="00872F59">
      <w:pPr>
        <w:spacing w:after="0" w:line="240" w:lineRule="auto"/>
        <w:jc w:val="center"/>
        <w:rPr>
          <w:rFonts w:ascii="Times New Roman" w:eastAsia="Times New Roman" w:hAnsi="Times New Roman" w:cs="Times New Roman"/>
          <w:sz w:val="24"/>
          <w:szCs w:val="24"/>
          <w:lang w:eastAsia="lt-LT"/>
        </w:rPr>
      </w:pPr>
    </w:p>
    <w:p w14:paraId="1A452944" w14:textId="77777777" w:rsidR="00872F59" w:rsidRDefault="00872F59" w:rsidP="00872F5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DĖL SPRENDIMO</w:t>
      </w:r>
    </w:p>
    <w:p w14:paraId="6A4CD7B6" w14:textId="77777777" w:rsidR="00872F59" w:rsidRDefault="00872F59" w:rsidP="00872F59">
      <w:pPr>
        <w:spacing w:after="0" w:line="240" w:lineRule="auto"/>
        <w:jc w:val="center"/>
        <w:rPr>
          <w:rFonts w:ascii="Times New Roman" w:eastAsia="Times New Roman" w:hAnsi="Times New Roman" w:cs="Times New Roman"/>
          <w:b/>
          <w:sz w:val="24"/>
          <w:szCs w:val="24"/>
          <w:lang w:eastAsia="lt-LT"/>
        </w:rPr>
      </w:pPr>
    </w:p>
    <w:p w14:paraId="20FC624C" w14:textId="77777777" w:rsidR="00872F59" w:rsidRDefault="00872F59" w:rsidP="00872F59">
      <w:pPr>
        <w:spacing w:after="0" w:line="240" w:lineRule="auto"/>
        <w:jc w:val="center"/>
        <w:rPr>
          <w:rFonts w:ascii="Times New Roman" w:eastAsia="Times New Roman" w:hAnsi="Times New Roman" w:cs="Times New Roman"/>
          <w:b/>
          <w:sz w:val="24"/>
          <w:szCs w:val="20"/>
        </w:rPr>
      </w:pPr>
      <w:bookmarkStart w:id="0" w:name="Nr"/>
      <w:bookmarkStart w:id="1" w:name="Pavadinimas"/>
      <w:r>
        <w:rPr>
          <w:rFonts w:ascii="Times New Roman" w:eastAsia="Times New Roman" w:hAnsi="Times New Roman" w:cs="Times New Roman"/>
          <w:b/>
          <w:sz w:val="24"/>
          <w:szCs w:val="20"/>
          <w:lang w:eastAsia="lt-LT"/>
        </w:rPr>
        <w:t xml:space="preserve"> ,,</w:t>
      </w:r>
      <w:r>
        <w:rPr>
          <w:rFonts w:ascii="Times New Roman" w:eastAsia="Times New Roman" w:hAnsi="Times New Roman" w:cs="Times New Roman"/>
          <w:b/>
          <w:sz w:val="24"/>
          <w:szCs w:val="20"/>
        </w:rPr>
        <w:t xml:space="preserve"> </w:t>
      </w:r>
      <w:bookmarkStart w:id="2" w:name="_Hlk150783249"/>
      <w:bookmarkStart w:id="3" w:name="_Hlk115807352"/>
      <w:r>
        <w:rPr>
          <w:rFonts w:ascii="Times New Roman" w:eastAsia="Times New Roman" w:hAnsi="Times New Roman" w:cs="Times New Roman"/>
          <w:b/>
          <w:sz w:val="24"/>
          <w:szCs w:val="20"/>
        </w:rPr>
        <w:t xml:space="preserve">DĖL SAVIVALDYBĖS TARYBOS 2019 M. SAUSIO 31 D. SPRENDIMO NR. 1-13 „DĖL PINIGINĖS SOCIALINĖS PARAMOS NEPASITURINTIEMS GYVENTOJAMS TEIKIMO TVARKOS APRAŠO PATVIRTINIMO IR SAVIVALDYBĖS TARYBOS </w:t>
      </w:r>
    </w:p>
    <w:p w14:paraId="0D53B6C8" w14:textId="360E2269" w:rsidR="00872F59" w:rsidRDefault="00872F59" w:rsidP="00872F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0"/>
        </w:rPr>
        <w:t>2015 M. KOVO 26 D. SPRENDIMO NR. 1-68 PRIPAŽINIMO NETEKUSIU GALIOS“ PAKEITIMO</w:t>
      </w:r>
      <w:bookmarkEnd w:id="2"/>
      <w:r>
        <w:rPr>
          <w:rFonts w:ascii="Times New Roman" w:eastAsia="Times New Roman" w:hAnsi="Times New Roman" w:cs="Times New Roman"/>
          <w:b/>
          <w:sz w:val="24"/>
          <w:szCs w:val="20"/>
        </w:rPr>
        <w:t xml:space="preserve"> IR </w:t>
      </w:r>
      <w:r w:rsidRPr="000F62E5">
        <w:rPr>
          <w:rFonts w:ascii="Times New Roman" w:eastAsia="Times New Roman" w:hAnsi="Times New Roman" w:cs="Times New Roman"/>
          <w:b/>
          <w:bCs/>
          <w:sz w:val="24"/>
          <w:szCs w:val="24"/>
        </w:rPr>
        <w:t>SAVIVALDYBĖS TARYBOS 2025 M. BIRŽELIO 25 D. SPRENDIMO NR. 1-214 PRIPAŽINIMO NETEKUSIU GALIOS</w:t>
      </w:r>
      <w:r>
        <w:rPr>
          <w:rFonts w:ascii="Times New Roman" w:eastAsia="Times New Roman" w:hAnsi="Times New Roman" w:cs="Times New Roman"/>
          <w:b/>
          <w:sz w:val="24"/>
        </w:rPr>
        <w:t xml:space="preserve"> ”</w:t>
      </w:r>
      <w:bookmarkEnd w:id="3"/>
      <w:r>
        <w:rPr>
          <w:rFonts w:ascii="Times New Roman" w:eastAsia="Times New Roman" w:hAnsi="Times New Roman" w:cs="Times New Roman"/>
          <w:b/>
          <w:sz w:val="24"/>
        </w:rPr>
        <w:t xml:space="preserve"> </w:t>
      </w:r>
      <w:r>
        <w:rPr>
          <w:rFonts w:ascii="Times New Roman" w:eastAsia="Times New Roman" w:hAnsi="Times New Roman" w:cs="Times New Roman"/>
          <w:b/>
          <w:sz w:val="24"/>
          <w:szCs w:val="24"/>
        </w:rPr>
        <w:t xml:space="preserve"> PROJEKTO </w:t>
      </w:r>
    </w:p>
    <w:p w14:paraId="5F97E0D5" w14:textId="77777777" w:rsidR="00872F59" w:rsidRDefault="00872F59" w:rsidP="00872F59">
      <w:pPr>
        <w:spacing w:after="0" w:line="240" w:lineRule="auto"/>
        <w:jc w:val="center"/>
        <w:rPr>
          <w:rFonts w:ascii="Times New Roman" w:eastAsia="Times New Roman" w:hAnsi="Times New Roman" w:cs="Times New Roman"/>
          <w:b/>
          <w:sz w:val="24"/>
          <w:szCs w:val="24"/>
          <w:lang w:eastAsia="lt-LT"/>
        </w:rPr>
      </w:pPr>
    </w:p>
    <w:bookmarkEnd w:id="0"/>
    <w:bookmarkEnd w:id="1"/>
    <w:p w14:paraId="609944D6" w14:textId="77777777" w:rsidR="00872F59" w:rsidRDefault="00872F59" w:rsidP="00872F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2025-07-28</w:t>
      </w:r>
    </w:p>
    <w:p w14:paraId="72F2B070" w14:textId="77777777" w:rsidR="00872F59" w:rsidRDefault="00872F59" w:rsidP="00872F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6367ABB3" w14:textId="77777777" w:rsidR="00872F59" w:rsidRDefault="00872F59" w:rsidP="00872F59">
      <w:pPr>
        <w:spacing w:after="0" w:line="240" w:lineRule="auto"/>
        <w:jc w:val="center"/>
        <w:rPr>
          <w:rFonts w:ascii="Times New Roman" w:eastAsia="Times New Roman" w:hAnsi="Times New Roman" w:cs="Times New Roman"/>
          <w:sz w:val="24"/>
          <w:szCs w:val="24"/>
          <w:lang w:eastAsia="lt-LT"/>
        </w:rPr>
      </w:pPr>
    </w:p>
    <w:p w14:paraId="1B32EB57" w14:textId="77777777" w:rsidR="00872F59" w:rsidRDefault="00872F59" w:rsidP="00872F59">
      <w:pPr>
        <w:pStyle w:val="Sraopastraipa"/>
        <w:numPr>
          <w:ilvl w:val="0"/>
          <w:numId w:val="1"/>
        </w:numPr>
        <w:spacing w:after="0" w:line="360" w:lineRule="auto"/>
        <w:ind w:left="0" w:firstLine="851"/>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Sprendimo projekto tikslai ir uždaviniai: </w:t>
      </w:r>
    </w:p>
    <w:p w14:paraId="0B7B1F02" w14:textId="77777777" w:rsidR="00872F59" w:rsidRDefault="00872F59" w:rsidP="00872F59">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Tarybos sprendimo</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D</w:t>
      </w:r>
      <w:r>
        <w:rPr>
          <w:rFonts w:ascii="Times New Roman" w:eastAsia="Times New Roman" w:hAnsi="Times New Roman" w:cs="Times New Roman"/>
          <w:sz w:val="24"/>
          <w:szCs w:val="24"/>
        </w:rPr>
        <w:t xml:space="preserve">ėl Savivaldybės tarybos 2019 m. sausio 31 d. sprendimo Nr. 1-13 „Dėl </w:t>
      </w:r>
      <w:bookmarkStart w:id="4" w:name="_Hlk158235663"/>
      <w:r>
        <w:rPr>
          <w:rFonts w:ascii="Times New Roman" w:eastAsia="Times New Roman" w:hAnsi="Times New Roman" w:cs="Times New Roman"/>
          <w:sz w:val="24"/>
          <w:szCs w:val="24"/>
        </w:rPr>
        <w:t xml:space="preserve">Piniginės socialinės paramos nepasiturintiems gyventojams teikimo tvarkos aprašo </w:t>
      </w:r>
      <w:bookmarkEnd w:id="4"/>
      <w:r>
        <w:rPr>
          <w:rFonts w:ascii="Times New Roman" w:eastAsia="Times New Roman" w:hAnsi="Times New Roman" w:cs="Times New Roman"/>
          <w:sz w:val="24"/>
          <w:szCs w:val="24"/>
        </w:rPr>
        <w:t xml:space="preserve">patvirtinimo ir Savivaldybės tarybos 2015 m. kovo 26 d. sprendimo Nr. 1-68 pripažinimo netekusiu galios“ pakeitimo“ projektas </w:t>
      </w:r>
      <w:r>
        <w:rPr>
          <w:rFonts w:ascii="Times New Roman" w:eastAsia="Times New Roman" w:hAnsi="Times New Roman" w:cs="Times New Roman"/>
          <w:sz w:val="24"/>
          <w:szCs w:val="24"/>
          <w:lang w:eastAsia="lt-LT"/>
        </w:rPr>
        <w:t xml:space="preserve">(toliau </w:t>
      </w:r>
      <w:bookmarkStart w:id="5" w:name="_Hlk115945141"/>
      <w:r>
        <w:rPr>
          <w:rFonts w:ascii="Times New Roman" w:eastAsia="Times New Roman" w:hAnsi="Times New Roman" w:cs="Times New Roman"/>
          <w:b/>
          <w:sz w:val="24"/>
          <w:szCs w:val="24"/>
        </w:rPr>
        <w:t>–</w:t>
      </w:r>
      <w:bookmarkEnd w:id="5"/>
      <w:r>
        <w:rPr>
          <w:rFonts w:ascii="Times New Roman" w:eastAsia="Times New Roman" w:hAnsi="Times New Roman" w:cs="Times New Roman"/>
          <w:b/>
          <w:sz w:val="24"/>
          <w:szCs w:val="24"/>
        </w:rPr>
        <w:t xml:space="preserve"> S</w:t>
      </w:r>
      <w:r>
        <w:rPr>
          <w:rFonts w:ascii="Times New Roman" w:eastAsia="Times New Roman" w:hAnsi="Times New Roman" w:cs="Times New Roman"/>
          <w:sz w:val="24"/>
          <w:szCs w:val="24"/>
        </w:rPr>
        <w:t>prendimo projektas)</w:t>
      </w:r>
      <w:r>
        <w:rPr>
          <w:rFonts w:ascii="Times New Roman" w:eastAsia="Times New Roman" w:hAnsi="Times New Roman" w:cs="Times New Roman"/>
          <w:color w:val="000000"/>
          <w:sz w:val="24"/>
          <w:szCs w:val="24"/>
          <w:lang w:eastAsia="lt-LT"/>
        </w:rPr>
        <w:t xml:space="preserve"> parengtas, </w:t>
      </w:r>
      <w:bookmarkStart w:id="6" w:name="n_0"/>
      <w:r>
        <w:rPr>
          <w:rFonts w:ascii="Times New Roman" w:eastAsia="Times New Roman" w:hAnsi="Times New Roman" w:cs="Times New Roman"/>
          <w:color w:val="000000"/>
          <w:sz w:val="24"/>
          <w:szCs w:val="24"/>
          <w:lang w:eastAsia="lt-LT"/>
        </w:rPr>
        <w:t>įvertinus</w:t>
      </w:r>
      <w:r>
        <w:rPr>
          <w:rFonts w:ascii="Times New Roman" w:eastAsia="Times New Roman" w:hAnsi="Times New Roman" w:cs="Times New Roman"/>
          <w:sz w:val="24"/>
          <w:szCs w:val="24"/>
        </w:rPr>
        <w:t xml:space="preserve"> Piniginės socialinės paramos nepasiturintiems gyventojams teikimo tvarkos aprašo </w:t>
      </w:r>
      <w:r>
        <w:rPr>
          <w:rFonts w:ascii="Times New Roman" w:eastAsia="Times New Roman" w:hAnsi="Times New Roman" w:cs="Times New Roman"/>
          <w:sz w:val="24"/>
          <w:szCs w:val="24"/>
          <w:lang w:eastAsia="lt-LT"/>
        </w:rPr>
        <w:t xml:space="preserve">(toliau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Aprašas) taikymo rezultatus, tam, kad paramą gautų asmenys, tam tikru laikotarpiu, kuriems ši parama labiausiai reikalinga.</w:t>
      </w:r>
    </w:p>
    <w:p w14:paraId="7EE2465C" w14:textId="7C9898C3" w:rsidR="00647590" w:rsidRDefault="00647590" w:rsidP="00872F59">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Savivaldybės tarybos 2025 m. birželio 25 d. sprendimas Nr. 1-214 dėl techninių kliūčių (numeracijos) nebuvo skelbiamas Teisės aktų registre. Todėl šiuo Sprendimo projektu pripažįstame minėtą Savivaldybės tarybos sprendimą netekusiu galios ir teikiame naują Sprendimo projektą su nauja punktų numeracija, nedarydami jokių esminių pakeitimų.</w:t>
      </w:r>
    </w:p>
    <w:bookmarkEnd w:id="6"/>
    <w:p w14:paraId="0D613E43" w14:textId="77777777" w:rsidR="00872F59" w:rsidRDefault="00872F59" w:rsidP="00872F59">
      <w:pPr>
        <w:tabs>
          <w:tab w:val="num" w:pos="0"/>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Siūlomos teisinio reguliavimo nuostatos, laukiami rezultatai:</w:t>
      </w:r>
      <w:r>
        <w:rPr>
          <w:rFonts w:ascii="Times New Roman" w:eastAsia="Times New Roman" w:hAnsi="Times New Roman" w:cs="Times New Roman"/>
          <w:sz w:val="24"/>
          <w:szCs w:val="24"/>
          <w:lang w:eastAsia="lt-LT"/>
        </w:rPr>
        <w:t xml:space="preserve"> </w:t>
      </w:r>
    </w:p>
    <w:p w14:paraId="669E3C19" w14:textId="77777777" w:rsidR="00872F59" w:rsidRDefault="00872F59" w:rsidP="00872F59">
      <w:pPr>
        <w:tabs>
          <w:tab w:val="num"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Aprašas yra skirtas įgyvendinti Lietuvos Respublikos piniginės socialinės paramos nepasiturintiems gyventojams įstatymu (toliau – Įstatymas) reglamentuojamų  piniginės socialinės paramos (socialinės pašalpos ir </w:t>
      </w:r>
      <w:bookmarkStart w:id="7" w:name="_Hlk150845561"/>
      <w:r>
        <w:rPr>
          <w:rFonts w:ascii="Times New Roman" w:eastAsia="Times New Roman" w:hAnsi="Times New Roman" w:cs="Times New Roman"/>
          <w:sz w:val="24"/>
          <w:szCs w:val="24"/>
        </w:rPr>
        <w:t>būsto šildymo, geriamojo vandens ir karšto vandens išlaidų kompensacijų</w:t>
      </w:r>
      <w:bookmarkEnd w:id="7"/>
      <w:r>
        <w:rPr>
          <w:rFonts w:ascii="Times New Roman" w:eastAsia="Times New Roman" w:hAnsi="Times New Roman" w:cs="Times New Roman"/>
          <w:sz w:val="24"/>
          <w:szCs w:val="24"/>
        </w:rPr>
        <w:t xml:space="preserve"> (toliau </w:t>
      </w:r>
      <w:bookmarkStart w:id="8" w:name="_Hlk526327361"/>
      <w:r>
        <w:rPr>
          <w:rFonts w:ascii="Times New Roman" w:eastAsia="Times New Roman" w:hAnsi="Times New Roman" w:cs="Times New Roman"/>
          <w:sz w:val="24"/>
          <w:szCs w:val="24"/>
        </w:rPr>
        <w:t xml:space="preserve">– </w:t>
      </w:r>
      <w:bookmarkEnd w:id="8"/>
      <w:r>
        <w:rPr>
          <w:rFonts w:ascii="Times New Roman" w:eastAsia="Times New Roman" w:hAnsi="Times New Roman" w:cs="Times New Roman"/>
          <w:sz w:val="24"/>
          <w:szCs w:val="24"/>
        </w:rPr>
        <w:t xml:space="preserve">kompensacijos)) ir socialinės paramos (vienkartinės, tikslinės, periodinės ir sąlyginės pašalpų) teikimo tvarką Panevėžio miesto gyventojams. </w:t>
      </w:r>
    </w:p>
    <w:p w14:paraId="5F7467EB" w14:textId="77777777" w:rsidR="00872F59" w:rsidRPr="00E30605" w:rsidRDefault="00872F59" w:rsidP="00872F59">
      <w:pPr>
        <w:spacing w:after="0" w:line="360" w:lineRule="auto"/>
        <w:ind w:firstLine="851"/>
        <w:jc w:val="both"/>
        <w:rPr>
          <w:rFonts w:ascii="Times New Roman" w:eastAsia="Times New Roman" w:hAnsi="Times New Roman" w:cs="Times New Roman"/>
          <w:sz w:val="24"/>
          <w:szCs w:val="24"/>
          <w:lang w:eastAsia="lt-LT"/>
        </w:rPr>
      </w:pPr>
      <w:r w:rsidRPr="00A7716C">
        <w:rPr>
          <w:rFonts w:ascii="Times New Roman" w:eastAsia="Times New Roman" w:hAnsi="Times New Roman" w:cs="Times New Roman"/>
          <w:sz w:val="24"/>
          <w:szCs w:val="24"/>
          <w:lang w:eastAsia="lt-LT"/>
        </w:rPr>
        <w:t xml:space="preserve"> Patvirtinus parengtą Sprendimo projektą</w:t>
      </w:r>
      <w:r>
        <w:rPr>
          <w:rFonts w:ascii="Times New Roman" w:eastAsia="Times New Roman" w:hAnsi="Times New Roman" w:cs="Times New Roman"/>
          <w:sz w:val="24"/>
          <w:szCs w:val="24"/>
          <w:lang w:eastAsia="lt-LT"/>
        </w:rPr>
        <w:t>,</w:t>
      </w:r>
      <w:r w:rsidRPr="00A7716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bus</w:t>
      </w:r>
      <w:r w:rsidRPr="00A7716C">
        <w:rPr>
          <w:rFonts w:ascii="Times New Roman" w:eastAsia="Times New Roman" w:hAnsi="Times New Roman" w:cs="Times New Roman"/>
          <w:sz w:val="24"/>
          <w:szCs w:val="24"/>
          <w:lang w:eastAsia="lt-LT"/>
        </w:rPr>
        <w:t xml:space="preserve"> papildytas pateikiamų dokumentų sąrašas pažyma</w:t>
      </w:r>
      <w:r w:rsidRPr="00A7716C">
        <w:rPr>
          <w:rFonts w:ascii="Times New Roman" w:eastAsia="MS Mincho" w:hAnsi="Times New Roman" w:cs="Times New Roman"/>
          <w:kern w:val="2"/>
          <w:sz w:val="24"/>
          <w:szCs w:val="24"/>
          <w14:ligatures w14:val="standardContextual"/>
        </w:rPr>
        <w:t>, patvirtinanči</w:t>
      </w:r>
      <w:r>
        <w:rPr>
          <w:rFonts w:ascii="Times New Roman" w:eastAsia="MS Mincho" w:hAnsi="Times New Roman" w:cs="Times New Roman"/>
          <w:kern w:val="2"/>
          <w:sz w:val="24"/>
          <w:szCs w:val="24"/>
          <w14:ligatures w14:val="standardContextual"/>
        </w:rPr>
        <w:t>a</w:t>
      </w:r>
      <w:r w:rsidRPr="00A7716C">
        <w:rPr>
          <w:rFonts w:ascii="Times New Roman" w:eastAsia="MS Mincho" w:hAnsi="Times New Roman" w:cs="Times New Roman"/>
          <w:kern w:val="2"/>
          <w:sz w:val="24"/>
          <w:szCs w:val="24"/>
          <w14:ligatures w14:val="standardContextual"/>
        </w:rPr>
        <w:t>, kad privalomosios pradinės karo tarnybos karys atlieka privalomąją pradinę karo tarnybą</w:t>
      </w:r>
      <w:r w:rsidRPr="00A7716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(Sprendimo projekto 1.3 p.), nes </w:t>
      </w:r>
      <w:r w:rsidRPr="00A7716C">
        <w:rPr>
          <w:rFonts w:ascii="Times New Roman" w:eastAsia="Calibri" w:hAnsi="Times New Roman" w:cs="Times New Roman"/>
          <w:sz w:val="24"/>
          <w:szCs w:val="24"/>
          <w:lang w:eastAsia="lt-LT"/>
        </w:rPr>
        <w:t xml:space="preserve">Savivaldybės administracija </w:t>
      </w:r>
      <w:r>
        <w:rPr>
          <w:rFonts w:ascii="Times New Roman" w:eastAsia="Calibri" w:hAnsi="Times New Roman" w:cs="Times New Roman"/>
          <w:sz w:val="24"/>
          <w:szCs w:val="24"/>
          <w:lang w:eastAsia="lt-LT"/>
        </w:rPr>
        <w:t xml:space="preserve">šių </w:t>
      </w:r>
      <w:r w:rsidRPr="00A7716C">
        <w:rPr>
          <w:rFonts w:ascii="Times New Roman" w:eastAsia="Calibri" w:hAnsi="Times New Roman" w:cs="Times New Roman"/>
          <w:sz w:val="24"/>
          <w:szCs w:val="24"/>
          <w:lang w:eastAsia="lt-LT"/>
        </w:rPr>
        <w:t>duomen</w:t>
      </w:r>
      <w:r>
        <w:rPr>
          <w:rFonts w:ascii="Times New Roman" w:eastAsia="Calibri" w:hAnsi="Times New Roman" w:cs="Times New Roman"/>
          <w:sz w:val="24"/>
          <w:szCs w:val="24"/>
          <w:lang w:eastAsia="lt-LT"/>
        </w:rPr>
        <w:t>ų</w:t>
      </w:r>
      <w:r w:rsidRPr="00A7716C">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ne</w:t>
      </w:r>
      <w:r w:rsidRPr="00A7716C">
        <w:rPr>
          <w:rFonts w:ascii="Times New Roman" w:eastAsia="Calibri" w:hAnsi="Times New Roman" w:cs="Times New Roman"/>
          <w:sz w:val="24"/>
          <w:szCs w:val="24"/>
          <w:lang w:eastAsia="lt-LT"/>
        </w:rPr>
        <w:t>gauna iš valstybės ir žinybinių registrų ir valstybės informacinių sistemų.</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Sprendimo projekto 1.2 p. yra redakcinio pobūdžio. Sprendimo projekto 1.1, 1.2, 1.4, 1.5, 1.6, 1.7, 1.8 ir 1.14 punktai yra papildyti patikslinančiomis nuostatomis, kurios nustato tikslesnį Aprašo taikymą. Sprendimo projekto 1.9 puntu keičiamas Aprašo 33 punktas, perkeliant tikslią Įstatymo nuostatą į Aprašą. </w:t>
      </w:r>
      <w:r w:rsidRPr="00EF660F">
        <w:rPr>
          <w:rFonts w:ascii="Times New Roman" w:eastAsia="Times New Roman" w:hAnsi="Times New Roman" w:cs="Times New Roman"/>
          <w:sz w:val="24"/>
          <w:szCs w:val="24"/>
          <w:lang w:eastAsia="lt-LT"/>
        </w:rPr>
        <w:t>Panevėžio miesto savivaldybės administracijos direktoriaus įsakymu</w:t>
      </w:r>
      <w:r>
        <w:rPr>
          <w:rFonts w:ascii="Times New Roman" w:eastAsia="Times New Roman" w:hAnsi="Times New Roman" w:cs="Times New Roman"/>
          <w:sz w:val="24"/>
          <w:szCs w:val="24"/>
          <w:lang w:eastAsia="lt-LT"/>
        </w:rPr>
        <w:t xml:space="preserve"> patvirtinus</w:t>
      </w:r>
      <w:r w:rsidRPr="00EF660F">
        <w:t xml:space="preserve"> </w:t>
      </w:r>
      <w:r w:rsidRPr="00EF660F">
        <w:rPr>
          <w:rFonts w:ascii="Times New Roman" w:eastAsia="Times New Roman" w:hAnsi="Times New Roman" w:cs="Times New Roman"/>
          <w:sz w:val="24"/>
          <w:szCs w:val="24"/>
          <w:lang w:eastAsia="lt-LT"/>
        </w:rPr>
        <w:t>Socialinių išmokų permokų grąžinimo tvarkos apraš</w:t>
      </w:r>
      <w:r>
        <w:rPr>
          <w:rFonts w:ascii="Times New Roman" w:eastAsia="Times New Roman" w:hAnsi="Times New Roman" w:cs="Times New Roman"/>
          <w:sz w:val="24"/>
          <w:szCs w:val="24"/>
          <w:lang w:eastAsia="lt-LT"/>
        </w:rPr>
        <w:t>ą</w:t>
      </w:r>
      <w:r w:rsidRPr="00EF660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w:t>
      </w:r>
      <w:r w:rsidRPr="00EF660F">
        <w:rPr>
          <w:rFonts w:ascii="Times New Roman" w:eastAsia="Times New Roman" w:hAnsi="Times New Roman" w:cs="Times New Roman"/>
          <w:sz w:val="24"/>
          <w:szCs w:val="24"/>
          <w:lang w:eastAsia="lt-LT"/>
        </w:rPr>
        <w:t>eteisėtai gautų kompensacijų grąžinimas, išieškojimas ar nurašymas vykdomas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lastRenderedPageBreak/>
        <w:t xml:space="preserve">vadovaujantis minėtu aprašu. Neliko būtinybės šiuos veiksmus tiksliai aprašyti Apraše, todėl Aprašo 36, 37, 46, 47 punktai yra sutrumpinti (Sprendimo projekto 1.10, 1.11, 1.12 p.). Atsižvelgiant į Aprašo taikymo praktiką, 50 punkte yra keičiama nuostata socialinę pašalpą vaikui teikti, derinant piniginę ir nepiniginę formas. Pašalpa bus teikiama pinigais (Sprendimo projekto 1.13 p.). Sprendimo projekto 1.15 punktu dėl aiškumo yra sutrumpintas Aprašo 70 punktas, perkeliant jo nuostatas į pašalpas apibūdinančius punktus. Sprendimo projekto 1.16 punktu patikslinamos Aprašo 73 punkto taikymo nuostatos. Nuo 2026-01-01 atsisakoma nuostatos skirti tikslinę pašalpą visų vaistų įsigijimo išlaidų kompensavimui. Numatoma skirti tikslinę pašalpą tik </w:t>
      </w:r>
      <w:r w:rsidRPr="00F50326">
        <w:rPr>
          <w:rFonts w:ascii="Times New Roman" w:eastAsia="Times New Roman" w:hAnsi="Times New Roman" w:cs="Times New Roman"/>
          <w:sz w:val="24"/>
          <w:szCs w:val="24"/>
          <w:lang w:eastAsia="lt-LT"/>
        </w:rPr>
        <w:t>receptinių vaistų įsigijimo išlaidoms kompensuoti, kai įsigyta receptinių vaistų ne mažiau kaip už 1,5 BSI, vertinant bendrai gyvenančių asmenų arba vieno gyvenančio asmens pajamas</w:t>
      </w:r>
      <w:r>
        <w:rPr>
          <w:rFonts w:ascii="Times New Roman" w:eastAsia="Times New Roman" w:hAnsi="Times New Roman" w:cs="Times New Roman"/>
          <w:sz w:val="24"/>
          <w:szCs w:val="24"/>
          <w:lang w:eastAsia="lt-LT"/>
        </w:rPr>
        <w:t xml:space="preserve"> (Sprendimo projekto 1.17 p.). Aprašas papildomas nauju punktu, kad skiriant tikslinę pašalpą būtų aišku, kurio mėnesio bazinius socialinius dydžius</w:t>
      </w:r>
      <w:r w:rsidRPr="005736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reikia taikyti: „</w:t>
      </w:r>
      <w:r w:rsidRPr="00266EBF">
        <w:rPr>
          <w:rFonts w:ascii="Times New Roman" w:eastAsia="Times New Roman" w:hAnsi="Times New Roman" w:cs="Times New Roman"/>
          <w:sz w:val="24"/>
          <w:szCs w:val="24"/>
          <w:lang w:eastAsia="lt-LT"/>
        </w:rPr>
        <w:t>Tikslinės pašalpos dydis ir asmens (-ų) gaunamų pajamų dydis apskaičiuojamas pagal prašymo pateikimo metu galiojančius pašalpos, valstybės remiamų pajamų ir bazinės socialinės išmokos dydžius</w:t>
      </w:r>
      <w:r>
        <w:rPr>
          <w:rFonts w:ascii="Times New Roman" w:eastAsia="Times New Roman" w:hAnsi="Times New Roman" w:cs="Times New Roman"/>
          <w:sz w:val="24"/>
          <w:szCs w:val="24"/>
          <w:lang w:eastAsia="lt-LT"/>
        </w:rPr>
        <w:t xml:space="preserve">“ (Sprendimo projekto 1.18 p.). Sprendimo projekto 1.19 punktu yra tik patikslinamos Aprašo 75 punkto, kuris nustato periodinės pašalpos skyrimo sąlygas, taikymo nuostatos: kokiu dažnumu gali būti skiriama periodinė pašalpa ir numatytos papildomos sąlygos įsiskolinimams iš dalies padengti. Sprendimo projekto 1.20 punktu yra tik patikslinamos Aprašo 76 punkto, kuris nustato sąlyginės pašalpos skyrimo sąlygas, taikymo nuostatos. Taip pat atsisakoma sąlyginės pašalpos skyrimo </w:t>
      </w:r>
      <w:r w:rsidRPr="00E30605">
        <w:rPr>
          <w:rFonts w:ascii="Times New Roman" w:hAnsi="Times New Roman" w:cs="Times New Roman"/>
          <w:kern w:val="2"/>
          <w:sz w:val="24"/>
          <w:szCs w:val="24"/>
          <w14:ligatures w14:val="standardContextual"/>
        </w:rPr>
        <w:t>smurtą artimoje aplinkoje patyrusiam asmeniui</w:t>
      </w:r>
      <w:r>
        <w:rPr>
          <w:rFonts w:ascii="Times New Roman" w:hAnsi="Times New Roman" w:cs="Times New Roman"/>
          <w:kern w:val="2"/>
          <w:sz w:val="24"/>
          <w:szCs w:val="24"/>
          <w14:ligatures w14:val="standardContextual"/>
        </w:rPr>
        <w:t xml:space="preserve">, nes nuo Aprašo patvirtinimo 2015 metais, Socialinių reikalų skyrius negavo nei vieno prašymo skirti šios rūšies sąlyginę pašalpą. </w:t>
      </w:r>
      <w:r>
        <w:rPr>
          <w:rFonts w:ascii="Times New Roman" w:eastAsia="Times New Roman" w:hAnsi="Times New Roman" w:cs="Times New Roman"/>
          <w:sz w:val="24"/>
          <w:szCs w:val="24"/>
          <w:lang w:eastAsia="lt-LT"/>
        </w:rPr>
        <w:t xml:space="preserve">Sprendimo projekto 1.21 punktu yra patikslinami Aprašo 78 ir 79 punktai, nes, atsisakius 76.1.2 papunkčio, keitėsi papunkčių numeracija. </w:t>
      </w:r>
    </w:p>
    <w:p w14:paraId="0FC37E3D" w14:textId="77777777" w:rsidR="00872F59" w:rsidRDefault="00872F59" w:rsidP="00872F59">
      <w:pPr>
        <w:tabs>
          <w:tab w:val="num" w:pos="0"/>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3. </w:t>
      </w:r>
      <w:r>
        <w:rPr>
          <w:rFonts w:ascii="Times New Roman" w:eastAsia="Times New Roman" w:hAnsi="Times New Roman" w:cs="Times New Roman"/>
          <w:b/>
          <w:bCs/>
          <w:sz w:val="24"/>
          <w:szCs w:val="24"/>
          <w:lang w:eastAsia="lt-LT"/>
        </w:rPr>
        <w:t>Lėšų poreikis ir šaltiniai</w:t>
      </w:r>
      <w:r>
        <w:rPr>
          <w:rFonts w:ascii="Times New Roman" w:eastAsia="Times New Roman" w:hAnsi="Times New Roman" w:cs="Times New Roman"/>
          <w:b/>
          <w:sz w:val="24"/>
          <w:szCs w:val="24"/>
          <w:lang w:eastAsia="lt-LT"/>
        </w:rPr>
        <w:t>:</w:t>
      </w:r>
    </w:p>
    <w:p w14:paraId="59CE91CC" w14:textId="77777777" w:rsidR="00872F59" w:rsidRDefault="00872F59" w:rsidP="00872F59">
      <w:pPr>
        <w:spacing w:line="360" w:lineRule="auto"/>
        <w:ind w:firstLine="851"/>
        <w:contextualSpacing/>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t-LT"/>
        </w:rPr>
        <w:t xml:space="preserve">Piniginė socialinė parama ir socialinė parama yra finansuojamos iš savivaldybės biudžeto lėšų kaip savarankiška savivaldybių funkcija. </w:t>
      </w:r>
      <w:bookmarkStart w:id="9" w:name="_Hlk508613762"/>
      <w:r>
        <w:rPr>
          <w:rFonts w:ascii="Times New Roman" w:eastAsia="Times New Roman" w:hAnsi="Times New Roman" w:cs="Times New Roman"/>
          <w:sz w:val="24"/>
          <w:szCs w:val="24"/>
          <w:lang w:eastAsia="lt-LT"/>
        </w:rPr>
        <w:t>Savivaldybėms skiriama lėšų suma yra lygi 2011–2013 metų laikotarpiu piniginei socialinei paramai skaičiuoti ir mokėti faktiškai panaudotai vidutinei metinei lėšų sumai (</w:t>
      </w:r>
      <w:r>
        <w:rPr>
          <w:rFonts w:ascii="Times New Roman" w:eastAsia="Times New Roman" w:hAnsi="Times New Roman" w:cs="Times New Roman"/>
          <w:sz w:val="24"/>
          <w:szCs w:val="24"/>
        </w:rPr>
        <w:t>Lietuvos Respublikos piniginės socialinės paramos nepasiturintiems gyventojams įstatymo</w:t>
      </w:r>
      <w:r>
        <w:rPr>
          <w:rFonts w:ascii="Times New Roman" w:eastAsia="Times New Roman" w:hAnsi="Times New Roman" w:cs="Times New Roman"/>
          <w:sz w:val="24"/>
          <w:szCs w:val="24"/>
          <w:lang w:eastAsia="lt-LT"/>
        </w:rPr>
        <w:t xml:space="preserve"> 4 straipsnio 3 dalis).  </w:t>
      </w:r>
      <w:bookmarkEnd w:id="9"/>
      <w:r>
        <w:rPr>
          <w:rFonts w:ascii="Times New Roman" w:eastAsia="Calibri" w:hAnsi="Times New Roman" w:cs="Times New Roman"/>
          <w:sz w:val="24"/>
          <w:szCs w:val="24"/>
        </w:rPr>
        <w:t xml:space="preserve">2025 metams piniginei socialinei paramai  finansuoti yra </w:t>
      </w:r>
      <w:bookmarkStart w:id="10" w:name="_Hlk150843078"/>
      <w:r>
        <w:rPr>
          <w:rFonts w:ascii="Times New Roman" w:eastAsia="Calibri" w:hAnsi="Times New Roman" w:cs="Times New Roman"/>
          <w:sz w:val="24"/>
          <w:szCs w:val="24"/>
        </w:rPr>
        <w:t xml:space="preserve">numatyta </w:t>
      </w:r>
      <w:bookmarkStart w:id="11" w:name="_Hlk158358614"/>
      <w:r w:rsidRPr="00C525C3">
        <w:rPr>
          <w:rFonts w:ascii="Times New Roman" w:eastAsia="Calibri" w:hAnsi="Times New Roman" w:cs="Times New Roman"/>
          <w:sz w:val="24"/>
          <w:szCs w:val="24"/>
        </w:rPr>
        <w:t>7112,1 tūkst. Eur</w:t>
      </w:r>
      <w:bookmarkEnd w:id="11"/>
      <w:r w:rsidRPr="00C525C3">
        <w:rPr>
          <w:rFonts w:ascii="Times New Roman" w:eastAsia="Calibri" w:hAnsi="Times New Roman" w:cs="Times New Roman"/>
          <w:sz w:val="24"/>
          <w:szCs w:val="24"/>
        </w:rPr>
        <w:t xml:space="preserve">, iš jų </w:t>
      </w:r>
      <w:bookmarkEnd w:id="10"/>
      <w:r w:rsidRPr="00C525C3">
        <w:rPr>
          <w:rFonts w:ascii="Times New Roman" w:eastAsia="Calibri" w:hAnsi="Times New Roman" w:cs="Times New Roman"/>
          <w:sz w:val="24"/>
          <w:szCs w:val="24"/>
        </w:rPr>
        <w:t xml:space="preserve">socialinei paramai </w:t>
      </w:r>
      <w:r w:rsidRPr="00C52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320</w:t>
      </w:r>
      <w:r w:rsidRPr="00C525C3">
        <w:rPr>
          <w:rFonts w:ascii="Times New Roman" w:eastAsia="Times New Roman" w:hAnsi="Times New Roman" w:cs="Times New Roman"/>
          <w:sz w:val="24"/>
          <w:szCs w:val="24"/>
        </w:rPr>
        <w:t xml:space="preserve"> </w:t>
      </w:r>
      <w:r w:rsidRPr="00C525C3">
        <w:rPr>
          <w:rFonts w:ascii="Times New Roman" w:eastAsia="Calibri" w:hAnsi="Times New Roman" w:cs="Times New Roman"/>
          <w:sz w:val="24"/>
          <w:szCs w:val="24"/>
        </w:rPr>
        <w:t>tūkst</w:t>
      </w:r>
      <w:r>
        <w:rPr>
          <w:rFonts w:ascii="Times New Roman" w:eastAsia="Calibri" w:hAnsi="Times New Roman" w:cs="Times New Roman"/>
          <w:sz w:val="24"/>
          <w:szCs w:val="24"/>
        </w:rPr>
        <w:t>. Eur. Papildomų lėšų, patvirtinus Sprendimo projektą, nereikės.</w:t>
      </w:r>
    </w:p>
    <w:p w14:paraId="64BC1C51" w14:textId="77777777" w:rsidR="00872F59" w:rsidRDefault="00872F59" w:rsidP="00872F59">
      <w:pPr>
        <w:tabs>
          <w:tab w:val="num" w:pos="0"/>
        </w:tabs>
        <w:spacing w:after="0" w:line="36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 Kieno iniciatyva parengtas sprendimo projektas</w:t>
      </w:r>
      <w:r>
        <w:rPr>
          <w:rFonts w:ascii="Times New Roman" w:eastAsia="Times New Roman" w:hAnsi="Times New Roman" w:cs="Times New Roman"/>
          <w:sz w:val="24"/>
          <w:szCs w:val="24"/>
          <w:lang w:eastAsia="lt-LT"/>
        </w:rPr>
        <w:t>:</w:t>
      </w:r>
    </w:p>
    <w:p w14:paraId="1F974E22" w14:textId="77777777" w:rsidR="00872F59" w:rsidRDefault="00872F59" w:rsidP="00872F59">
      <w:pPr>
        <w:tabs>
          <w:tab w:val="num" w:pos="0"/>
        </w:tab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Socialinių reikalų skyriaus iniciatyva.</w:t>
      </w:r>
      <w:r>
        <w:rPr>
          <w:rFonts w:ascii="Times New Roman" w:eastAsia="Times New Roman" w:hAnsi="Times New Roman" w:cs="Times New Roman"/>
          <w:color w:val="000000"/>
          <w:sz w:val="24"/>
          <w:szCs w:val="24"/>
        </w:rPr>
        <w:t xml:space="preserve"> </w:t>
      </w:r>
    </w:p>
    <w:p w14:paraId="0A9D27C0" w14:textId="77777777" w:rsidR="00872F59" w:rsidRDefault="00872F59" w:rsidP="00872F59">
      <w:pPr>
        <w:tabs>
          <w:tab w:val="num" w:pos="0"/>
        </w:tab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PRIDEDAMA. </w:t>
      </w:r>
    </w:p>
    <w:p w14:paraId="4A0AA978" w14:textId="77777777" w:rsidR="00872F59" w:rsidRDefault="00872F59" w:rsidP="00872F59">
      <w:pPr>
        <w:pStyle w:val="Sraopastraipa"/>
        <w:numPr>
          <w:ilvl w:val="0"/>
          <w:numId w:val="2"/>
        </w:numPr>
        <w:tabs>
          <w:tab w:val="num" w:pos="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Piniginės socialinės paramos nepasiturintiems gyventojams teikimo tvarkos aprašo lyginamasis variantas;</w:t>
      </w:r>
    </w:p>
    <w:p w14:paraId="16144DB1" w14:textId="77777777" w:rsidR="00872F59" w:rsidRDefault="00872F59" w:rsidP="00872F59">
      <w:pPr>
        <w:pStyle w:val="Sraopastraipa"/>
        <w:numPr>
          <w:ilvl w:val="0"/>
          <w:numId w:val="2"/>
        </w:numPr>
        <w:tabs>
          <w:tab w:val="num" w:pos="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Piniginės socialinės paramos nepasiturintiems gyventojams teikimo tvarkos aprašo nuoroda</w:t>
      </w:r>
    </w:p>
    <w:p w14:paraId="23F544C3" w14:textId="77777777" w:rsidR="00872F59" w:rsidRDefault="00872F59" w:rsidP="00872F59">
      <w:pPr>
        <w:pStyle w:val="Sraopastraipa"/>
        <w:spacing w:after="0" w:line="360" w:lineRule="auto"/>
        <w:ind w:left="502"/>
        <w:jc w:val="both"/>
        <w:rPr>
          <w:rFonts w:ascii="Times New Roman" w:eastAsia="Times New Roman" w:hAnsi="Times New Roman" w:cs="Times New Roman"/>
          <w:sz w:val="24"/>
          <w:szCs w:val="24"/>
        </w:rPr>
      </w:pPr>
      <w:r w:rsidRPr="00646BA8">
        <w:rPr>
          <w:rFonts w:ascii="Times New Roman" w:eastAsia="Times New Roman" w:hAnsi="Times New Roman" w:cs="Times New Roman"/>
          <w:sz w:val="24"/>
          <w:szCs w:val="24"/>
        </w:rPr>
        <w:t>https://www.e-tar.lt/portal/lt/legalAct/77c4ec4025ea11e9a92cf83c425b079c/asr</w:t>
      </w:r>
    </w:p>
    <w:p w14:paraId="135BAEEE" w14:textId="77777777" w:rsidR="00872F59" w:rsidRDefault="00872F59" w:rsidP="00872F59">
      <w:pPr>
        <w:pStyle w:val="Sraopastraipa"/>
        <w:numPr>
          <w:ilvl w:val="0"/>
          <w:numId w:val="2"/>
        </w:numPr>
        <w:tabs>
          <w:tab w:val="num" w:pos="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Lietuvos Respublikos piniginės socialinės paramos nepasiturintiems gyventojams įstatymo nuoroda  </w:t>
      </w:r>
      <w:hyperlink r:id="rId5" w:history="1">
        <w:r>
          <w:rPr>
            <w:rStyle w:val="Hipersaitas"/>
            <w:rFonts w:ascii="Times New Roman" w:eastAsia="Times New Roman" w:hAnsi="Times New Roman" w:cs="Times New Roman"/>
            <w:sz w:val="24"/>
            <w:szCs w:val="24"/>
          </w:rPr>
          <w:t>https://www.e-tar.lt/portal/lt/legalAct/TAR.3EEE59417F13/asr</w:t>
        </w:r>
      </w:hyperlink>
      <w:r>
        <w:rPr>
          <w:rFonts w:ascii="Times New Roman" w:eastAsia="Times New Roman" w:hAnsi="Times New Roman" w:cs="Times New Roman"/>
          <w:sz w:val="24"/>
          <w:szCs w:val="24"/>
        </w:rPr>
        <w:t>.</w:t>
      </w:r>
    </w:p>
    <w:p w14:paraId="3F529BE1" w14:textId="77777777" w:rsidR="00872F59" w:rsidRDefault="00872F59" w:rsidP="00872F59">
      <w:pPr>
        <w:spacing w:after="0" w:line="360" w:lineRule="auto"/>
        <w:ind w:firstLine="851"/>
        <w:rPr>
          <w:rFonts w:ascii="Times New Roman" w:eastAsia="Times New Roman" w:hAnsi="Times New Roman" w:cs="Times New Roman"/>
          <w:sz w:val="24"/>
          <w:szCs w:val="24"/>
          <w:lang w:eastAsia="lt-LT"/>
        </w:rPr>
      </w:pPr>
    </w:p>
    <w:p w14:paraId="5F32E226" w14:textId="77777777" w:rsidR="00872F59" w:rsidRDefault="00872F59" w:rsidP="00872F5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Socialinių reikalų skyriaus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14:paraId="3E1ABCB9" w14:textId="77777777" w:rsidR="00872F59" w:rsidRDefault="00872F59" w:rsidP="00872F59">
      <w:pPr>
        <w:spacing w:after="0" w:line="240" w:lineRule="auto"/>
      </w:pPr>
      <w:r>
        <w:rPr>
          <w:rFonts w:ascii="Times New Roman" w:eastAsia="Times New Roman" w:hAnsi="Times New Roman" w:cs="Times New Roman"/>
          <w:sz w:val="24"/>
          <w:szCs w:val="24"/>
          <w:lang w:eastAsia="lt-LT"/>
        </w:rPr>
        <w:t>Socialinių išmokų poskyrio vedėja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Zita </w:t>
      </w:r>
      <w:proofErr w:type="spellStart"/>
      <w:r>
        <w:rPr>
          <w:rFonts w:ascii="Times New Roman" w:eastAsia="Times New Roman" w:hAnsi="Times New Roman" w:cs="Times New Roman"/>
          <w:sz w:val="24"/>
          <w:szCs w:val="24"/>
          <w:lang w:eastAsia="lt-LT"/>
        </w:rPr>
        <w:t>Ragėnienė</w:t>
      </w:r>
      <w:proofErr w:type="spellEnd"/>
      <w:r>
        <w:rPr>
          <w:rFonts w:ascii="Times New Roman" w:eastAsia="Times New Roman" w:hAnsi="Times New Roman" w:cs="Times New Roman"/>
          <w:sz w:val="24"/>
          <w:szCs w:val="24"/>
          <w:lang w:eastAsia="lt-LT"/>
        </w:rPr>
        <w:t xml:space="preserve"> </w:t>
      </w:r>
    </w:p>
    <w:p w14:paraId="032909D5" w14:textId="77777777" w:rsidR="00872F59" w:rsidRDefault="00872F59"/>
    <w:sectPr w:rsidR="00872F59" w:rsidSect="00872F5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B61E1"/>
    <w:multiLevelType w:val="hybridMultilevel"/>
    <w:tmpl w:val="9578BDD4"/>
    <w:lvl w:ilvl="0" w:tplc="BBC864C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 w15:restartNumberingAfterBreak="0">
    <w:nsid w:val="680440AF"/>
    <w:multiLevelType w:val="hybridMultilevel"/>
    <w:tmpl w:val="049AE528"/>
    <w:lvl w:ilvl="0" w:tplc="BBC864C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16cid:durableId="1759060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030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59"/>
    <w:rsid w:val="00116E73"/>
    <w:rsid w:val="00647590"/>
    <w:rsid w:val="00872F59"/>
    <w:rsid w:val="009A1DCE"/>
    <w:rsid w:val="00D2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B64F"/>
  <w15:chartTrackingRefBased/>
  <w15:docId w15:val="{55D8A88D-EAE0-4BFB-ABA3-1681D296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2F59"/>
    <w:pPr>
      <w:spacing w:line="256" w:lineRule="auto"/>
    </w:pPr>
    <w:rPr>
      <w:kern w:val="0"/>
      <w:sz w:val="22"/>
      <w:szCs w:val="22"/>
      <w14:ligatures w14:val="none"/>
    </w:rPr>
  </w:style>
  <w:style w:type="paragraph" w:styleId="Antrat1">
    <w:name w:val="heading 1"/>
    <w:basedOn w:val="prastasis"/>
    <w:next w:val="prastasis"/>
    <w:link w:val="Antrat1Diagrama"/>
    <w:uiPriority w:val="9"/>
    <w:qFormat/>
    <w:rsid w:val="00872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72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72F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72F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72F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72F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2F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2F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2F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2F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72F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72F5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72F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72F5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72F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2F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2F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2F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2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2F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2F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2F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2F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2F59"/>
    <w:rPr>
      <w:i/>
      <w:iCs/>
      <w:color w:val="404040" w:themeColor="text1" w:themeTint="BF"/>
    </w:rPr>
  </w:style>
  <w:style w:type="paragraph" w:styleId="Sraopastraipa">
    <w:name w:val="List Paragraph"/>
    <w:basedOn w:val="prastasis"/>
    <w:uiPriority w:val="34"/>
    <w:qFormat/>
    <w:rsid w:val="00872F59"/>
    <w:pPr>
      <w:ind w:left="720"/>
      <w:contextualSpacing/>
    </w:pPr>
  </w:style>
  <w:style w:type="character" w:styleId="Rykuspabraukimas">
    <w:name w:val="Intense Emphasis"/>
    <w:basedOn w:val="Numatytasispastraiposriftas"/>
    <w:uiPriority w:val="21"/>
    <w:qFormat/>
    <w:rsid w:val="00872F59"/>
    <w:rPr>
      <w:i/>
      <w:iCs/>
      <w:color w:val="2F5496" w:themeColor="accent1" w:themeShade="BF"/>
    </w:rPr>
  </w:style>
  <w:style w:type="paragraph" w:styleId="Iskirtacitata">
    <w:name w:val="Intense Quote"/>
    <w:basedOn w:val="prastasis"/>
    <w:next w:val="prastasis"/>
    <w:link w:val="IskirtacitataDiagrama"/>
    <w:uiPriority w:val="30"/>
    <w:qFormat/>
    <w:rsid w:val="00872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72F59"/>
    <w:rPr>
      <w:i/>
      <w:iCs/>
      <w:color w:val="2F5496" w:themeColor="accent1" w:themeShade="BF"/>
    </w:rPr>
  </w:style>
  <w:style w:type="character" w:styleId="Rykinuoroda">
    <w:name w:val="Intense Reference"/>
    <w:basedOn w:val="Numatytasispastraiposriftas"/>
    <w:uiPriority w:val="32"/>
    <w:qFormat/>
    <w:rsid w:val="00872F59"/>
    <w:rPr>
      <w:b/>
      <w:bCs/>
      <w:smallCaps/>
      <w:color w:val="2F5496" w:themeColor="accent1" w:themeShade="BF"/>
      <w:spacing w:val="5"/>
    </w:rPr>
  </w:style>
  <w:style w:type="character" w:styleId="Hipersaitas">
    <w:name w:val="Hyperlink"/>
    <w:basedOn w:val="Numatytasispastraiposriftas"/>
    <w:uiPriority w:val="99"/>
    <w:semiHidden/>
    <w:unhideWhenUsed/>
    <w:rsid w:val="00872F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3EEE59417F1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3930</Words>
  <Characters>2241</Characters>
  <Application>Microsoft Office Word</Application>
  <DocSecurity>4</DocSecurity>
  <Lines>18</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2025-08-04T13:00:00Z</dcterms:created>
  <dcterms:modified xsi:type="dcterms:W3CDTF">2025-08-04T13:00:00Z</dcterms:modified>
</cp:coreProperties>
</file>