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3FEA2" w14:textId="77777777" w:rsidR="006539FD" w:rsidRDefault="006539FD" w:rsidP="00CC0DF0">
      <w:pPr>
        <w:tabs>
          <w:tab w:val="left" w:pos="0"/>
        </w:tabs>
        <w:jc w:val="center"/>
        <w:rPr>
          <w:b/>
        </w:rPr>
      </w:pPr>
      <w:r w:rsidRPr="00B332F8">
        <w:rPr>
          <w:b/>
        </w:rPr>
        <w:t>AIŠKINAMASIS RAŠTAS</w:t>
      </w:r>
    </w:p>
    <w:p w14:paraId="389C5143" w14:textId="77777777" w:rsidR="0075365D" w:rsidRDefault="0075365D" w:rsidP="0075365D">
      <w:pPr>
        <w:pStyle w:val="Antrat1"/>
      </w:pPr>
      <w:r>
        <w:t xml:space="preserve">DĖL SAVIVALDYBĖS TARYBOS 2023 M. BIRŽELIO 22 D. SPRENDIMO NR. 1-187 </w:t>
      </w:r>
    </w:p>
    <w:p w14:paraId="5FE64AF5" w14:textId="77777777" w:rsidR="00B42A26" w:rsidRPr="0061607E" w:rsidRDefault="0075365D" w:rsidP="0075365D">
      <w:pPr>
        <w:jc w:val="center"/>
        <w:rPr>
          <w:b/>
          <w:color w:val="000000"/>
          <w:shd w:val="clear" w:color="auto" w:fill="FFFFFF"/>
        </w:rPr>
      </w:pPr>
      <w:r w:rsidRPr="0075365D">
        <w:rPr>
          <w:b/>
        </w:rPr>
        <w:t>„DĖL KELEIVIŲ VEŽIMO VIETINIO (MIESTO) REGULIARAUS SUSISIEKIMO AUTOBUSŲ MARŠRUTAIS PANEVĖŽIO MIESTE BILIETŲ RŪŠIŲ IR KAINŲ NUSTATYMO, SAVIVALDYBĖS TARYBOS 2011 M. GRUODŽIO 15 D. SPRENDIMO NR. 1-12-4 PRIPAŽINIMO NETEKUSIU GALIOS“ PAKEITIMO</w:t>
      </w:r>
      <w:r w:rsidR="00D736F0">
        <w:rPr>
          <w:b/>
          <w:color w:val="000000"/>
          <w:shd w:val="clear" w:color="auto" w:fill="FFFFFF"/>
        </w:rPr>
        <w:t xml:space="preserve">   </w:t>
      </w:r>
    </w:p>
    <w:p w14:paraId="55590E9F" w14:textId="77777777" w:rsidR="00423AA2" w:rsidRDefault="00423AA2" w:rsidP="001352EF">
      <w:pPr>
        <w:tabs>
          <w:tab w:val="left" w:pos="0"/>
        </w:tabs>
        <w:jc w:val="center"/>
      </w:pPr>
    </w:p>
    <w:p w14:paraId="20D68E1E" w14:textId="06DFDE1F" w:rsidR="006539FD" w:rsidRPr="00B332F8" w:rsidRDefault="00F56BB8" w:rsidP="001352EF">
      <w:pPr>
        <w:tabs>
          <w:tab w:val="left" w:pos="0"/>
        </w:tabs>
        <w:jc w:val="center"/>
      </w:pPr>
      <w:r w:rsidRPr="00B332F8">
        <w:t>20</w:t>
      </w:r>
      <w:r w:rsidR="0078280A">
        <w:t>2</w:t>
      </w:r>
      <w:r w:rsidR="00DC38C9">
        <w:t>5</w:t>
      </w:r>
      <w:r w:rsidRPr="00B332F8">
        <w:t xml:space="preserve"> m. </w:t>
      </w:r>
      <w:r w:rsidR="0074484D">
        <w:t>rugpjūči</w:t>
      </w:r>
      <w:r w:rsidR="0021258E">
        <w:t>o</w:t>
      </w:r>
      <w:r w:rsidR="00626CE6">
        <w:t xml:space="preserve"> </w:t>
      </w:r>
      <w:r w:rsidR="00B7601F">
        <w:t>6</w:t>
      </w:r>
      <w:r w:rsidR="00A62203">
        <w:t xml:space="preserve"> </w:t>
      </w:r>
      <w:r w:rsidRPr="00B332F8">
        <w:t>d.</w:t>
      </w:r>
    </w:p>
    <w:p w14:paraId="53FF64ED" w14:textId="77777777" w:rsidR="00423AA2" w:rsidRDefault="00423AA2" w:rsidP="001352EF">
      <w:pPr>
        <w:tabs>
          <w:tab w:val="left" w:pos="0"/>
        </w:tabs>
        <w:jc w:val="center"/>
      </w:pPr>
    </w:p>
    <w:p w14:paraId="6216EB10" w14:textId="4AD7CDCF" w:rsidR="006539FD" w:rsidRDefault="006539FD" w:rsidP="001352EF">
      <w:pPr>
        <w:tabs>
          <w:tab w:val="left" w:pos="0"/>
        </w:tabs>
        <w:jc w:val="center"/>
      </w:pPr>
      <w:r w:rsidRPr="00B332F8">
        <w:t>Panevėžys</w:t>
      </w:r>
    </w:p>
    <w:p w14:paraId="2444C0AC" w14:textId="77777777" w:rsidR="00AA299B" w:rsidRDefault="00AA299B" w:rsidP="001352EF">
      <w:pPr>
        <w:tabs>
          <w:tab w:val="left" w:pos="0"/>
        </w:tabs>
        <w:jc w:val="center"/>
      </w:pPr>
    </w:p>
    <w:p w14:paraId="61912508" w14:textId="77777777" w:rsidR="00423AA2" w:rsidRPr="00B332F8" w:rsidRDefault="00423AA2" w:rsidP="001352EF">
      <w:pPr>
        <w:tabs>
          <w:tab w:val="left" w:pos="0"/>
        </w:tabs>
        <w:jc w:val="center"/>
      </w:pPr>
    </w:p>
    <w:p w14:paraId="7CA0439F" w14:textId="77777777" w:rsidR="0059465A" w:rsidRPr="000C0B62" w:rsidRDefault="007B2C2A" w:rsidP="00CB2375">
      <w:pPr>
        <w:pStyle w:val="Sraopastraipa"/>
        <w:numPr>
          <w:ilvl w:val="0"/>
          <w:numId w:val="5"/>
        </w:numPr>
        <w:tabs>
          <w:tab w:val="left" w:pos="0"/>
        </w:tabs>
        <w:spacing w:line="276" w:lineRule="auto"/>
        <w:jc w:val="both"/>
        <w:rPr>
          <w:rFonts w:ascii="Times New Roman" w:hAnsi="Times New Roman" w:cs="Times New Roman"/>
          <w:sz w:val="24"/>
          <w:szCs w:val="24"/>
        </w:rPr>
      </w:pPr>
      <w:r w:rsidRPr="000C0B62">
        <w:rPr>
          <w:rFonts w:ascii="Times New Roman" w:hAnsi="Times New Roman" w:cs="Times New Roman"/>
          <w:b/>
          <w:sz w:val="24"/>
          <w:szCs w:val="24"/>
        </w:rPr>
        <w:t>S</w:t>
      </w:r>
      <w:r w:rsidR="00D736F0" w:rsidRPr="000C0B62">
        <w:rPr>
          <w:rFonts w:ascii="Times New Roman" w:hAnsi="Times New Roman" w:cs="Times New Roman"/>
          <w:b/>
          <w:sz w:val="24"/>
          <w:szCs w:val="24"/>
        </w:rPr>
        <w:t>prendimo projekto tikslai ir uždaviniai</w:t>
      </w:r>
      <w:r w:rsidR="00E53864" w:rsidRPr="000C0B62">
        <w:rPr>
          <w:rFonts w:ascii="Times New Roman" w:hAnsi="Times New Roman" w:cs="Times New Roman"/>
          <w:b/>
          <w:sz w:val="24"/>
          <w:szCs w:val="24"/>
        </w:rPr>
        <w:t>:</w:t>
      </w:r>
      <w:r w:rsidR="00E53864" w:rsidRPr="000C0B62">
        <w:rPr>
          <w:rFonts w:ascii="Times New Roman" w:hAnsi="Times New Roman" w:cs="Times New Roman"/>
          <w:sz w:val="24"/>
          <w:szCs w:val="24"/>
        </w:rPr>
        <w:t xml:space="preserve"> </w:t>
      </w:r>
    </w:p>
    <w:p w14:paraId="2B4F335C" w14:textId="77777777" w:rsidR="00E75F87" w:rsidRPr="006A112F" w:rsidRDefault="00E75F87" w:rsidP="00CB2375">
      <w:pPr>
        <w:pStyle w:val="Sraopastraipa"/>
        <w:tabs>
          <w:tab w:val="left" w:pos="0"/>
        </w:tabs>
        <w:spacing w:after="0" w:line="276" w:lineRule="auto"/>
        <w:ind w:left="0" w:firstLine="720"/>
        <w:jc w:val="both"/>
        <w:rPr>
          <w:rFonts w:ascii="Times New Roman" w:hAnsi="Times New Roman" w:cs="Times New Roman"/>
          <w:sz w:val="24"/>
          <w:szCs w:val="24"/>
        </w:rPr>
      </w:pPr>
      <w:r w:rsidRPr="006A112F">
        <w:rPr>
          <w:rFonts w:ascii="Times New Roman" w:hAnsi="Times New Roman" w:cs="Times New Roman"/>
          <w:sz w:val="24"/>
          <w:szCs w:val="24"/>
        </w:rPr>
        <w:t>Lietuvos Respublikos vietos savivaldos įstatymo 15 straipsnio 2 dalies 29 punkte numatyta išimtinė Savivaldybės tarybos kompetencija įstatymų nustatyta tvarka nustatyti (tvirtinti) kainas ir tarifus už savivaldybės valdomų įmonių, biudžetinių ir viešųjų įstaigų (kurių savininkė yra Savivaldybė) teikiamas atlygintinas viešąsias paslaugas, keleivių vežimą vietiniais maršrutais</w:t>
      </w:r>
      <w:r w:rsidR="006A3B79">
        <w:rPr>
          <w:rFonts w:ascii="Times New Roman" w:hAnsi="Times New Roman" w:cs="Times New Roman"/>
          <w:sz w:val="24"/>
          <w:szCs w:val="24"/>
        </w:rPr>
        <w:t xml:space="preserve"> ir kt.</w:t>
      </w:r>
      <w:r w:rsidRPr="006A112F">
        <w:rPr>
          <w:rFonts w:ascii="Times New Roman" w:hAnsi="Times New Roman" w:cs="Times New Roman"/>
          <w:sz w:val="24"/>
          <w:szCs w:val="24"/>
        </w:rPr>
        <w:t xml:space="preserve"> </w:t>
      </w:r>
    </w:p>
    <w:p w14:paraId="187208FF" w14:textId="77777777" w:rsidR="00973151" w:rsidRDefault="009407FC" w:rsidP="00CB2375">
      <w:pPr>
        <w:spacing w:line="276" w:lineRule="auto"/>
        <w:ind w:firstLine="567"/>
        <w:jc w:val="both"/>
        <w:rPr>
          <w:i/>
        </w:rPr>
      </w:pPr>
      <w:r w:rsidRPr="006E1BD6">
        <w:t xml:space="preserve">Vadovaujantis Lietuvos Respublikos </w:t>
      </w:r>
      <w:r w:rsidR="00C24897">
        <w:t xml:space="preserve">kelių </w:t>
      </w:r>
      <w:r w:rsidRPr="006E1BD6">
        <w:t xml:space="preserve">transporto </w:t>
      </w:r>
      <w:r w:rsidR="00973151">
        <w:t>kodekso</w:t>
      </w:r>
      <w:r w:rsidRPr="006E1BD6">
        <w:t xml:space="preserve"> </w:t>
      </w:r>
      <w:r w:rsidR="00DC38C9">
        <w:t>16</w:t>
      </w:r>
      <w:r w:rsidRPr="006E1BD6">
        <w:t xml:space="preserve"> straipsnio </w:t>
      </w:r>
      <w:r w:rsidR="00973151">
        <w:t>2</w:t>
      </w:r>
      <w:r w:rsidRPr="006E1BD6">
        <w:t xml:space="preserve"> dali</w:t>
      </w:r>
      <w:r>
        <w:t xml:space="preserve">es nuostatomis </w:t>
      </w:r>
      <w:r>
        <w:rPr>
          <w:i/>
          <w:color w:val="000000"/>
        </w:rPr>
        <w:t>„</w:t>
      </w:r>
      <w:r w:rsidR="00973151" w:rsidRPr="00973151">
        <w:rPr>
          <w:i/>
        </w:rPr>
        <w:t>Keleivių vežimo reguliariais reisais vietinio susisiekimo maršrutais konkrečius tarifų dydžius nustato savivaldybės atstovaujamoji institucija. Šie tarifų dydžiai peržiūrimi ne rečiau kaip kartą per metus, atsižvelgiant į vežimo sąnaudų, gautų pajamų pokyčius ir viešųjų paslaugų sutartyse tarp savivaldybių ir vežėjų numatytus įsipareigojimus. Atskiriems maršrutams gali būti nustatomi skirtingi tarifų dydžiai.</w:t>
      </w:r>
      <w:r w:rsidR="00973151">
        <w:rPr>
          <w:i/>
        </w:rPr>
        <w:t>“</w:t>
      </w:r>
    </w:p>
    <w:p w14:paraId="69CFD76E" w14:textId="77777777" w:rsidR="00F723AA" w:rsidRDefault="00F723AA" w:rsidP="00CB2375">
      <w:pPr>
        <w:tabs>
          <w:tab w:val="left" w:pos="0"/>
        </w:tabs>
        <w:spacing w:line="276" w:lineRule="auto"/>
        <w:ind w:firstLine="720"/>
        <w:jc w:val="both"/>
      </w:pPr>
      <w:r w:rsidRPr="00C21D88">
        <w:t>Panevėžio miesto savivaldybės tarybos 2011 m. gruodžio 15 d. sprendimu Nr. 1-12-4</w:t>
      </w:r>
      <w:r w:rsidR="00C21D88" w:rsidRPr="00C21D88">
        <w:t xml:space="preserve"> buvo nustatyti keleivių vežimo reguliariais reisais vietinio susisiekimo maršrutais konkretūs tarifų</w:t>
      </w:r>
      <w:r w:rsidR="00C21D88" w:rsidRPr="00C21D88">
        <w:rPr>
          <w:i/>
        </w:rPr>
        <w:t xml:space="preserve"> </w:t>
      </w:r>
      <w:r w:rsidR="00C21D88" w:rsidRPr="00C21D88">
        <w:t>dydžiai,</w:t>
      </w:r>
      <w:r w:rsidR="00C21D88" w:rsidRPr="00C21D88">
        <w:rPr>
          <w:i/>
        </w:rPr>
        <w:t xml:space="preserve"> </w:t>
      </w:r>
      <w:r w:rsidR="00C21D88" w:rsidRPr="00C21D88">
        <w:t>kurie</w:t>
      </w:r>
      <w:r w:rsidR="00C21D88" w:rsidRPr="00C21D88">
        <w:rPr>
          <w:i/>
        </w:rPr>
        <w:t xml:space="preserve"> </w:t>
      </w:r>
      <w:r w:rsidRPr="00C21D88">
        <w:t>2014 m. rugsėjo  25 d. sprendimu Nr. 1-267 perskaičiuot</w:t>
      </w:r>
      <w:r w:rsidR="00C21D88" w:rsidRPr="00C21D88">
        <w:t>i</w:t>
      </w:r>
      <w:r w:rsidRPr="00C21D88">
        <w:t xml:space="preserve"> į eurus</w:t>
      </w:r>
      <w:r w:rsidR="008D6E4D">
        <w:t>, tačiau kainos nebuvo keistos.</w:t>
      </w:r>
    </w:p>
    <w:p w14:paraId="65888B06" w14:textId="77777777" w:rsidR="004220DD" w:rsidRDefault="00C21D88" w:rsidP="00CB2375">
      <w:pPr>
        <w:tabs>
          <w:tab w:val="left" w:pos="0"/>
        </w:tabs>
        <w:spacing w:line="276" w:lineRule="auto"/>
        <w:ind w:firstLine="720"/>
        <w:jc w:val="both"/>
      </w:pPr>
      <w:r>
        <w:t>2023 m. įdiegus elektroninio bilieto sistemą</w:t>
      </w:r>
      <w:r w:rsidRPr="00C21D88">
        <w:t xml:space="preserve"> </w:t>
      </w:r>
      <w:r>
        <w:t>Panevėžio miesto viešajame transporte, Panevėžio miesto savivaldybės tarybos 2023 m. birželio 22 d. sprendimu Nr. 1-187 „Dėl keleivių vežimo vietinio (miesto) reguliaraus susisiekimo autobusų maršrutais Panevėžio mieste bilietų rūšių ir kainų nustatymo, Savivaldybės tarybos 2011 m. gruodžio 15 d. sprendimo Nr. 1-12-4 pripažinimo netekusiu galios“ buvo nustatyt</w:t>
      </w:r>
      <w:r w:rsidR="004E2C63">
        <w:t xml:space="preserve">os konkrečios </w:t>
      </w:r>
      <w:r>
        <w:t xml:space="preserve">elektroninių bilietų </w:t>
      </w:r>
      <w:r w:rsidR="004E2C63">
        <w:t xml:space="preserve">kainos ir praplėstos bilietų rūšys </w:t>
      </w:r>
      <w:r w:rsidR="004E2C63" w:rsidRPr="004220DD">
        <w:t>(</w:t>
      </w:r>
      <w:r w:rsidR="008D6E4D">
        <w:t xml:space="preserve">iš esmės </w:t>
      </w:r>
      <w:r w:rsidR="004E2C63" w:rsidRPr="004220DD">
        <w:t>elektroninių bilietų kainos</w:t>
      </w:r>
      <w:r w:rsidR="00F723AA" w:rsidRPr="004220DD">
        <w:t xml:space="preserve"> </w:t>
      </w:r>
      <w:r w:rsidR="004E2C63" w:rsidRPr="004220DD">
        <w:t>buvo nustat</w:t>
      </w:r>
      <w:r w:rsidR="004220DD" w:rsidRPr="004220DD">
        <w:t xml:space="preserve">ytos vadovaujantis </w:t>
      </w:r>
      <w:r w:rsidR="00F723AA" w:rsidRPr="004220DD">
        <w:t xml:space="preserve"> </w:t>
      </w:r>
      <w:r w:rsidR="004220DD">
        <w:t>2011 m. gruodžio 15 d. sprendimu Nr. 1-12-4 nustatyta bazine kaina</w:t>
      </w:r>
      <w:r w:rsidR="008D6E4D">
        <w:t xml:space="preserve"> (pvz. </w:t>
      </w:r>
      <w:r w:rsidR="004220DD">
        <w:t>vienkartinio bilieto kaina – 0,52 Eur</w:t>
      </w:r>
      <w:r w:rsidR="008D6E4D">
        <w:t>) ir kainos nebuvo keistos</w:t>
      </w:r>
      <w:r w:rsidR="004220DD">
        <w:t>).</w:t>
      </w:r>
    </w:p>
    <w:p w14:paraId="64ACE698" w14:textId="0263ADDC" w:rsidR="00B1257F" w:rsidRDefault="005461AA" w:rsidP="00CB2375">
      <w:pPr>
        <w:tabs>
          <w:tab w:val="left" w:pos="0"/>
        </w:tabs>
        <w:spacing w:line="276" w:lineRule="auto"/>
        <w:ind w:firstLine="720"/>
        <w:jc w:val="both"/>
      </w:pPr>
      <w:r>
        <w:t>Per 13 metų laikotarpį</w:t>
      </w:r>
      <w:r w:rsidR="008D6E4D">
        <w:t xml:space="preserve"> (</w:t>
      </w:r>
      <w:r w:rsidR="008D6E4D">
        <w:rPr>
          <w:lang w:val="en-US"/>
        </w:rPr>
        <w:t>2012 – 2025 m.</w:t>
      </w:r>
      <w:r w:rsidR="008D6E4D">
        <w:t>)</w:t>
      </w:r>
      <w:r>
        <w:t xml:space="preserve"> </w:t>
      </w:r>
      <w:r w:rsidR="008D6E4D">
        <w:t xml:space="preserve">reikšmingai </w:t>
      </w:r>
      <w:r>
        <w:t>išaugo infliacija</w:t>
      </w:r>
      <w:r w:rsidR="008D37D2" w:rsidRPr="001B1736">
        <w:t xml:space="preserve"> (</w:t>
      </w:r>
      <w:r w:rsidR="00BE1570">
        <w:t>b</w:t>
      </w:r>
      <w:r w:rsidR="008D37D2" w:rsidRPr="001B1736">
        <w:t>endra (suminė) infliacija Lietuvoje 2012–2025 m. sudarė apie 59 %)</w:t>
      </w:r>
      <w:r>
        <w:t xml:space="preserve">, sumažėjo </w:t>
      </w:r>
      <w:r w:rsidR="008D6E4D">
        <w:t xml:space="preserve">Eur </w:t>
      </w:r>
      <w:r>
        <w:t>perkamoji galia, išaugo keleivių vežimo paslaug</w:t>
      </w:r>
      <w:r w:rsidR="00C40355">
        <w:t>ų sistemos (</w:t>
      </w:r>
      <w:r>
        <w:t xml:space="preserve">organizuojančių ir vykdančių </w:t>
      </w:r>
      <w:r w:rsidR="00C40355">
        <w:t xml:space="preserve">organizacijų) </w:t>
      </w:r>
      <w:r w:rsidR="00946628">
        <w:t>veiklos sąnaudos ir išaugo v</w:t>
      </w:r>
      <w:r w:rsidR="00946628" w:rsidRPr="00946628">
        <w:t>ežėj</w:t>
      </w:r>
      <w:r w:rsidR="00946628">
        <w:t>o</w:t>
      </w:r>
      <w:r w:rsidR="00946628" w:rsidRPr="00946628">
        <w:t xml:space="preserve"> patir</w:t>
      </w:r>
      <w:r w:rsidR="00C40355">
        <w:t>iami</w:t>
      </w:r>
      <w:r w:rsidR="00946628" w:rsidRPr="00946628">
        <w:t xml:space="preserve"> nuostoliai, susidarantys dėl </w:t>
      </w:r>
      <w:r w:rsidR="00946628">
        <w:t>S</w:t>
      </w:r>
      <w:r w:rsidR="00946628" w:rsidRPr="00946628">
        <w:t>avivaldyb</w:t>
      </w:r>
      <w:r w:rsidR="00946628">
        <w:t>ės</w:t>
      </w:r>
      <w:r w:rsidR="00946628" w:rsidRPr="00946628">
        <w:t xml:space="preserve"> taryb</w:t>
      </w:r>
      <w:r w:rsidR="00946628">
        <w:t>os</w:t>
      </w:r>
      <w:r w:rsidR="00946628" w:rsidRPr="00946628">
        <w:t xml:space="preserve"> nustatytų keleivių vežimo reguliariais reisais vietinio susisiekimo maršrutais </w:t>
      </w:r>
      <w:r w:rsidR="003049F1" w:rsidRPr="00946628">
        <w:t>tarifų</w:t>
      </w:r>
      <w:r w:rsidR="003049F1">
        <w:t>, kurie nepadengia</w:t>
      </w:r>
      <w:r w:rsidR="00A266CE">
        <w:t xml:space="preserve"> šios sistemos sąnaudų ir</w:t>
      </w:r>
      <w:r w:rsidR="00946628" w:rsidRPr="00946628">
        <w:t xml:space="preserve"> </w:t>
      </w:r>
      <w:r w:rsidR="00946628">
        <w:t>kuri</w:t>
      </w:r>
      <w:r w:rsidR="00A266CE">
        <w:t>os</w:t>
      </w:r>
      <w:r w:rsidR="00946628">
        <w:t xml:space="preserve"> yra </w:t>
      </w:r>
      <w:r w:rsidR="00946628" w:rsidRPr="00946628">
        <w:t>kompensuojam</w:t>
      </w:r>
      <w:r w:rsidR="00A266CE">
        <w:t>os</w:t>
      </w:r>
      <w:r w:rsidR="00946628" w:rsidRPr="00946628">
        <w:t xml:space="preserve"> iš </w:t>
      </w:r>
      <w:r w:rsidR="00946628">
        <w:t>S</w:t>
      </w:r>
      <w:r w:rsidR="00946628" w:rsidRPr="00946628">
        <w:t>avivaldyb</w:t>
      </w:r>
      <w:r w:rsidR="00946628">
        <w:t>ės</w:t>
      </w:r>
      <w:r w:rsidR="00946628" w:rsidRPr="00946628">
        <w:t xml:space="preserve"> biudžete tam tikslui numatytų lėšų.</w:t>
      </w:r>
      <w:r w:rsidR="00B7601F">
        <w:t xml:space="preserve"> </w:t>
      </w:r>
    </w:p>
    <w:p w14:paraId="424A4CE1" w14:textId="1E340275" w:rsidR="00946628" w:rsidRDefault="00B1257F" w:rsidP="00CB2375">
      <w:pPr>
        <w:tabs>
          <w:tab w:val="left" w:pos="0"/>
        </w:tabs>
        <w:spacing w:line="276" w:lineRule="auto"/>
        <w:ind w:firstLine="720"/>
        <w:jc w:val="both"/>
      </w:pPr>
      <w:r>
        <w:t xml:space="preserve">Pažymėtina, kad 2012 m. pradžioje minimali mėnesinė alga (MMA) buvo 231,7 Eur (800 Lt), o nuo </w:t>
      </w:r>
      <w:r w:rsidR="00B7601F">
        <w:t>2025 m. pradžios MMA didėjo iki 1038 Eur, kai t. y. padidėjo 448 proc. arba 4,5 karto.</w:t>
      </w:r>
      <w:r w:rsidR="00845F06">
        <w:t xml:space="preserve"> Pagal </w:t>
      </w:r>
      <w:r w:rsidR="00E93E2B">
        <w:t xml:space="preserve">oficialiosios statistikos portalo infliacijos skaičiuoklės duomenis </w:t>
      </w:r>
      <w:r w:rsidR="00E93E2B" w:rsidRPr="00E93E2B">
        <w:rPr>
          <w:i/>
        </w:rPr>
        <w:t>keleivių vežimo keliais</w:t>
      </w:r>
      <w:r w:rsidR="00E93E2B">
        <w:t xml:space="preserve"> kategorija lyginamuoju laikotarpiu (2025-06 palyginti su 2012-01) rodo kainų padidėjim</w:t>
      </w:r>
      <w:r>
        <w:t>ą</w:t>
      </w:r>
      <w:r w:rsidR="00E93E2B">
        <w:t xml:space="preserve"> 33,3 proc.; atitinkamai  </w:t>
      </w:r>
      <w:r w:rsidR="00E93E2B" w:rsidRPr="00E93E2B">
        <w:rPr>
          <w:i/>
        </w:rPr>
        <w:t>transporto paslaugos</w:t>
      </w:r>
      <w:r w:rsidR="00E93E2B">
        <w:t xml:space="preserve"> kategorij</w:t>
      </w:r>
      <w:r>
        <w:t>oje</w:t>
      </w:r>
      <w:r w:rsidR="00E93E2B">
        <w:t xml:space="preserve"> tuo pačiu laikotarpiu kainų padidėjim</w:t>
      </w:r>
      <w:r>
        <w:t>ą</w:t>
      </w:r>
      <w:r w:rsidR="00E93E2B">
        <w:t xml:space="preserve"> 43,5 proc.</w:t>
      </w:r>
    </w:p>
    <w:p w14:paraId="22095BAA" w14:textId="2C937428" w:rsidR="00037DBC" w:rsidRDefault="00037DBC" w:rsidP="001B1736">
      <w:pPr>
        <w:pStyle w:val="Sraopastraipa"/>
        <w:spacing w:after="0" w:line="276" w:lineRule="auto"/>
        <w:ind w:left="0" w:firstLine="709"/>
        <w:jc w:val="both"/>
        <w:rPr>
          <w:rFonts w:ascii="Times New Roman" w:hAnsi="Times New Roman" w:cs="Times New Roman"/>
          <w:sz w:val="24"/>
          <w:szCs w:val="24"/>
        </w:rPr>
      </w:pPr>
      <w:r w:rsidRPr="001B1736">
        <w:rPr>
          <w:rFonts w:ascii="Times New Roman" w:hAnsi="Times New Roman" w:cs="Times New Roman"/>
          <w:sz w:val="24"/>
          <w:szCs w:val="24"/>
        </w:rPr>
        <w:t>Taip pat,</w:t>
      </w:r>
      <w:r w:rsidRPr="00037DBC">
        <w:rPr>
          <w:rFonts w:ascii="Times New Roman" w:hAnsi="Times New Roman" w:cs="Times New Roman"/>
          <w:sz w:val="24"/>
          <w:szCs w:val="24"/>
        </w:rPr>
        <w:t xml:space="preserve"> </w:t>
      </w:r>
      <w:r w:rsidRPr="00C71D11">
        <w:rPr>
          <w:rFonts w:ascii="Times New Roman" w:hAnsi="Times New Roman" w:cs="Times New Roman"/>
          <w:sz w:val="24"/>
          <w:szCs w:val="24"/>
        </w:rPr>
        <w:t xml:space="preserve">Lietuvos Respublikos pridėtinės vertės mokesčio įstatymo 19 str. 3 d. </w:t>
      </w:r>
      <w:r>
        <w:rPr>
          <w:rFonts w:ascii="Times New Roman" w:hAnsi="Times New Roman" w:cs="Times New Roman"/>
          <w:sz w:val="24"/>
          <w:szCs w:val="24"/>
        </w:rPr>
        <w:t xml:space="preserve">nustato, kad </w:t>
      </w:r>
      <w:r w:rsidRPr="00C71D11">
        <w:rPr>
          <w:rFonts w:ascii="Times New Roman" w:hAnsi="Times New Roman" w:cs="Times New Roman"/>
          <w:sz w:val="24"/>
          <w:szCs w:val="24"/>
        </w:rPr>
        <w:t>iki 2025 m. gruodžio 31 d. galioja lengvatinis 9 proc.</w:t>
      </w:r>
      <w:r>
        <w:rPr>
          <w:rFonts w:ascii="Times New Roman" w:hAnsi="Times New Roman" w:cs="Times New Roman"/>
          <w:sz w:val="24"/>
          <w:szCs w:val="24"/>
        </w:rPr>
        <w:t xml:space="preserve"> </w:t>
      </w:r>
      <w:r w:rsidRPr="00C71D11">
        <w:rPr>
          <w:rFonts w:ascii="Times New Roman" w:hAnsi="Times New Roman" w:cs="Times New Roman"/>
          <w:sz w:val="24"/>
          <w:szCs w:val="24"/>
        </w:rPr>
        <w:t>PVM tarifas, o nuo 2026 m. sausio 1 d. įsigalioja lengvatinis 12 proc</w:t>
      </w:r>
      <w:r>
        <w:rPr>
          <w:rFonts w:ascii="Times New Roman" w:hAnsi="Times New Roman" w:cs="Times New Roman"/>
          <w:sz w:val="24"/>
          <w:szCs w:val="24"/>
        </w:rPr>
        <w:t>.</w:t>
      </w:r>
      <w:r w:rsidRPr="00C71D11">
        <w:rPr>
          <w:rFonts w:ascii="Times New Roman" w:hAnsi="Times New Roman" w:cs="Times New Roman"/>
          <w:sz w:val="24"/>
          <w:szCs w:val="24"/>
        </w:rPr>
        <w:t xml:space="preserve"> PVM tarifas</w:t>
      </w:r>
      <w:r>
        <w:rPr>
          <w:rFonts w:ascii="Times New Roman" w:hAnsi="Times New Roman" w:cs="Times New Roman"/>
          <w:sz w:val="24"/>
          <w:szCs w:val="24"/>
        </w:rPr>
        <w:t xml:space="preserve">, kuris taikomas </w:t>
      </w:r>
      <w:r w:rsidRPr="007700EF">
        <w:rPr>
          <w:rFonts w:ascii="Times New Roman" w:hAnsi="Times New Roman" w:cs="Times New Roman"/>
          <w:i/>
          <w:sz w:val="24"/>
          <w:szCs w:val="24"/>
        </w:rPr>
        <w:t>„keleivių vežimo Lietuvos Respublikos susisiekimo ministerijos ar jos įgaliotos institucijos arba savivaldybių nustatytais reguliaraus susisiekimo maršrutais paslaugoms, taip pat šiame punkte nurodytų keleivių bagažo vežimo paslaugoms</w:t>
      </w:r>
      <w:r w:rsidRPr="00C71D11">
        <w:rPr>
          <w:rFonts w:ascii="Times New Roman" w:hAnsi="Times New Roman" w:cs="Times New Roman"/>
          <w:sz w:val="24"/>
          <w:szCs w:val="24"/>
        </w:rPr>
        <w:t>;“</w:t>
      </w:r>
      <w:r>
        <w:rPr>
          <w:rFonts w:ascii="Times New Roman" w:hAnsi="Times New Roman" w:cs="Times New Roman"/>
          <w:sz w:val="24"/>
          <w:szCs w:val="24"/>
        </w:rPr>
        <w:t>.</w:t>
      </w:r>
    </w:p>
    <w:p w14:paraId="4F9623E7" w14:textId="5C0E5303" w:rsidR="00037DBC" w:rsidRDefault="00037DBC" w:rsidP="00CB2375">
      <w:pPr>
        <w:tabs>
          <w:tab w:val="left" w:pos="0"/>
        </w:tabs>
        <w:spacing w:line="276" w:lineRule="auto"/>
        <w:ind w:firstLine="720"/>
        <w:jc w:val="both"/>
      </w:pPr>
    </w:p>
    <w:p w14:paraId="37743C90" w14:textId="77777777" w:rsidR="000C0B62" w:rsidRPr="00946628" w:rsidRDefault="000C0B62" w:rsidP="00CB2375">
      <w:pPr>
        <w:tabs>
          <w:tab w:val="left" w:pos="0"/>
        </w:tabs>
        <w:spacing w:line="276" w:lineRule="auto"/>
        <w:ind w:firstLine="720"/>
        <w:jc w:val="both"/>
      </w:pPr>
    </w:p>
    <w:p w14:paraId="01443E94" w14:textId="77777777" w:rsidR="0059465A" w:rsidRPr="001E5C8A" w:rsidRDefault="00D736F0" w:rsidP="00CB2375">
      <w:pPr>
        <w:pStyle w:val="Sraopastraipa"/>
        <w:numPr>
          <w:ilvl w:val="0"/>
          <w:numId w:val="5"/>
        </w:numPr>
        <w:spacing w:line="276" w:lineRule="auto"/>
        <w:jc w:val="both"/>
        <w:rPr>
          <w:rFonts w:ascii="Times New Roman" w:hAnsi="Times New Roman" w:cs="Times New Roman"/>
          <w:sz w:val="24"/>
          <w:szCs w:val="24"/>
        </w:rPr>
      </w:pPr>
      <w:r w:rsidRPr="001E5C8A">
        <w:rPr>
          <w:rFonts w:ascii="Times New Roman" w:hAnsi="Times New Roman" w:cs="Times New Roman"/>
          <w:b/>
          <w:bCs/>
          <w:sz w:val="24"/>
          <w:szCs w:val="24"/>
        </w:rPr>
        <w:lastRenderedPageBreak/>
        <w:t>Siūlomos teisinio reguliavimo nuostatos, laukiami rezultatai</w:t>
      </w:r>
      <w:r w:rsidR="00D83A57" w:rsidRPr="001E5C8A">
        <w:rPr>
          <w:rFonts w:ascii="Times New Roman" w:hAnsi="Times New Roman" w:cs="Times New Roman"/>
          <w:b/>
          <w:bCs/>
          <w:sz w:val="24"/>
          <w:szCs w:val="24"/>
        </w:rPr>
        <w:t>:</w:t>
      </w:r>
      <w:r w:rsidR="00D83A57" w:rsidRPr="001E5C8A">
        <w:rPr>
          <w:rFonts w:ascii="Times New Roman" w:hAnsi="Times New Roman" w:cs="Times New Roman"/>
          <w:sz w:val="24"/>
          <w:szCs w:val="24"/>
        </w:rPr>
        <w:t xml:space="preserve"> </w:t>
      </w:r>
    </w:p>
    <w:p w14:paraId="43A8680C" w14:textId="77777777" w:rsidR="00C81CCD" w:rsidRDefault="00A7228B" w:rsidP="00CB2375">
      <w:pPr>
        <w:pStyle w:val="Sraopastraipa"/>
        <w:spacing w:before="100" w:beforeAutospacing="1" w:after="100" w:afterAutospacing="1" w:line="276" w:lineRule="auto"/>
        <w:ind w:left="0" w:firstLine="709"/>
        <w:jc w:val="both"/>
      </w:pPr>
      <w:r w:rsidRPr="00C20FBB">
        <w:rPr>
          <w:rFonts w:ascii="Times New Roman" w:hAnsi="Times New Roman" w:cs="Times New Roman"/>
          <w:sz w:val="24"/>
          <w:szCs w:val="24"/>
        </w:rPr>
        <w:t xml:space="preserve">Parengtas </w:t>
      </w:r>
      <w:r w:rsidR="008E2D89" w:rsidRPr="00C20FBB">
        <w:rPr>
          <w:rFonts w:ascii="Times New Roman" w:hAnsi="Times New Roman" w:cs="Times New Roman"/>
          <w:sz w:val="24"/>
          <w:szCs w:val="24"/>
        </w:rPr>
        <w:t xml:space="preserve">Tarybos </w:t>
      </w:r>
      <w:r w:rsidRPr="00C20FBB">
        <w:rPr>
          <w:rFonts w:ascii="Times New Roman" w:hAnsi="Times New Roman" w:cs="Times New Roman"/>
          <w:sz w:val="24"/>
          <w:szCs w:val="24"/>
        </w:rPr>
        <w:t>sprendimo projektas</w:t>
      </w:r>
      <w:r w:rsidR="00D709F3" w:rsidRPr="00C20FBB">
        <w:rPr>
          <w:rFonts w:ascii="Times New Roman" w:hAnsi="Times New Roman" w:cs="Times New Roman"/>
          <w:sz w:val="24"/>
          <w:szCs w:val="24"/>
        </w:rPr>
        <w:t xml:space="preserve">, kuriuo </w:t>
      </w:r>
      <w:r w:rsidR="004917D4" w:rsidRPr="00C20FBB">
        <w:rPr>
          <w:rFonts w:ascii="Times New Roman" w:hAnsi="Times New Roman" w:cs="Times New Roman"/>
          <w:sz w:val="24"/>
          <w:szCs w:val="24"/>
        </w:rPr>
        <w:t xml:space="preserve">siūloma </w:t>
      </w:r>
      <w:r w:rsidR="00DE33BB" w:rsidRPr="00C20FBB">
        <w:rPr>
          <w:rFonts w:ascii="Times New Roman" w:hAnsi="Times New Roman" w:cs="Times New Roman"/>
          <w:sz w:val="24"/>
          <w:szCs w:val="24"/>
        </w:rPr>
        <w:t>p</w:t>
      </w:r>
      <w:r w:rsidR="00DE33BB" w:rsidRPr="00C20FBB">
        <w:rPr>
          <w:rFonts w:ascii="Times New Roman" w:eastAsia="HG Mincho Light J" w:hAnsi="Times New Roman" w:cs="Times New Roman"/>
          <w:color w:val="000000"/>
          <w:sz w:val="24"/>
          <w:szCs w:val="24"/>
          <w:lang w:eastAsia="lt-LT"/>
        </w:rPr>
        <w:t xml:space="preserve">akeisti </w:t>
      </w:r>
      <w:r w:rsidR="00DE33BB" w:rsidRPr="00C20FBB">
        <w:rPr>
          <w:rFonts w:ascii="Times New Roman" w:hAnsi="Times New Roman" w:cs="Times New Roman"/>
          <w:sz w:val="24"/>
          <w:szCs w:val="24"/>
        </w:rPr>
        <w:t>Panevėžio miesto savivaldybės tarybos 2023 m. birželio 22 d. sprendimo Nr. 1-187 „Dėl keleivių vežimo vietinio (miesto) reguliaraus susisiekimo autobusų maršrutais Panevėžio mieste bilietų rūšių ir kainų nustatymo, Savivaldybės tarybos 2011 m. gruodžio 15 d. sprendimo Nr. 1-12-4 pripažinimo netekusiu galios“ priedą ir jį išdėstyti nauja redakcija</w:t>
      </w:r>
      <w:r w:rsidR="009925A2" w:rsidRPr="00C20FBB">
        <w:rPr>
          <w:rFonts w:ascii="Times New Roman" w:hAnsi="Times New Roman" w:cs="Times New Roman"/>
          <w:sz w:val="24"/>
          <w:szCs w:val="24"/>
        </w:rPr>
        <w:t>.</w:t>
      </w:r>
      <w:r w:rsidR="00DE33BB">
        <w:t xml:space="preserve"> </w:t>
      </w:r>
    </w:p>
    <w:p w14:paraId="2EAC5DD4" w14:textId="77777777" w:rsidR="00B854C6" w:rsidRDefault="00606258" w:rsidP="00CB2375">
      <w:pPr>
        <w:pStyle w:val="Sraopastraipa"/>
        <w:spacing w:before="100" w:beforeAutospacing="1" w:after="100" w:afterAutospacing="1"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Siekiant užtikrinti efektyvią viešojo transporto sistemą Panevėžio mieste </w:t>
      </w:r>
      <w:r w:rsidR="00DD4D5E">
        <w:rPr>
          <w:rFonts w:ascii="Times New Roman" w:hAnsi="Times New Roman" w:cs="Times New Roman"/>
          <w:sz w:val="24"/>
          <w:szCs w:val="24"/>
        </w:rPr>
        <w:t xml:space="preserve">būtina užtikrinti VšĮ „Panevėžio keleivinis transportas“ (toliau – Įgaliota įstaiga) ir UAB „Panevėžio autobusų parkas“ toliau – Vežėjas) sklandų darbą ir tarpusavio bendradarbiavimą. Padidinus </w:t>
      </w:r>
      <w:r w:rsidR="00DD4D5E" w:rsidRPr="00C20FBB">
        <w:rPr>
          <w:rFonts w:ascii="Times New Roman" w:hAnsi="Times New Roman" w:cs="Times New Roman"/>
          <w:sz w:val="24"/>
          <w:szCs w:val="24"/>
        </w:rPr>
        <w:t>keleivių vežimo vietinio (miesto) reguliaraus susisiekimo autobusų maršrutais Panevėžio mieste bilietų</w:t>
      </w:r>
      <w:r w:rsidR="00DD4D5E">
        <w:rPr>
          <w:rFonts w:ascii="Times New Roman" w:hAnsi="Times New Roman" w:cs="Times New Roman"/>
          <w:sz w:val="24"/>
          <w:szCs w:val="24"/>
        </w:rPr>
        <w:t xml:space="preserve"> kainas, tikimasi gauti daugiau</w:t>
      </w:r>
      <w:r w:rsidR="00B854C6">
        <w:t xml:space="preserve"> </w:t>
      </w:r>
      <w:r w:rsidR="00DD4D5E">
        <w:rPr>
          <w:rFonts w:ascii="Times New Roman" w:hAnsi="Times New Roman" w:cs="Times New Roman"/>
          <w:sz w:val="24"/>
          <w:szCs w:val="24"/>
        </w:rPr>
        <w:t>pajamų už parduotus keleiviams bilietus,</w:t>
      </w:r>
      <w:r w:rsidR="00B854C6">
        <w:t xml:space="preserve"> </w:t>
      </w:r>
      <w:r w:rsidR="00B854C6" w:rsidRPr="00C81CCD">
        <w:rPr>
          <w:rFonts w:ascii="Times New Roman" w:hAnsi="Times New Roman" w:cs="Times New Roman"/>
          <w:sz w:val="24"/>
          <w:szCs w:val="24"/>
        </w:rPr>
        <w:t>rezultate</w:t>
      </w:r>
      <w:r w:rsidR="00DD4D5E" w:rsidRPr="00C81CCD">
        <w:rPr>
          <w:rFonts w:ascii="Times New Roman" w:hAnsi="Times New Roman" w:cs="Times New Roman"/>
          <w:sz w:val="24"/>
          <w:szCs w:val="24"/>
        </w:rPr>
        <w:t xml:space="preserve"> sumaž</w:t>
      </w:r>
      <w:r w:rsidR="00B854C6" w:rsidRPr="00C81CCD">
        <w:rPr>
          <w:rFonts w:ascii="Times New Roman" w:hAnsi="Times New Roman" w:cs="Times New Roman"/>
          <w:sz w:val="24"/>
          <w:szCs w:val="24"/>
        </w:rPr>
        <w:t>ėtų Savivaldybės biudžete kompensacijoms skirtos lėšos, kur</w:t>
      </w:r>
      <w:r w:rsidR="00C81CCD" w:rsidRPr="00C81CCD">
        <w:rPr>
          <w:rFonts w:ascii="Times New Roman" w:hAnsi="Times New Roman" w:cs="Times New Roman"/>
          <w:sz w:val="24"/>
          <w:szCs w:val="24"/>
        </w:rPr>
        <w:t>ias</w:t>
      </w:r>
      <w:r w:rsidR="00B854C6" w:rsidRPr="00C81CCD">
        <w:rPr>
          <w:rFonts w:ascii="Times New Roman" w:hAnsi="Times New Roman" w:cs="Times New Roman"/>
          <w:sz w:val="24"/>
          <w:szCs w:val="24"/>
        </w:rPr>
        <w:t xml:space="preserve"> </w:t>
      </w:r>
      <w:r w:rsidR="00A266CE" w:rsidRPr="00C81CCD">
        <w:rPr>
          <w:rFonts w:ascii="Times New Roman" w:hAnsi="Times New Roman" w:cs="Times New Roman"/>
          <w:sz w:val="24"/>
          <w:szCs w:val="24"/>
        </w:rPr>
        <w:t xml:space="preserve">būtų </w:t>
      </w:r>
      <w:r w:rsidR="00B854C6" w:rsidRPr="00C81CCD">
        <w:rPr>
          <w:rFonts w:ascii="Times New Roman" w:hAnsi="Times New Roman" w:cs="Times New Roman"/>
          <w:sz w:val="24"/>
          <w:szCs w:val="24"/>
        </w:rPr>
        <w:t xml:space="preserve">galima panaudoti Panevėžio miesto gyventojams teikiamų </w:t>
      </w:r>
      <w:r w:rsidR="00A266CE">
        <w:rPr>
          <w:rFonts w:ascii="Times New Roman" w:hAnsi="Times New Roman" w:cs="Times New Roman"/>
          <w:sz w:val="24"/>
          <w:szCs w:val="24"/>
        </w:rPr>
        <w:t xml:space="preserve">viešojo keleivinio transporto </w:t>
      </w:r>
      <w:r w:rsidR="00B854C6" w:rsidRPr="00C81CCD">
        <w:rPr>
          <w:rFonts w:ascii="Times New Roman" w:hAnsi="Times New Roman" w:cs="Times New Roman"/>
          <w:sz w:val="24"/>
          <w:szCs w:val="24"/>
        </w:rPr>
        <w:t>paslaugų kokyb</w:t>
      </w:r>
      <w:r w:rsidR="00A266CE">
        <w:rPr>
          <w:rFonts w:ascii="Times New Roman" w:hAnsi="Times New Roman" w:cs="Times New Roman"/>
          <w:sz w:val="24"/>
          <w:szCs w:val="24"/>
        </w:rPr>
        <w:t>ei</w:t>
      </w:r>
      <w:r w:rsidR="00B854C6" w:rsidRPr="00C81CCD">
        <w:rPr>
          <w:rFonts w:ascii="Times New Roman" w:hAnsi="Times New Roman" w:cs="Times New Roman"/>
          <w:sz w:val="24"/>
          <w:szCs w:val="24"/>
        </w:rPr>
        <w:t xml:space="preserve"> gerin</w:t>
      </w:r>
      <w:r w:rsidR="00A266CE">
        <w:rPr>
          <w:rFonts w:ascii="Times New Roman" w:hAnsi="Times New Roman" w:cs="Times New Roman"/>
          <w:sz w:val="24"/>
          <w:szCs w:val="24"/>
        </w:rPr>
        <w:t>ti</w:t>
      </w:r>
      <w:r w:rsidR="00B854C6" w:rsidRPr="00C81CCD">
        <w:rPr>
          <w:rFonts w:ascii="Times New Roman" w:hAnsi="Times New Roman" w:cs="Times New Roman"/>
          <w:sz w:val="24"/>
          <w:szCs w:val="24"/>
        </w:rPr>
        <w:t>.</w:t>
      </w:r>
    </w:p>
    <w:p w14:paraId="2598587F" w14:textId="77777777" w:rsidR="009A23CF" w:rsidRPr="00C81CCD" w:rsidRDefault="009A23CF" w:rsidP="00CB2375">
      <w:pPr>
        <w:pStyle w:val="Sraopastraipa"/>
        <w:spacing w:before="100" w:beforeAutospacing="1" w:after="100" w:afterAutospacing="1" w:line="276" w:lineRule="auto"/>
        <w:ind w:left="0" w:firstLine="709"/>
        <w:jc w:val="both"/>
        <w:rPr>
          <w:rFonts w:ascii="Times New Roman" w:hAnsi="Times New Roman" w:cs="Times New Roman"/>
          <w:sz w:val="24"/>
          <w:szCs w:val="24"/>
        </w:rPr>
      </w:pPr>
    </w:p>
    <w:p w14:paraId="6087C8BE" w14:textId="77777777" w:rsidR="009A23CF" w:rsidRPr="001E5C8A" w:rsidRDefault="00C220F9" w:rsidP="009A23CF">
      <w:pPr>
        <w:pStyle w:val="Sraopastraipa"/>
        <w:numPr>
          <w:ilvl w:val="0"/>
          <w:numId w:val="5"/>
        </w:numPr>
        <w:spacing w:line="276" w:lineRule="auto"/>
        <w:jc w:val="both"/>
        <w:rPr>
          <w:rFonts w:ascii="Times New Roman" w:hAnsi="Times New Roman" w:cs="Times New Roman"/>
          <w:sz w:val="24"/>
          <w:szCs w:val="24"/>
        </w:rPr>
      </w:pPr>
      <w:r>
        <w:rPr>
          <w:rFonts w:ascii="Times New Roman" w:hAnsi="Times New Roman" w:cs="Times New Roman"/>
          <w:b/>
          <w:bCs/>
          <w:sz w:val="24"/>
          <w:szCs w:val="24"/>
        </w:rPr>
        <w:t>Lėšų poreikis ir šaltiniai</w:t>
      </w:r>
      <w:r w:rsidR="009A23CF" w:rsidRPr="001E5C8A">
        <w:rPr>
          <w:rFonts w:ascii="Times New Roman" w:hAnsi="Times New Roman" w:cs="Times New Roman"/>
          <w:b/>
          <w:bCs/>
          <w:sz w:val="24"/>
          <w:szCs w:val="24"/>
        </w:rPr>
        <w:t>:</w:t>
      </w:r>
      <w:r w:rsidR="009A23CF" w:rsidRPr="001E5C8A">
        <w:rPr>
          <w:rFonts w:ascii="Times New Roman" w:hAnsi="Times New Roman" w:cs="Times New Roman"/>
          <w:sz w:val="24"/>
          <w:szCs w:val="24"/>
        </w:rPr>
        <w:t xml:space="preserve"> </w:t>
      </w:r>
    </w:p>
    <w:p w14:paraId="542CFB3C" w14:textId="77777777" w:rsidR="009A23CF" w:rsidRDefault="009A23CF" w:rsidP="003959DF">
      <w:pPr>
        <w:spacing w:line="276" w:lineRule="auto"/>
        <w:ind w:firstLine="568"/>
        <w:jc w:val="both"/>
        <w:rPr>
          <w:color w:val="000000"/>
        </w:rPr>
      </w:pPr>
      <w:r w:rsidRPr="003959DF">
        <w:rPr>
          <w:color w:val="000000"/>
        </w:rPr>
        <w:t xml:space="preserve">Pateikiame duomenis apie Panevėžio miesto viešojo transporto organizavimui skirtas ir prognozuojamas lėšas, vežtų keleivių skaičių ir Įgaliotai įstaigai veiklos vykdymui skiriamą </w:t>
      </w:r>
      <w:r>
        <w:rPr>
          <w:color w:val="000000"/>
        </w:rPr>
        <w:t>lėšų nuo surenkamų pajamų p</w:t>
      </w:r>
      <w:r w:rsidRPr="003959DF">
        <w:rPr>
          <w:color w:val="000000"/>
        </w:rPr>
        <w:t xml:space="preserve">rocentą. </w:t>
      </w:r>
    </w:p>
    <w:p w14:paraId="5CAF214F" w14:textId="77777777" w:rsidR="009556C3" w:rsidRDefault="009556C3" w:rsidP="003959DF">
      <w:pPr>
        <w:spacing w:line="276" w:lineRule="auto"/>
        <w:ind w:firstLine="568"/>
        <w:jc w:val="both"/>
      </w:pPr>
    </w:p>
    <w:tbl>
      <w:tblPr>
        <w:tblStyle w:val="Lentelstinklelis"/>
        <w:tblW w:w="10750" w:type="dxa"/>
        <w:tblLook w:val="04A0" w:firstRow="1" w:lastRow="0" w:firstColumn="1" w:lastColumn="0" w:noHBand="0" w:noVBand="1"/>
      </w:tblPr>
      <w:tblGrid>
        <w:gridCol w:w="500"/>
        <w:gridCol w:w="1935"/>
        <w:gridCol w:w="1105"/>
        <w:gridCol w:w="1105"/>
        <w:gridCol w:w="1105"/>
        <w:gridCol w:w="1105"/>
        <w:gridCol w:w="1504"/>
        <w:gridCol w:w="2391"/>
      </w:tblGrid>
      <w:tr w:rsidR="00BE1570" w:rsidRPr="009E66AB" w14:paraId="4843D89A" w14:textId="2E00A3BB" w:rsidTr="00BE1570">
        <w:trPr>
          <w:trHeight w:val="414"/>
        </w:trPr>
        <w:tc>
          <w:tcPr>
            <w:tcW w:w="500" w:type="dxa"/>
            <w:vMerge w:val="restart"/>
          </w:tcPr>
          <w:p w14:paraId="459DBED9" w14:textId="77777777" w:rsidR="00BE1570" w:rsidRPr="006E21BC" w:rsidRDefault="00BE1570" w:rsidP="00811CF9">
            <w:pPr>
              <w:rPr>
                <w:rFonts w:ascii="Times New Roman" w:hAnsi="Times New Roman" w:cs="Times New Roman"/>
                <w:sz w:val="20"/>
                <w:szCs w:val="20"/>
              </w:rPr>
            </w:pPr>
            <w:r w:rsidRPr="006E21BC">
              <w:rPr>
                <w:rFonts w:ascii="Times New Roman" w:hAnsi="Times New Roman" w:cs="Times New Roman"/>
                <w:sz w:val="20"/>
                <w:szCs w:val="20"/>
              </w:rPr>
              <w:t>Eil.</w:t>
            </w:r>
          </w:p>
          <w:p w14:paraId="4FAF5AEE" w14:textId="77777777" w:rsidR="00BE1570" w:rsidRPr="006E21BC" w:rsidRDefault="00BE1570" w:rsidP="00811CF9">
            <w:pPr>
              <w:rPr>
                <w:rFonts w:ascii="Times New Roman" w:hAnsi="Times New Roman" w:cs="Times New Roman"/>
                <w:sz w:val="20"/>
                <w:szCs w:val="20"/>
              </w:rPr>
            </w:pPr>
            <w:r w:rsidRPr="006E21BC">
              <w:rPr>
                <w:rFonts w:ascii="Times New Roman" w:hAnsi="Times New Roman" w:cs="Times New Roman"/>
                <w:sz w:val="20"/>
                <w:szCs w:val="20"/>
              </w:rPr>
              <w:t>Nr.</w:t>
            </w:r>
          </w:p>
        </w:tc>
        <w:tc>
          <w:tcPr>
            <w:tcW w:w="1935" w:type="dxa"/>
            <w:vMerge w:val="restart"/>
            <w:vAlign w:val="center"/>
          </w:tcPr>
          <w:p w14:paraId="15403CF9" w14:textId="77777777" w:rsidR="00BE1570" w:rsidRPr="006E21BC" w:rsidRDefault="00BE1570" w:rsidP="00811CF9">
            <w:pPr>
              <w:jc w:val="center"/>
              <w:rPr>
                <w:rFonts w:ascii="Times New Roman" w:hAnsi="Times New Roman" w:cs="Times New Roman"/>
                <w:sz w:val="20"/>
                <w:szCs w:val="20"/>
              </w:rPr>
            </w:pPr>
            <w:r w:rsidRPr="006E21BC">
              <w:rPr>
                <w:rFonts w:ascii="Times New Roman" w:hAnsi="Times New Roman" w:cs="Times New Roman"/>
                <w:sz w:val="20"/>
                <w:szCs w:val="20"/>
              </w:rPr>
              <w:t>Šaltinio pavadinimas</w:t>
            </w:r>
          </w:p>
        </w:tc>
        <w:tc>
          <w:tcPr>
            <w:tcW w:w="8315" w:type="dxa"/>
            <w:gridSpan w:val="6"/>
          </w:tcPr>
          <w:p w14:paraId="699614BF" w14:textId="70A469B4" w:rsidR="00BE1570" w:rsidRPr="006E21BC" w:rsidRDefault="00BE1570" w:rsidP="00811CF9">
            <w:pPr>
              <w:jc w:val="center"/>
              <w:rPr>
                <w:sz w:val="20"/>
                <w:szCs w:val="20"/>
              </w:rPr>
            </w:pPr>
            <w:r w:rsidRPr="006E21BC">
              <w:rPr>
                <w:rFonts w:ascii="Times New Roman" w:hAnsi="Times New Roman" w:cs="Times New Roman"/>
                <w:sz w:val="20"/>
                <w:szCs w:val="20"/>
              </w:rPr>
              <w:t>Lėšos tūkst. Eur</w:t>
            </w:r>
          </w:p>
        </w:tc>
      </w:tr>
      <w:tr w:rsidR="00BE1570" w:rsidRPr="009E66AB" w14:paraId="0AF718B8" w14:textId="3DA6DF18" w:rsidTr="001B1736">
        <w:trPr>
          <w:trHeight w:val="659"/>
        </w:trPr>
        <w:tc>
          <w:tcPr>
            <w:tcW w:w="500" w:type="dxa"/>
            <w:vMerge/>
          </w:tcPr>
          <w:p w14:paraId="6DD95526" w14:textId="77777777" w:rsidR="00BE1570" w:rsidRPr="006E21BC" w:rsidRDefault="00BE1570" w:rsidP="00BE1570">
            <w:pPr>
              <w:rPr>
                <w:rFonts w:ascii="Times New Roman" w:hAnsi="Times New Roman" w:cs="Times New Roman"/>
                <w:sz w:val="20"/>
                <w:szCs w:val="20"/>
              </w:rPr>
            </w:pPr>
          </w:p>
        </w:tc>
        <w:tc>
          <w:tcPr>
            <w:tcW w:w="1935" w:type="dxa"/>
            <w:vMerge/>
          </w:tcPr>
          <w:p w14:paraId="45A47E67" w14:textId="77777777" w:rsidR="00BE1570" w:rsidRPr="006E21BC" w:rsidRDefault="00BE1570" w:rsidP="00BE1570">
            <w:pPr>
              <w:rPr>
                <w:rFonts w:ascii="Times New Roman" w:hAnsi="Times New Roman" w:cs="Times New Roman"/>
                <w:sz w:val="20"/>
                <w:szCs w:val="20"/>
              </w:rPr>
            </w:pPr>
          </w:p>
        </w:tc>
        <w:tc>
          <w:tcPr>
            <w:tcW w:w="1105" w:type="dxa"/>
          </w:tcPr>
          <w:p w14:paraId="529208F6" w14:textId="77777777" w:rsidR="00BE1570" w:rsidRDefault="00BE1570" w:rsidP="00BE1570">
            <w:pPr>
              <w:jc w:val="center"/>
              <w:rPr>
                <w:rFonts w:ascii="Times New Roman" w:hAnsi="Times New Roman" w:cs="Times New Roman"/>
                <w:sz w:val="20"/>
                <w:szCs w:val="20"/>
              </w:rPr>
            </w:pPr>
            <w:r w:rsidRPr="006E21BC">
              <w:rPr>
                <w:rFonts w:ascii="Times New Roman" w:hAnsi="Times New Roman" w:cs="Times New Roman"/>
                <w:sz w:val="20"/>
                <w:szCs w:val="20"/>
              </w:rPr>
              <w:t>2023 m. faktas</w:t>
            </w:r>
          </w:p>
          <w:p w14:paraId="476EB383" w14:textId="77777777" w:rsidR="00BE1570" w:rsidRPr="006E21BC" w:rsidRDefault="00BE1570" w:rsidP="00BE1570">
            <w:pPr>
              <w:jc w:val="center"/>
              <w:rPr>
                <w:rFonts w:ascii="Times New Roman" w:hAnsi="Times New Roman" w:cs="Times New Roman"/>
                <w:sz w:val="20"/>
                <w:szCs w:val="20"/>
              </w:rPr>
            </w:pPr>
            <w:r>
              <w:rPr>
                <w:rFonts w:ascii="Times New Roman" w:hAnsi="Times New Roman" w:cs="Times New Roman"/>
                <w:sz w:val="20"/>
                <w:szCs w:val="20"/>
              </w:rPr>
              <w:t>(dabartinės kainos)</w:t>
            </w:r>
          </w:p>
        </w:tc>
        <w:tc>
          <w:tcPr>
            <w:tcW w:w="1105" w:type="dxa"/>
          </w:tcPr>
          <w:p w14:paraId="7CE982E0" w14:textId="77777777" w:rsidR="00BE1570" w:rsidRPr="006E21BC" w:rsidRDefault="00BE1570" w:rsidP="00BE1570">
            <w:pPr>
              <w:jc w:val="center"/>
              <w:rPr>
                <w:rFonts w:ascii="Times New Roman" w:hAnsi="Times New Roman" w:cs="Times New Roman"/>
                <w:sz w:val="20"/>
                <w:szCs w:val="20"/>
              </w:rPr>
            </w:pPr>
            <w:r w:rsidRPr="006E21BC">
              <w:rPr>
                <w:rFonts w:ascii="Times New Roman" w:hAnsi="Times New Roman" w:cs="Times New Roman"/>
                <w:sz w:val="20"/>
                <w:szCs w:val="20"/>
              </w:rPr>
              <w:t>2024 m. faktas</w:t>
            </w:r>
            <w:r>
              <w:rPr>
                <w:rFonts w:ascii="Times New Roman" w:hAnsi="Times New Roman" w:cs="Times New Roman"/>
                <w:sz w:val="20"/>
                <w:szCs w:val="20"/>
              </w:rPr>
              <w:t xml:space="preserve"> (dabartinės kainos)</w:t>
            </w:r>
          </w:p>
        </w:tc>
        <w:tc>
          <w:tcPr>
            <w:tcW w:w="1105" w:type="dxa"/>
          </w:tcPr>
          <w:p w14:paraId="254EC6DC" w14:textId="77777777" w:rsidR="00BE1570" w:rsidRPr="006E21BC" w:rsidRDefault="00BE1570" w:rsidP="00BE1570">
            <w:pPr>
              <w:jc w:val="center"/>
              <w:rPr>
                <w:rFonts w:ascii="Times New Roman" w:hAnsi="Times New Roman" w:cs="Times New Roman"/>
                <w:sz w:val="20"/>
                <w:szCs w:val="20"/>
              </w:rPr>
            </w:pPr>
            <w:r w:rsidRPr="006E21BC">
              <w:rPr>
                <w:rFonts w:ascii="Times New Roman" w:hAnsi="Times New Roman" w:cs="Times New Roman"/>
                <w:sz w:val="20"/>
                <w:szCs w:val="20"/>
              </w:rPr>
              <w:t>2025 m. prognozė</w:t>
            </w:r>
            <w:r>
              <w:rPr>
                <w:rFonts w:ascii="Times New Roman" w:hAnsi="Times New Roman" w:cs="Times New Roman"/>
                <w:sz w:val="20"/>
                <w:szCs w:val="20"/>
              </w:rPr>
              <w:t xml:space="preserve"> (dabartinės kainos)</w:t>
            </w:r>
          </w:p>
        </w:tc>
        <w:tc>
          <w:tcPr>
            <w:tcW w:w="1105" w:type="dxa"/>
          </w:tcPr>
          <w:p w14:paraId="5A2FA695" w14:textId="77777777" w:rsidR="00BE1570" w:rsidRPr="006E21BC" w:rsidRDefault="00BE1570" w:rsidP="00BE1570">
            <w:pPr>
              <w:jc w:val="center"/>
              <w:rPr>
                <w:rFonts w:ascii="Times New Roman" w:hAnsi="Times New Roman" w:cs="Times New Roman"/>
                <w:sz w:val="20"/>
                <w:szCs w:val="20"/>
              </w:rPr>
            </w:pPr>
            <w:r w:rsidRPr="006E21BC">
              <w:rPr>
                <w:rFonts w:ascii="Times New Roman" w:hAnsi="Times New Roman" w:cs="Times New Roman"/>
                <w:sz w:val="20"/>
                <w:szCs w:val="20"/>
              </w:rPr>
              <w:t>2026 m. prognozė</w:t>
            </w:r>
            <w:r>
              <w:rPr>
                <w:rFonts w:ascii="Times New Roman" w:hAnsi="Times New Roman" w:cs="Times New Roman"/>
                <w:sz w:val="20"/>
                <w:szCs w:val="20"/>
              </w:rPr>
              <w:t xml:space="preserve"> (dabartinės kainos)</w:t>
            </w:r>
          </w:p>
        </w:tc>
        <w:tc>
          <w:tcPr>
            <w:tcW w:w="1504" w:type="dxa"/>
          </w:tcPr>
          <w:p w14:paraId="711698F6" w14:textId="77777777" w:rsidR="00BE1570" w:rsidRPr="006E21BC" w:rsidRDefault="00BE1570" w:rsidP="00BE1570">
            <w:pPr>
              <w:jc w:val="center"/>
              <w:rPr>
                <w:rFonts w:ascii="Times New Roman" w:hAnsi="Times New Roman" w:cs="Times New Roman"/>
                <w:sz w:val="20"/>
                <w:szCs w:val="20"/>
              </w:rPr>
            </w:pPr>
            <w:r w:rsidRPr="006E21BC">
              <w:rPr>
                <w:rFonts w:ascii="Times New Roman" w:hAnsi="Times New Roman" w:cs="Times New Roman"/>
                <w:sz w:val="20"/>
                <w:szCs w:val="20"/>
              </w:rPr>
              <w:t xml:space="preserve">2026 m. prognozė </w:t>
            </w:r>
            <w:r>
              <w:rPr>
                <w:rFonts w:ascii="Times New Roman" w:hAnsi="Times New Roman" w:cs="Times New Roman"/>
                <w:sz w:val="20"/>
                <w:szCs w:val="20"/>
              </w:rPr>
              <w:t>(</w:t>
            </w:r>
            <w:r w:rsidRPr="006E21BC">
              <w:rPr>
                <w:rFonts w:ascii="Times New Roman" w:hAnsi="Times New Roman" w:cs="Times New Roman"/>
                <w:sz w:val="20"/>
                <w:szCs w:val="20"/>
              </w:rPr>
              <w:t>padidinus kainą iki 0,70 Eur</w:t>
            </w:r>
            <w:r>
              <w:rPr>
                <w:rFonts w:ascii="Times New Roman" w:hAnsi="Times New Roman" w:cs="Times New Roman"/>
                <w:sz w:val="20"/>
                <w:szCs w:val="20"/>
              </w:rPr>
              <w:t>)</w:t>
            </w:r>
          </w:p>
        </w:tc>
        <w:tc>
          <w:tcPr>
            <w:tcW w:w="2391" w:type="dxa"/>
            <w:vAlign w:val="center"/>
          </w:tcPr>
          <w:p w14:paraId="01EFB1AB" w14:textId="77777777" w:rsidR="00BE1570" w:rsidRPr="001B1736" w:rsidRDefault="00BE1570" w:rsidP="001B1736">
            <w:pPr>
              <w:jc w:val="center"/>
              <w:rPr>
                <w:rFonts w:ascii="Times New Roman" w:hAnsi="Times New Roman" w:cs="Times New Roman"/>
                <w:sz w:val="20"/>
                <w:szCs w:val="20"/>
              </w:rPr>
            </w:pPr>
            <w:r w:rsidRPr="001B1736">
              <w:rPr>
                <w:rFonts w:eastAsia="Times New Roman"/>
                <w:kern w:val="0"/>
                <w:sz w:val="20"/>
                <w:szCs w:val="20"/>
              </w:rPr>
              <w:t xml:space="preserve">Numatomas skirtumas </w:t>
            </w:r>
          </w:p>
          <w:p w14:paraId="45C97149" w14:textId="637F9A73" w:rsidR="00BE1570" w:rsidRPr="001B1736" w:rsidRDefault="00BE1570" w:rsidP="00D05263">
            <w:pPr>
              <w:jc w:val="center"/>
              <w:rPr>
                <w:rFonts w:ascii="Times New Roman" w:hAnsi="Times New Roman" w:cs="Times New Roman"/>
                <w:sz w:val="20"/>
                <w:szCs w:val="20"/>
              </w:rPr>
            </w:pPr>
            <w:r w:rsidRPr="001B1736">
              <w:rPr>
                <w:rFonts w:eastAsia="Times New Roman"/>
                <w:kern w:val="0"/>
                <w:sz w:val="20"/>
                <w:szCs w:val="20"/>
              </w:rPr>
              <w:t>(2026 m.)</w:t>
            </w:r>
          </w:p>
        </w:tc>
      </w:tr>
      <w:tr w:rsidR="00BE1570" w:rsidRPr="009E66AB" w14:paraId="45B1E5AD" w14:textId="5C0BE7FE" w:rsidTr="001B1736">
        <w:trPr>
          <w:trHeight w:val="362"/>
        </w:trPr>
        <w:tc>
          <w:tcPr>
            <w:tcW w:w="500" w:type="dxa"/>
          </w:tcPr>
          <w:p w14:paraId="447C0E5B" w14:textId="77777777" w:rsidR="00BE1570" w:rsidRPr="006E21BC" w:rsidRDefault="00BE1570" w:rsidP="00BE1570">
            <w:pPr>
              <w:jc w:val="center"/>
              <w:rPr>
                <w:rFonts w:ascii="Times New Roman" w:hAnsi="Times New Roman" w:cs="Times New Roman"/>
                <w:sz w:val="22"/>
                <w:szCs w:val="22"/>
              </w:rPr>
            </w:pPr>
            <w:r w:rsidRPr="006E21BC">
              <w:rPr>
                <w:rFonts w:ascii="Times New Roman" w:hAnsi="Times New Roman" w:cs="Times New Roman"/>
                <w:sz w:val="22"/>
                <w:szCs w:val="22"/>
              </w:rPr>
              <w:t>1.</w:t>
            </w:r>
          </w:p>
        </w:tc>
        <w:tc>
          <w:tcPr>
            <w:tcW w:w="1935" w:type="dxa"/>
          </w:tcPr>
          <w:p w14:paraId="663F85C8" w14:textId="77777777" w:rsidR="00BE1570" w:rsidRPr="006E21BC" w:rsidRDefault="00BE1570" w:rsidP="00BE1570">
            <w:pPr>
              <w:rPr>
                <w:rFonts w:ascii="Times New Roman" w:hAnsi="Times New Roman" w:cs="Times New Roman"/>
                <w:sz w:val="22"/>
                <w:szCs w:val="22"/>
              </w:rPr>
            </w:pPr>
            <w:r w:rsidRPr="006E21BC">
              <w:rPr>
                <w:rFonts w:ascii="Times New Roman" w:hAnsi="Times New Roman" w:cs="Times New Roman"/>
                <w:sz w:val="22"/>
                <w:szCs w:val="22"/>
              </w:rPr>
              <w:t>Gaunamos pajamos iš keleivių</w:t>
            </w:r>
          </w:p>
        </w:tc>
        <w:tc>
          <w:tcPr>
            <w:tcW w:w="1105" w:type="dxa"/>
            <w:vAlign w:val="center"/>
          </w:tcPr>
          <w:p w14:paraId="2DFC49DC" w14:textId="77777777" w:rsidR="00BE1570" w:rsidRPr="006E21BC" w:rsidRDefault="00BE1570" w:rsidP="00BE1570">
            <w:pPr>
              <w:jc w:val="center"/>
              <w:rPr>
                <w:rFonts w:ascii="Times New Roman" w:hAnsi="Times New Roman" w:cs="Times New Roman"/>
                <w:sz w:val="22"/>
                <w:szCs w:val="22"/>
              </w:rPr>
            </w:pPr>
            <w:r w:rsidRPr="006E21BC">
              <w:rPr>
                <w:rFonts w:ascii="Times New Roman" w:hAnsi="Times New Roman" w:cs="Times New Roman"/>
                <w:sz w:val="22"/>
                <w:szCs w:val="22"/>
              </w:rPr>
              <w:t>2 398,7</w:t>
            </w:r>
          </w:p>
        </w:tc>
        <w:tc>
          <w:tcPr>
            <w:tcW w:w="1105" w:type="dxa"/>
            <w:vAlign w:val="center"/>
          </w:tcPr>
          <w:p w14:paraId="42AA4E98" w14:textId="77777777" w:rsidR="00BE1570" w:rsidRPr="006E21BC" w:rsidRDefault="00BE1570" w:rsidP="00BE1570">
            <w:pPr>
              <w:jc w:val="center"/>
              <w:rPr>
                <w:rFonts w:ascii="Times New Roman" w:hAnsi="Times New Roman" w:cs="Times New Roman"/>
                <w:sz w:val="22"/>
                <w:szCs w:val="22"/>
              </w:rPr>
            </w:pPr>
            <w:r w:rsidRPr="006E21BC">
              <w:rPr>
                <w:rFonts w:ascii="Times New Roman" w:hAnsi="Times New Roman" w:cs="Times New Roman"/>
                <w:sz w:val="22"/>
                <w:szCs w:val="22"/>
              </w:rPr>
              <w:t>1 914,3</w:t>
            </w:r>
          </w:p>
        </w:tc>
        <w:tc>
          <w:tcPr>
            <w:tcW w:w="1105" w:type="dxa"/>
            <w:vAlign w:val="center"/>
          </w:tcPr>
          <w:p w14:paraId="1A95F69C" w14:textId="77777777" w:rsidR="00BE1570" w:rsidRPr="006E21BC" w:rsidRDefault="00BE1570" w:rsidP="00BE1570">
            <w:pPr>
              <w:jc w:val="center"/>
              <w:rPr>
                <w:rFonts w:ascii="Times New Roman" w:hAnsi="Times New Roman" w:cs="Times New Roman"/>
                <w:sz w:val="22"/>
                <w:szCs w:val="22"/>
              </w:rPr>
            </w:pPr>
            <w:r w:rsidRPr="006E21BC">
              <w:rPr>
                <w:rFonts w:ascii="Times New Roman" w:hAnsi="Times New Roman" w:cs="Times New Roman"/>
                <w:sz w:val="22"/>
                <w:szCs w:val="22"/>
              </w:rPr>
              <w:t>1 855,1</w:t>
            </w:r>
          </w:p>
        </w:tc>
        <w:tc>
          <w:tcPr>
            <w:tcW w:w="1105" w:type="dxa"/>
            <w:vAlign w:val="center"/>
          </w:tcPr>
          <w:p w14:paraId="06228CE7" w14:textId="77777777" w:rsidR="00BE1570" w:rsidRPr="006E21BC" w:rsidRDefault="00BE1570" w:rsidP="00BE1570">
            <w:pPr>
              <w:jc w:val="center"/>
              <w:rPr>
                <w:rFonts w:ascii="Times New Roman" w:hAnsi="Times New Roman" w:cs="Times New Roman"/>
                <w:sz w:val="22"/>
                <w:szCs w:val="22"/>
              </w:rPr>
            </w:pPr>
            <w:r w:rsidRPr="006E21BC">
              <w:rPr>
                <w:rFonts w:ascii="Times New Roman" w:hAnsi="Times New Roman" w:cs="Times New Roman"/>
                <w:sz w:val="22"/>
                <w:szCs w:val="22"/>
              </w:rPr>
              <w:t>1</w:t>
            </w:r>
            <w:r>
              <w:rPr>
                <w:rFonts w:ascii="Times New Roman" w:hAnsi="Times New Roman" w:cs="Times New Roman"/>
                <w:sz w:val="22"/>
                <w:szCs w:val="22"/>
              </w:rPr>
              <w:t xml:space="preserve"> </w:t>
            </w:r>
            <w:r w:rsidRPr="006E21BC">
              <w:rPr>
                <w:rFonts w:ascii="Times New Roman" w:hAnsi="Times New Roman" w:cs="Times New Roman"/>
                <w:sz w:val="22"/>
                <w:szCs w:val="22"/>
              </w:rPr>
              <w:t>855,1</w:t>
            </w:r>
          </w:p>
        </w:tc>
        <w:tc>
          <w:tcPr>
            <w:tcW w:w="1504" w:type="dxa"/>
            <w:vAlign w:val="center"/>
          </w:tcPr>
          <w:p w14:paraId="76841F4E" w14:textId="77777777" w:rsidR="00BE1570" w:rsidRPr="006E21BC" w:rsidRDefault="00BE1570" w:rsidP="00BE1570">
            <w:pPr>
              <w:jc w:val="center"/>
              <w:rPr>
                <w:rFonts w:ascii="Times New Roman" w:hAnsi="Times New Roman" w:cs="Times New Roman"/>
                <w:sz w:val="22"/>
                <w:szCs w:val="22"/>
              </w:rPr>
            </w:pPr>
            <w:r w:rsidRPr="006E21BC">
              <w:rPr>
                <w:rFonts w:ascii="Times New Roman" w:hAnsi="Times New Roman" w:cs="Times New Roman"/>
                <w:sz w:val="22"/>
                <w:szCs w:val="22"/>
              </w:rPr>
              <w:t>2</w:t>
            </w:r>
            <w:r>
              <w:rPr>
                <w:rFonts w:ascii="Times New Roman" w:hAnsi="Times New Roman" w:cs="Times New Roman"/>
                <w:sz w:val="22"/>
                <w:szCs w:val="22"/>
              </w:rPr>
              <w:t xml:space="preserve"> </w:t>
            </w:r>
            <w:r w:rsidRPr="006E21BC">
              <w:rPr>
                <w:rFonts w:ascii="Times New Roman" w:hAnsi="Times New Roman" w:cs="Times New Roman"/>
                <w:sz w:val="22"/>
                <w:szCs w:val="22"/>
              </w:rPr>
              <w:t>497,3</w:t>
            </w:r>
          </w:p>
        </w:tc>
        <w:tc>
          <w:tcPr>
            <w:tcW w:w="2391" w:type="dxa"/>
            <w:vAlign w:val="center"/>
          </w:tcPr>
          <w:p w14:paraId="4FCFD962" w14:textId="315529DD" w:rsidR="00BE1570" w:rsidRPr="001B1736" w:rsidRDefault="00BE1570" w:rsidP="00BE1570">
            <w:pPr>
              <w:jc w:val="center"/>
              <w:rPr>
                <w:rFonts w:ascii="Times New Roman" w:hAnsi="Times New Roman" w:cs="Times New Roman"/>
                <w:sz w:val="22"/>
                <w:szCs w:val="22"/>
              </w:rPr>
            </w:pPr>
            <w:r w:rsidRPr="001B1736">
              <w:rPr>
                <w:rFonts w:eastAsia="Times New Roman"/>
                <w:kern w:val="0"/>
                <w:sz w:val="22"/>
                <w:szCs w:val="22"/>
              </w:rPr>
              <w:t>642,20</w:t>
            </w:r>
          </w:p>
        </w:tc>
      </w:tr>
      <w:tr w:rsidR="00BE1570" w:rsidRPr="009E66AB" w14:paraId="47DB1FC2" w14:textId="73D363D5" w:rsidTr="001B1736">
        <w:trPr>
          <w:trHeight w:val="396"/>
        </w:trPr>
        <w:tc>
          <w:tcPr>
            <w:tcW w:w="500" w:type="dxa"/>
            <w:shd w:val="clear" w:color="auto" w:fill="FFFFFF" w:themeFill="background1"/>
          </w:tcPr>
          <w:p w14:paraId="54C4FEE1" w14:textId="77777777" w:rsidR="00BE1570" w:rsidRPr="006E21BC" w:rsidRDefault="00BE1570" w:rsidP="00BE1570">
            <w:pPr>
              <w:jc w:val="center"/>
              <w:rPr>
                <w:rFonts w:ascii="Times New Roman" w:hAnsi="Times New Roman" w:cs="Times New Roman"/>
                <w:sz w:val="22"/>
                <w:szCs w:val="22"/>
              </w:rPr>
            </w:pPr>
            <w:r w:rsidRPr="006E21BC">
              <w:rPr>
                <w:rFonts w:ascii="Times New Roman" w:hAnsi="Times New Roman" w:cs="Times New Roman"/>
                <w:sz w:val="22"/>
                <w:szCs w:val="22"/>
              </w:rPr>
              <w:t>2.</w:t>
            </w:r>
          </w:p>
        </w:tc>
        <w:tc>
          <w:tcPr>
            <w:tcW w:w="1935" w:type="dxa"/>
            <w:shd w:val="clear" w:color="auto" w:fill="FFFFFF" w:themeFill="background1"/>
          </w:tcPr>
          <w:p w14:paraId="2472E032" w14:textId="77777777" w:rsidR="00BE1570" w:rsidRPr="006E21BC" w:rsidRDefault="00BE1570" w:rsidP="00BE1570">
            <w:pPr>
              <w:rPr>
                <w:rFonts w:ascii="Times New Roman" w:hAnsi="Times New Roman" w:cs="Times New Roman"/>
                <w:sz w:val="22"/>
                <w:szCs w:val="22"/>
              </w:rPr>
            </w:pPr>
            <w:r w:rsidRPr="006E21BC">
              <w:rPr>
                <w:rFonts w:ascii="Times New Roman" w:hAnsi="Times New Roman" w:cs="Times New Roman"/>
                <w:sz w:val="22"/>
                <w:szCs w:val="22"/>
              </w:rPr>
              <w:t>Kompensacijos už keleiviams suteiktas transporto lengvatas</w:t>
            </w:r>
          </w:p>
        </w:tc>
        <w:tc>
          <w:tcPr>
            <w:tcW w:w="1105" w:type="dxa"/>
            <w:shd w:val="clear" w:color="auto" w:fill="FFFFFF" w:themeFill="background1"/>
            <w:vAlign w:val="center"/>
          </w:tcPr>
          <w:p w14:paraId="660FAB90" w14:textId="77777777" w:rsidR="00BE1570" w:rsidRPr="006E21BC" w:rsidRDefault="00BE1570" w:rsidP="00BE1570">
            <w:pPr>
              <w:jc w:val="center"/>
              <w:rPr>
                <w:rFonts w:ascii="Times New Roman" w:hAnsi="Times New Roman" w:cs="Times New Roman"/>
                <w:b/>
                <w:sz w:val="22"/>
                <w:szCs w:val="22"/>
              </w:rPr>
            </w:pPr>
            <w:r w:rsidRPr="006E21BC">
              <w:rPr>
                <w:rFonts w:ascii="Times New Roman" w:hAnsi="Times New Roman" w:cs="Times New Roman"/>
                <w:b/>
                <w:sz w:val="22"/>
                <w:szCs w:val="22"/>
              </w:rPr>
              <w:t>1 646,9</w:t>
            </w:r>
          </w:p>
        </w:tc>
        <w:tc>
          <w:tcPr>
            <w:tcW w:w="1105" w:type="dxa"/>
            <w:shd w:val="clear" w:color="auto" w:fill="FFFFFF" w:themeFill="background1"/>
            <w:vAlign w:val="center"/>
          </w:tcPr>
          <w:p w14:paraId="0235A582" w14:textId="77777777" w:rsidR="00BE1570" w:rsidRPr="006E21BC" w:rsidRDefault="00BE1570" w:rsidP="00BE1570">
            <w:pPr>
              <w:jc w:val="center"/>
              <w:rPr>
                <w:rFonts w:ascii="Times New Roman" w:hAnsi="Times New Roman" w:cs="Times New Roman"/>
                <w:b/>
                <w:sz w:val="22"/>
                <w:szCs w:val="22"/>
              </w:rPr>
            </w:pPr>
            <w:r w:rsidRPr="006E21BC">
              <w:rPr>
                <w:rFonts w:ascii="Times New Roman" w:hAnsi="Times New Roman" w:cs="Times New Roman"/>
                <w:b/>
                <w:sz w:val="22"/>
                <w:szCs w:val="22"/>
              </w:rPr>
              <w:t>1 367,2</w:t>
            </w:r>
          </w:p>
        </w:tc>
        <w:tc>
          <w:tcPr>
            <w:tcW w:w="1105" w:type="dxa"/>
            <w:shd w:val="clear" w:color="auto" w:fill="FFFFFF" w:themeFill="background1"/>
            <w:vAlign w:val="center"/>
          </w:tcPr>
          <w:p w14:paraId="5F1B18CF" w14:textId="77777777" w:rsidR="00BE1570" w:rsidRPr="006E21BC" w:rsidRDefault="00BE1570" w:rsidP="00BE1570">
            <w:pPr>
              <w:jc w:val="center"/>
              <w:rPr>
                <w:rFonts w:ascii="Times New Roman" w:hAnsi="Times New Roman" w:cs="Times New Roman"/>
                <w:b/>
                <w:sz w:val="22"/>
                <w:szCs w:val="22"/>
              </w:rPr>
            </w:pPr>
            <w:r w:rsidRPr="006E21BC">
              <w:rPr>
                <w:rFonts w:ascii="Times New Roman" w:hAnsi="Times New Roman" w:cs="Times New Roman"/>
                <w:b/>
                <w:sz w:val="22"/>
                <w:szCs w:val="22"/>
              </w:rPr>
              <w:t>1 331,3</w:t>
            </w:r>
          </w:p>
        </w:tc>
        <w:tc>
          <w:tcPr>
            <w:tcW w:w="1105" w:type="dxa"/>
            <w:shd w:val="clear" w:color="auto" w:fill="FFFFFF" w:themeFill="background1"/>
            <w:vAlign w:val="center"/>
          </w:tcPr>
          <w:p w14:paraId="2D9399F7" w14:textId="77777777" w:rsidR="00BE1570" w:rsidRPr="006E21BC" w:rsidRDefault="00BE1570" w:rsidP="00BE1570">
            <w:pPr>
              <w:jc w:val="center"/>
              <w:rPr>
                <w:rFonts w:ascii="Times New Roman" w:hAnsi="Times New Roman" w:cs="Times New Roman"/>
                <w:b/>
                <w:sz w:val="22"/>
                <w:szCs w:val="22"/>
              </w:rPr>
            </w:pPr>
            <w:r w:rsidRPr="006E21BC">
              <w:rPr>
                <w:rFonts w:ascii="Times New Roman" w:hAnsi="Times New Roman" w:cs="Times New Roman"/>
                <w:b/>
                <w:sz w:val="22"/>
                <w:szCs w:val="22"/>
              </w:rPr>
              <w:t>1 331,3</w:t>
            </w:r>
          </w:p>
        </w:tc>
        <w:tc>
          <w:tcPr>
            <w:tcW w:w="1504" w:type="dxa"/>
            <w:shd w:val="clear" w:color="auto" w:fill="FFFFFF" w:themeFill="background1"/>
            <w:vAlign w:val="center"/>
          </w:tcPr>
          <w:p w14:paraId="12865E44" w14:textId="77777777" w:rsidR="00BE1570" w:rsidRPr="006E21BC" w:rsidRDefault="00BE1570" w:rsidP="00BE1570">
            <w:pPr>
              <w:jc w:val="center"/>
              <w:rPr>
                <w:rFonts w:ascii="Times New Roman" w:hAnsi="Times New Roman" w:cs="Times New Roman"/>
                <w:b/>
                <w:sz w:val="22"/>
                <w:szCs w:val="22"/>
              </w:rPr>
            </w:pPr>
            <w:r w:rsidRPr="006E21BC">
              <w:rPr>
                <w:rFonts w:ascii="Times New Roman" w:hAnsi="Times New Roman" w:cs="Times New Roman"/>
                <w:b/>
                <w:sz w:val="22"/>
                <w:szCs w:val="22"/>
              </w:rPr>
              <w:t>1 792,1</w:t>
            </w:r>
          </w:p>
        </w:tc>
        <w:tc>
          <w:tcPr>
            <w:tcW w:w="2391" w:type="dxa"/>
            <w:shd w:val="clear" w:color="auto" w:fill="FFFFFF" w:themeFill="background1"/>
            <w:vAlign w:val="center"/>
          </w:tcPr>
          <w:p w14:paraId="0FA9DD6A" w14:textId="2B33C5F9" w:rsidR="00BE1570" w:rsidRPr="001B1736" w:rsidRDefault="00BE1570" w:rsidP="00BE1570">
            <w:pPr>
              <w:jc w:val="center"/>
              <w:rPr>
                <w:rFonts w:ascii="Times New Roman" w:hAnsi="Times New Roman" w:cs="Times New Roman"/>
                <w:b/>
                <w:sz w:val="22"/>
                <w:szCs w:val="22"/>
              </w:rPr>
            </w:pPr>
            <w:r w:rsidRPr="001B1736">
              <w:rPr>
                <w:rFonts w:eastAsia="Times New Roman"/>
                <w:b/>
                <w:kern w:val="0"/>
                <w:sz w:val="22"/>
                <w:szCs w:val="22"/>
              </w:rPr>
              <w:t>460,80</w:t>
            </w:r>
          </w:p>
        </w:tc>
      </w:tr>
      <w:tr w:rsidR="00BE1570" w:rsidRPr="009E66AB" w14:paraId="73E38120" w14:textId="029FE8E1" w:rsidTr="001B1736">
        <w:trPr>
          <w:trHeight w:val="559"/>
        </w:trPr>
        <w:tc>
          <w:tcPr>
            <w:tcW w:w="500" w:type="dxa"/>
            <w:shd w:val="clear" w:color="auto" w:fill="FFFFFF" w:themeFill="background1"/>
          </w:tcPr>
          <w:p w14:paraId="3C5E3323" w14:textId="77777777" w:rsidR="00BE1570" w:rsidRPr="006E21BC" w:rsidRDefault="00BE1570" w:rsidP="00BE1570">
            <w:pPr>
              <w:jc w:val="center"/>
              <w:rPr>
                <w:rFonts w:ascii="Times New Roman" w:hAnsi="Times New Roman" w:cs="Times New Roman"/>
                <w:sz w:val="22"/>
                <w:szCs w:val="22"/>
              </w:rPr>
            </w:pPr>
            <w:r w:rsidRPr="006E21BC">
              <w:rPr>
                <w:rFonts w:ascii="Times New Roman" w:hAnsi="Times New Roman" w:cs="Times New Roman"/>
                <w:sz w:val="22"/>
                <w:szCs w:val="22"/>
              </w:rPr>
              <w:t>3.</w:t>
            </w:r>
          </w:p>
        </w:tc>
        <w:tc>
          <w:tcPr>
            <w:tcW w:w="1935" w:type="dxa"/>
            <w:shd w:val="clear" w:color="auto" w:fill="FFFFFF" w:themeFill="background1"/>
          </w:tcPr>
          <w:p w14:paraId="04DCA182" w14:textId="77777777" w:rsidR="00BE1570" w:rsidRPr="006E21BC" w:rsidRDefault="00BE1570" w:rsidP="00BE1570">
            <w:pPr>
              <w:rPr>
                <w:rFonts w:ascii="Times New Roman" w:hAnsi="Times New Roman" w:cs="Times New Roman"/>
                <w:sz w:val="22"/>
                <w:szCs w:val="22"/>
              </w:rPr>
            </w:pPr>
            <w:r w:rsidRPr="006E21BC">
              <w:rPr>
                <w:rFonts w:ascii="Times New Roman" w:hAnsi="Times New Roman" w:cs="Times New Roman"/>
                <w:sz w:val="22"/>
                <w:szCs w:val="22"/>
              </w:rPr>
              <w:t>Kompensacijos už keleivių vežimą nuostolingais maršrutais (t. y. nepakankamo dydžio tarifų)</w:t>
            </w:r>
          </w:p>
        </w:tc>
        <w:tc>
          <w:tcPr>
            <w:tcW w:w="1105" w:type="dxa"/>
            <w:shd w:val="clear" w:color="auto" w:fill="FFFFFF" w:themeFill="background1"/>
            <w:vAlign w:val="center"/>
          </w:tcPr>
          <w:p w14:paraId="1F2C98E6" w14:textId="77777777" w:rsidR="00BE1570" w:rsidRPr="006E21BC" w:rsidRDefault="00BE1570" w:rsidP="00BE1570">
            <w:pPr>
              <w:jc w:val="center"/>
              <w:rPr>
                <w:rFonts w:ascii="Times New Roman" w:hAnsi="Times New Roman" w:cs="Times New Roman"/>
                <w:b/>
                <w:sz w:val="22"/>
                <w:szCs w:val="22"/>
              </w:rPr>
            </w:pPr>
            <w:r w:rsidRPr="006E21BC">
              <w:rPr>
                <w:rFonts w:ascii="Times New Roman" w:hAnsi="Times New Roman" w:cs="Times New Roman"/>
                <w:b/>
                <w:sz w:val="22"/>
                <w:szCs w:val="22"/>
              </w:rPr>
              <w:t>2 530,4</w:t>
            </w:r>
          </w:p>
        </w:tc>
        <w:tc>
          <w:tcPr>
            <w:tcW w:w="1105" w:type="dxa"/>
            <w:shd w:val="clear" w:color="auto" w:fill="FFFFFF" w:themeFill="background1"/>
            <w:vAlign w:val="center"/>
          </w:tcPr>
          <w:p w14:paraId="0CF26A87" w14:textId="77777777" w:rsidR="00BE1570" w:rsidRPr="006E21BC" w:rsidRDefault="00BE1570" w:rsidP="00BE1570">
            <w:pPr>
              <w:jc w:val="center"/>
              <w:rPr>
                <w:rFonts w:ascii="Times New Roman" w:hAnsi="Times New Roman" w:cs="Times New Roman"/>
                <w:b/>
                <w:sz w:val="22"/>
                <w:szCs w:val="22"/>
              </w:rPr>
            </w:pPr>
            <w:r w:rsidRPr="006E21BC">
              <w:rPr>
                <w:rFonts w:ascii="Times New Roman" w:hAnsi="Times New Roman" w:cs="Times New Roman"/>
                <w:b/>
                <w:sz w:val="22"/>
                <w:szCs w:val="22"/>
              </w:rPr>
              <w:t>3 046,9</w:t>
            </w:r>
          </w:p>
        </w:tc>
        <w:tc>
          <w:tcPr>
            <w:tcW w:w="1105" w:type="dxa"/>
            <w:shd w:val="clear" w:color="auto" w:fill="FFFFFF" w:themeFill="background1"/>
            <w:vAlign w:val="center"/>
          </w:tcPr>
          <w:p w14:paraId="4AED6EA5" w14:textId="77777777" w:rsidR="00BE1570" w:rsidRPr="006E21BC" w:rsidRDefault="00BE1570" w:rsidP="00BE1570">
            <w:pPr>
              <w:jc w:val="center"/>
              <w:rPr>
                <w:rFonts w:ascii="Times New Roman" w:hAnsi="Times New Roman" w:cs="Times New Roman"/>
                <w:b/>
                <w:sz w:val="22"/>
                <w:szCs w:val="22"/>
              </w:rPr>
            </w:pPr>
            <w:r w:rsidRPr="006E21BC">
              <w:rPr>
                <w:rFonts w:ascii="Times New Roman" w:hAnsi="Times New Roman" w:cs="Times New Roman"/>
                <w:b/>
                <w:sz w:val="22"/>
                <w:szCs w:val="22"/>
              </w:rPr>
              <w:t>3 550,0</w:t>
            </w:r>
          </w:p>
        </w:tc>
        <w:tc>
          <w:tcPr>
            <w:tcW w:w="1105" w:type="dxa"/>
            <w:shd w:val="clear" w:color="auto" w:fill="FFFFFF" w:themeFill="background1"/>
            <w:vAlign w:val="center"/>
          </w:tcPr>
          <w:p w14:paraId="11BA9339" w14:textId="77777777" w:rsidR="00BE1570" w:rsidRPr="006E21BC" w:rsidRDefault="00BE1570" w:rsidP="00BE1570">
            <w:pPr>
              <w:jc w:val="center"/>
              <w:rPr>
                <w:rFonts w:ascii="Times New Roman" w:hAnsi="Times New Roman" w:cs="Times New Roman"/>
                <w:b/>
                <w:sz w:val="22"/>
                <w:szCs w:val="22"/>
              </w:rPr>
            </w:pPr>
            <w:r w:rsidRPr="006E21BC">
              <w:rPr>
                <w:rFonts w:ascii="Times New Roman" w:hAnsi="Times New Roman" w:cs="Times New Roman"/>
                <w:b/>
                <w:sz w:val="22"/>
                <w:szCs w:val="22"/>
              </w:rPr>
              <w:t>4 100,0</w:t>
            </w:r>
          </w:p>
        </w:tc>
        <w:tc>
          <w:tcPr>
            <w:tcW w:w="1504" w:type="dxa"/>
            <w:shd w:val="clear" w:color="auto" w:fill="FFFFFF" w:themeFill="background1"/>
            <w:vAlign w:val="center"/>
          </w:tcPr>
          <w:p w14:paraId="3DAEBF09" w14:textId="77777777" w:rsidR="00BE1570" w:rsidRPr="006E21BC" w:rsidRDefault="00BE1570" w:rsidP="00BE1570">
            <w:pPr>
              <w:jc w:val="center"/>
              <w:rPr>
                <w:rFonts w:ascii="Times New Roman" w:hAnsi="Times New Roman" w:cs="Times New Roman"/>
                <w:b/>
                <w:sz w:val="22"/>
                <w:szCs w:val="22"/>
              </w:rPr>
            </w:pPr>
            <w:r w:rsidRPr="006E21BC">
              <w:rPr>
                <w:rFonts w:ascii="Times New Roman" w:hAnsi="Times New Roman" w:cs="Times New Roman"/>
                <w:b/>
                <w:sz w:val="22"/>
                <w:szCs w:val="22"/>
              </w:rPr>
              <w:t>2</w:t>
            </w:r>
            <w:r>
              <w:rPr>
                <w:rFonts w:ascii="Times New Roman" w:hAnsi="Times New Roman" w:cs="Times New Roman"/>
                <w:b/>
                <w:sz w:val="22"/>
                <w:szCs w:val="22"/>
              </w:rPr>
              <w:t xml:space="preserve"> </w:t>
            </w:r>
            <w:r w:rsidRPr="006E21BC">
              <w:rPr>
                <w:rFonts w:ascii="Times New Roman" w:hAnsi="Times New Roman" w:cs="Times New Roman"/>
                <w:b/>
                <w:sz w:val="22"/>
                <w:szCs w:val="22"/>
              </w:rPr>
              <w:t>997,0</w:t>
            </w:r>
          </w:p>
        </w:tc>
        <w:tc>
          <w:tcPr>
            <w:tcW w:w="2391" w:type="dxa"/>
            <w:shd w:val="clear" w:color="auto" w:fill="FFFFFF" w:themeFill="background1"/>
            <w:vAlign w:val="center"/>
          </w:tcPr>
          <w:p w14:paraId="4BB5AA26" w14:textId="7C3EAE41" w:rsidR="00BE1570" w:rsidRPr="001B1736" w:rsidRDefault="00BE1570" w:rsidP="00BE1570">
            <w:pPr>
              <w:jc w:val="center"/>
              <w:rPr>
                <w:rFonts w:ascii="Times New Roman" w:hAnsi="Times New Roman" w:cs="Times New Roman"/>
                <w:b/>
                <w:sz w:val="22"/>
                <w:szCs w:val="22"/>
              </w:rPr>
            </w:pPr>
            <w:r w:rsidRPr="001B1736">
              <w:rPr>
                <w:rFonts w:eastAsia="Times New Roman"/>
                <w:b/>
                <w:kern w:val="0"/>
                <w:sz w:val="22"/>
                <w:szCs w:val="22"/>
              </w:rPr>
              <w:t>-1 103,00</w:t>
            </w:r>
          </w:p>
        </w:tc>
      </w:tr>
      <w:tr w:rsidR="00BE1570" w:rsidRPr="009E66AB" w14:paraId="038437DC" w14:textId="134D464E" w:rsidTr="001B1736">
        <w:trPr>
          <w:trHeight w:val="412"/>
        </w:trPr>
        <w:tc>
          <w:tcPr>
            <w:tcW w:w="500" w:type="dxa"/>
            <w:shd w:val="clear" w:color="auto" w:fill="D9D9D9" w:themeFill="background1" w:themeFillShade="D9"/>
          </w:tcPr>
          <w:p w14:paraId="79DDA60D" w14:textId="77777777" w:rsidR="00BE1570" w:rsidRPr="006E21BC" w:rsidRDefault="00BE1570" w:rsidP="00BE1570">
            <w:pPr>
              <w:jc w:val="center"/>
              <w:rPr>
                <w:rFonts w:ascii="Times New Roman" w:hAnsi="Times New Roman" w:cs="Times New Roman"/>
                <w:sz w:val="22"/>
                <w:szCs w:val="22"/>
              </w:rPr>
            </w:pPr>
            <w:r w:rsidRPr="006E21BC">
              <w:rPr>
                <w:rFonts w:ascii="Times New Roman" w:hAnsi="Times New Roman" w:cs="Times New Roman"/>
                <w:sz w:val="22"/>
                <w:szCs w:val="22"/>
              </w:rPr>
              <w:t>4.</w:t>
            </w:r>
          </w:p>
        </w:tc>
        <w:tc>
          <w:tcPr>
            <w:tcW w:w="1935" w:type="dxa"/>
            <w:shd w:val="clear" w:color="auto" w:fill="D9D9D9" w:themeFill="background1" w:themeFillShade="D9"/>
          </w:tcPr>
          <w:p w14:paraId="4738439F" w14:textId="77777777" w:rsidR="00BE1570" w:rsidRPr="006E21BC" w:rsidRDefault="00BE1570" w:rsidP="00BE1570">
            <w:pPr>
              <w:rPr>
                <w:rFonts w:ascii="Times New Roman" w:hAnsi="Times New Roman" w:cs="Times New Roman"/>
                <w:sz w:val="22"/>
                <w:szCs w:val="22"/>
              </w:rPr>
            </w:pPr>
            <w:r w:rsidRPr="006E21BC">
              <w:rPr>
                <w:rFonts w:ascii="Times New Roman" w:hAnsi="Times New Roman" w:cs="Times New Roman"/>
                <w:sz w:val="22"/>
                <w:szCs w:val="22"/>
              </w:rPr>
              <w:t>Iš Savivaldybės biudžeto skiriamos lėšos (2+3) viso:</w:t>
            </w:r>
          </w:p>
        </w:tc>
        <w:tc>
          <w:tcPr>
            <w:tcW w:w="1105" w:type="dxa"/>
            <w:shd w:val="clear" w:color="auto" w:fill="D9D9D9" w:themeFill="background1" w:themeFillShade="D9"/>
            <w:vAlign w:val="center"/>
          </w:tcPr>
          <w:p w14:paraId="54871130" w14:textId="77777777" w:rsidR="00BE1570" w:rsidRPr="006E21BC" w:rsidRDefault="00BE1570" w:rsidP="00BE1570">
            <w:pPr>
              <w:jc w:val="center"/>
              <w:rPr>
                <w:rFonts w:ascii="Times New Roman" w:hAnsi="Times New Roman" w:cs="Times New Roman"/>
                <w:b/>
                <w:sz w:val="22"/>
                <w:szCs w:val="22"/>
              </w:rPr>
            </w:pPr>
            <w:r w:rsidRPr="006E21BC">
              <w:rPr>
                <w:rFonts w:ascii="Times New Roman" w:hAnsi="Times New Roman" w:cs="Times New Roman"/>
                <w:b/>
                <w:sz w:val="22"/>
                <w:szCs w:val="22"/>
              </w:rPr>
              <w:t>4</w:t>
            </w:r>
            <w:r>
              <w:rPr>
                <w:rFonts w:ascii="Times New Roman" w:hAnsi="Times New Roman" w:cs="Times New Roman"/>
                <w:b/>
                <w:sz w:val="22"/>
                <w:szCs w:val="22"/>
              </w:rPr>
              <w:t xml:space="preserve"> </w:t>
            </w:r>
            <w:r w:rsidRPr="006E21BC">
              <w:rPr>
                <w:rFonts w:ascii="Times New Roman" w:hAnsi="Times New Roman" w:cs="Times New Roman"/>
                <w:b/>
                <w:sz w:val="22"/>
                <w:szCs w:val="22"/>
              </w:rPr>
              <w:t>177,3</w:t>
            </w:r>
          </w:p>
        </w:tc>
        <w:tc>
          <w:tcPr>
            <w:tcW w:w="1105" w:type="dxa"/>
            <w:shd w:val="clear" w:color="auto" w:fill="D9D9D9" w:themeFill="background1" w:themeFillShade="D9"/>
            <w:vAlign w:val="center"/>
          </w:tcPr>
          <w:p w14:paraId="5CAB43E4" w14:textId="77777777" w:rsidR="00BE1570" w:rsidRPr="006E21BC" w:rsidRDefault="00BE1570" w:rsidP="00BE1570">
            <w:pPr>
              <w:jc w:val="center"/>
              <w:rPr>
                <w:rFonts w:ascii="Times New Roman" w:hAnsi="Times New Roman" w:cs="Times New Roman"/>
                <w:b/>
                <w:sz w:val="22"/>
                <w:szCs w:val="22"/>
              </w:rPr>
            </w:pPr>
            <w:r w:rsidRPr="006E21BC">
              <w:rPr>
                <w:rFonts w:ascii="Times New Roman" w:hAnsi="Times New Roman" w:cs="Times New Roman"/>
                <w:b/>
                <w:sz w:val="22"/>
                <w:szCs w:val="22"/>
              </w:rPr>
              <w:t>4</w:t>
            </w:r>
            <w:r>
              <w:rPr>
                <w:rFonts w:ascii="Times New Roman" w:hAnsi="Times New Roman" w:cs="Times New Roman"/>
                <w:b/>
                <w:sz w:val="22"/>
                <w:szCs w:val="22"/>
              </w:rPr>
              <w:t xml:space="preserve"> </w:t>
            </w:r>
            <w:r w:rsidRPr="006E21BC">
              <w:rPr>
                <w:rFonts w:ascii="Times New Roman" w:hAnsi="Times New Roman" w:cs="Times New Roman"/>
                <w:b/>
                <w:sz w:val="22"/>
                <w:szCs w:val="22"/>
              </w:rPr>
              <w:t>414,1</w:t>
            </w:r>
          </w:p>
        </w:tc>
        <w:tc>
          <w:tcPr>
            <w:tcW w:w="1105" w:type="dxa"/>
            <w:shd w:val="clear" w:color="auto" w:fill="D9D9D9" w:themeFill="background1" w:themeFillShade="D9"/>
            <w:vAlign w:val="center"/>
          </w:tcPr>
          <w:p w14:paraId="3158596C" w14:textId="77777777" w:rsidR="00BE1570" w:rsidRPr="006E21BC" w:rsidRDefault="00BE1570" w:rsidP="00BE1570">
            <w:pPr>
              <w:jc w:val="center"/>
              <w:rPr>
                <w:rFonts w:ascii="Times New Roman" w:hAnsi="Times New Roman" w:cs="Times New Roman"/>
                <w:b/>
                <w:sz w:val="22"/>
                <w:szCs w:val="22"/>
              </w:rPr>
            </w:pPr>
            <w:r w:rsidRPr="006E21BC">
              <w:rPr>
                <w:rFonts w:ascii="Times New Roman" w:hAnsi="Times New Roman" w:cs="Times New Roman"/>
                <w:b/>
                <w:sz w:val="22"/>
                <w:szCs w:val="22"/>
              </w:rPr>
              <w:t>4</w:t>
            </w:r>
            <w:r>
              <w:rPr>
                <w:rFonts w:ascii="Times New Roman" w:hAnsi="Times New Roman" w:cs="Times New Roman"/>
                <w:b/>
                <w:sz w:val="22"/>
                <w:szCs w:val="22"/>
              </w:rPr>
              <w:t xml:space="preserve"> </w:t>
            </w:r>
            <w:r w:rsidRPr="006E21BC">
              <w:rPr>
                <w:rFonts w:ascii="Times New Roman" w:hAnsi="Times New Roman" w:cs="Times New Roman"/>
                <w:b/>
                <w:sz w:val="22"/>
                <w:szCs w:val="22"/>
              </w:rPr>
              <w:t>881,3</w:t>
            </w:r>
          </w:p>
        </w:tc>
        <w:tc>
          <w:tcPr>
            <w:tcW w:w="1105" w:type="dxa"/>
            <w:shd w:val="clear" w:color="auto" w:fill="D9D9D9" w:themeFill="background1" w:themeFillShade="D9"/>
            <w:vAlign w:val="center"/>
          </w:tcPr>
          <w:p w14:paraId="256B44AD" w14:textId="77777777" w:rsidR="00BE1570" w:rsidRPr="006E21BC" w:rsidRDefault="00BE1570" w:rsidP="00BE1570">
            <w:pPr>
              <w:jc w:val="center"/>
              <w:rPr>
                <w:rFonts w:ascii="Times New Roman" w:hAnsi="Times New Roman" w:cs="Times New Roman"/>
                <w:b/>
                <w:sz w:val="22"/>
                <w:szCs w:val="22"/>
              </w:rPr>
            </w:pPr>
            <w:r w:rsidRPr="006E21BC">
              <w:rPr>
                <w:rFonts w:ascii="Times New Roman" w:hAnsi="Times New Roman" w:cs="Times New Roman"/>
                <w:b/>
                <w:sz w:val="22"/>
                <w:szCs w:val="22"/>
              </w:rPr>
              <w:t>5</w:t>
            </w:r>
            <w:r>
              <w:rPr>
                <w:rFonts w:ascii="Times New Roman" w:hAnsi="Times New Roman" w:cs="Times New Roman"/>
                <w:b/>
                <w:sz w:val="22"/>
                <w:szCs w:val="22"/>
              </w:rPr>
              <w:t xml:space="preserve"> </w:t>
            </w:r>
            <w:r w:rsidRPr="006E21BC">
              <w:rPr>
                <w:rFonts w:ascii="Times New Roman" w:hAnsi="Times New Roman" w:cs="Times New Roman"/>
                <w:b/>
                <w:sz w:val="22"/>
                <w:szCs w:val="22"/>
              </w:rPr>
              <w:t>431,3</w:t>
            </w:r>
          </w:p>
        </w:tc>
        <w:tc>
          <w:tcPr>
            <w:tcW w:w="1504" w:type="dxa"/>
            <w:shd w:val="clear" w:color="auto" w:fill="D9D9D9" w:themeFill="background1" w:themeFillShade="D9"/>
            <w:vAlign w:val="center"/>
          </w:tcPr>
          <w:p w14:paraId="1F365C6B" w14:textId="77777777" w:rsidR="00BE1570" w:rsidRPr="006E21BC" w:rsidRDefault="00BE1570" w:rsidP="00BE1570">
            <w:pPr>
              <w:jc w:val="center"/>
              <w:rPr>
                <w:rFonts w:ascii="Times New Roman" w:hAnsi="Times New Roman" w:cs="Times New Roman"/>
                <w:sz w:val="22"/>
                <w:szCs w:val="22"/>
              </w:rPr>
            </w:pPr>
            <w:r w:rsidRPr="006E21BC">
              <w:rPr>
                <w:rFonts w:ascii="Times New Roman" w:hAnsi="Times New Roman" w:cs="Times New Roman"/>
                <w:b/>
                <w:sz w:val="22"/>
                <w:szCs w:val="22"/>
              </w:rPr>
              <w:t>4</w:t>
            </w:r>
            <w:r>
              <w:rPr>
                <w:rFonts w:ascii="Times New Roman" w:hAnsi="Times New Roman" w:cs="Times New Roman"/>
                <w:b/>
                <w:sz w:val="22"/>
                <w:szCs w:val="22"/>
              </w:rPr>
              <w:t xml:space="preserve"> </w:t>
            </w:r>
            <w:r w:rsidRPr="006E21BC">
              <w:rPr>
                <w:rFonts w:ascii="Times New Roman" w:hAnsi="Times New Roman" w:cs="Times New Roman"/>
                <w:b/>
                <w:sz w:val="22"/>
                <w:szCs w:val="22"/>
              </w:rPr>
              <w:t>789,1</w:t>
            </w:r>
            <w:r w:rsidRPr="006E21BC">
              <w:rPr>
                <w:rFonts w:ascii="Times New Roman" w:hAnsi="Times New Roman" w:cs="Times New Roman"/>
                <w:sz w:val="22"/>
                <w:szCs w:val="22"/>
              </w:rPr>
              <w:t xml:space="preserve"> </w:t>
            </w:r>
          </w:p>
        </w:tc>
        <w:tc>
          <w:tcPr>
            <w:tcW w:w="2391" w:type="dxa"/>
            <w:shd w:val="clear" w:color="auto" w:fill="D9D9D9" w:themeFill="background1" w:themeFillShade="D9"/>
            <w:vAlign w:val="center"/>
          </w:tcPr>
          <w:p w14:paraId="168EE84B" w14:textId="0BAFFACA" w:rsidR="00BE1570" w:rsidRPr="001B1736" w:rsidRDefault="00BE1570" w:rsidP="00BE1570">
            <w:pPr>
              <w:jc w:val="center"/>
              <w:rPr>
                <w:rFonts w:ascii="Times New Roman" w:hAnsi="Times New Roman" w:cs="Times New Roman"/>
                <w:b/>
                <w:sz w:val="22"/>
                <w:szCs w:val="22"/>
              </w:rPr>
            </w:pPr>
            <w:r w:rsidRPr="001B1736">
              <w:rPr>
                <w:rFonts w:eastAsia="Times New Roman"/>
                <w:b/>
                <w:kern w:val="0"/>
                <w:sz w:val="22"/>
                <w:szCs w:val="22"/>
              </w:rPr>
              <w:t>-642,20</w:t>
            </w:r>
          </w:p>
        </w:tc>
      </w:tr>
      <w:tr w:rsidR="00BE1570" w:rsidRPr="009E66AB" w14:paraId="1A2452D5" w14:textId="03724371" w:rsidTr="001B1736">
        <w:trPr>
          <w:trHeight w:val="412"/>
        </w:trPr>
        <w:tc>
          <w:tcPr>
            <w:tcW w:w="500" w:type="dxa"/>
          </w:tcPr>
          <w:p w14:paraId="025FB53D" w14:textId="77777777" w:rsidR="00BE1570" w:rsidRPr="006E21BC" w:rsidRDefault="00BE1570" w:rsidP="00811CF9">
            <w:pPr>
              <w:jc w:val="center"/>
              <w:rPr>
                <w:rFonts w:ascii="Times New Roman" w:hAnsi="Times New Roman" w:cs="Times New Roman"/>
                <w:sz w:val="22"/>
                <w:szCs w:val="22"/>
              </w:rPr>
            </w:pPr>
          </w:p>
        </w:tc>
        <w:tc>
          <w:tcPr>
            <w:tcW w:w="1935" w:type="dxa"/>
          </w:tcPr>
          <w:p w14:paraId="2CB88F1F" w14:textId="77777777" w:rsidR="00BE1570" w:rsidRPr="006E21BC" w:rsidRDefault="00BE1570" w:rsidP="00811CF9">
            <w:pPr>
              <w:rPr>
                <w:rFonts w:ascii="Times New Roman" w:hAnsi="Times New Roman" w:cs="Times New Roman"/>
                <w:sz w:val="22"/>
                <w:szCs w:val="22"/>
              </w:rPr>
            </w:pPr>
            <w:r w:rsidRPr="006E21BC">
              <w:rPr>
                <w:rFonts w:ascii="Times New Roman" w:hAnsi="Times New Roman" w:cs="Times New Roman"/>
                <w:sz w:val="22"/>
                <w:szCs w:val="22"/>
              </w:rPr>
              <w:t>Viešojo transporto sąnaudos Panevėžyje</w:t>
            </w:r>
          </w:p>
        </w:tc>
        <w:tc>
          <w:tcPr>
            <w:tcW w:w="1105" w:type="dxa"/>
            <w:vAlign w:val="center"/>
          </w:tcPr>
          <w:p w14:paraId="3F576750" w14:textId="77777777" w:rsidR="00BE1570" w:rsidRPr="006E21BC" w:rsidRDefault="00BE1570" w:rsidP="00811CF9">
            <w:pPr>
              <w:jc w:val="center"/>
              <w:rPr>
                <w:rFonts w:ascii="Times New Roman" w:hAnsi="Times New Roman" w:cs="Times New Roman"/>
                <w:b/>
                <w:sz w:val="22"/>
                <w:szCs w:val="22"/>
              </w:rPr>
            </w:pPr>
            <w:r w:rsidRPr="006E21BC">
              <w:rPr>
                <w:rFonts w:ascii="Times New Roman" w:hAnsi="Times New Roman" w:cs="Times New Roman"/>
                <w:b/>
                <w:sz w:val="22"/>
                <w:szCs w:val="22"/>
              </w:rPr>
              <w:t>6</w:t>
            </w:r>
            <w:r>
              <w:rPr>
                <w:rFonts w:ascii="Times New Roman" w:hAnsi="Times New Roman" w:cs="Times New Roman"/>
                <w:b/>
                <w:sz w:val="22"/>
                <w:szCs w:val="22"/>
              </w:rPr>
              <w:t xml:space="preserve"> </w:t>
            </w:r>
            <w:r w:rsidRPr="006E21BC">
              <w:rPr>
                <w:rFonts w:ascii="Times New Roman" w:hAnsi="Times New Roman" w:cs="Times New Roman"/>
                <w:b/>
                <w:sz w:val="22"/>
                <w:szCs w:val="22"/>
              </w:rPr>
              <w:t>576,0</w:t>
            </w:r>
          </w:p>
        </w:tc>
        <w:tc>
          <w:tcPr>
            <w:tcW w:w="1105" w:type="dxa"/>
            <w:vAlign w:val="center"/>
          </w:tcPr>
          <w:p w14:paraId="17234ABF" w14:textId="77777777" w:rsidR="00BE1570" w:rsidRPr="006E21BC" w:rsidRDefault="00BE1570" w:rsidP="00811CF9">
            <w:pPr>
              <w:jc w:val="center"/>
              <w:rPr>
                <w:rFonts w:ascii="Times New Roman" w:hAnsi="Times New Roman" w:cs="Times New Roman"/>
                <w:b/>
                <w:sz w:val="22"/>
                <w:szCs w:val="22"/>
              </w:rPr>
            </w:pPr>
            <w:r w:rsidRPr="006E21BC">
              <w:rPr>
                <w:rFonts w:ascii="Times New Roman" w:hAnsi="Times New Roman" w:cs="Times New Roman"/>
                <w:b/>
                <w:sz w:val="22"/>
                <w:szCs w:val="22"/>
              </w:rPr>
              <w:t>6</w:t>
            </w:r>
            <w:r>
              <w:rPr>
                <w:rFonts w:ascii="Times New Roman" w:hAnsi="Times New Roman" w:cs="Times New Roman"/>
                <w:b/>
                <w:sz w:val="22"/>
                <w:szCs w:val="22"/>
              </w:rPr>
              <w:t xml:space="preserve"> </w:t>
            </w:r>
            <w:r w:rsidRPr="006E21BC">
              <w:rPr>
                <w:rFonts w:ascii="Times New Roman" w:hAnsi="Times New Roman" w:cs="Times New Roman"/>
                <w:b/>
                <w:sz w:val="22"/>
                <w:szCs w:val="22"/>
              </w:rPr>
              <w:t>328,4</w:t>
            </w:r>
          </w:p>
        </w:tc>
        <w:tc>
          <w:tcPr>
            <w:tcW w:w="1105" w:type="dxa"/>
            <w:vAlign w:val="center"/>
          </w:tcPr>
          <w:p w14:paraId="3FF73D54" w14:textId="77777777" w:rsidR="00BE1570" w:rsidRPr="006E21BC" w:rsidRDefault="00BE1570" w:rsidP="00811CF9">
            <w:pPr>
              <w:jc w:val="center"/>
              <w:rPr>
                <w:rFonts w:ascii="Times New Roman" w:hAnsi="Times New Roman" w:cs="Times New Roman"/>
                <w:b/>
                <w:sz w:val="22"/>
                <w:szCs w:val="22"/>
              </w:rPr>
            </w:pPr>
            <w:r w:rsidRPr="006E21BC">
              <w:rPr>
                <w:rFonts w:ascii="Times New Roman" w:hAnsi="Times New Roman" w:cs="Times New Roman"/>
                <w:b/>
                <w:sz w:val="22"/>
                <w:szCs w:val="22"/>
              </w:rPr>
              <w:t>6</w:t>
            </w:r>
            <w:r>
              <w:rPr>
                <w:rFonts w:ascii="Times New Roman" w:hAnsi="Times New Roman" w:cs="Times New Roman"/>
                <w:b/>
                <w:sz w:val="22"/>
                <w:szCs w:val="22"/>
              </w:rPr>
              <w:t xml:space="preserve"> </w:t>
            </w:r>
            <w:r w:rsidRPr="006E21BC">
              <w:rPr>
                <w:rFonts w:ascii="Times New Roman" w:hAnsi="Times New Roman" w:cs="Times New Roman"/>
                <w:b/>
                <w:sz w:val="22"/>
                <w:szCs w:val="22"/>
              </w:rPr>
              <w:t>736,4</w:t>
            </w:r>
          </w:p>
        </w:tc>
        <w:tc>
          <w:tcPr>
            <w:tcW w:w="1105" w:type="dxa"/>
            <w:vAlign w:val="center"/>
          </w:tcPr>
          <w:p w14:paraId="0AF8A559" w14:textId="77777777" w:rsidR="00BE1570" w:rsidRPr="006E21BC" w:rsidRDefault="00BE1570" w:rsidP="00811CF9">
            <w:pPr>
              <w:jc w:val="center"/>
              <w:rPr>
                <w:rFonts w:ascii="Times New Roman" w:hAnsi="Times New Roman" w:cs="Times New Roman"/>
                <w:b/>
                <w:sz w:val="22"/>
                <w:szCs w:val="22"/>
              </w:rPr>
            </w:pPr>
            <w:r w:rsidRPr="006E21BC">
              <w:rPr>
                <w:rFonts w:ascii="Times New Roman" w:hAnsi="Times New Roman" w:cs="Times New Roman"/>
                <w:b/>
                <w:sz w:val="22"/>
                <w:szCs w:val="22"/>
              </w:rPr>
              <w:t>7</w:t>
            </w:r>
            <w:r>
              <w:rPr>
                <w:rFonts w:ascii="Times New Roman" w:hAnsi="Times New Roman" w:cs="Times New Roman"/>
                <w:b/>
                <w:sz w:val="22"/>
                <w:szCs w:val="22"/>
              </w:rPr>
              <w:t xml:space="preserve"> </w:t>
            </w:r>
            <w:r w:rsidRPr="006E21BC">
              <w:rPr>
                <w:rFonts w:ascii="Times New Roman" w:hAnsi="Times New Roman" w:cs="Times New Roman"/>
                <w:b/>
                <w:sz w:val="22"/>
                <w:szCs w:val="22"/>
              </w:rPr>
              <w:t>286,4</w:t>
            </w:r>
          </w:p>
        </w:tc>
        <w:tc>
          <w:tcPr>
            <w:tcW w:w="1504" w:type="dxa"/>
            <w:vAlign w:val="center"/>
          </w:tcPr>
          <w:p w14:paraId="7FEBF509" w14:textId="77777777" w:rsidR="00BE1570" w:rsidRPr="006E21BC" w:rsidRDefault="00BE1570" w:rsidP="00811CF9">
            <w:pPr>
              <w:jc w:val="center"/>
              <w:rPr>
                <w:rFonts w:ascii="Times New Roman" w:hAnsi="Times New Roman" w:cs="Times New Roman"/>
                <w:b/>
                <w:sz w:val="22"/>
                <w:szCs w:val="22"/>
              </w:rPr>
            </w:pPr>
            <w:r w:rsidRPr="006E21BC">
              <w:rPr>
                <w:rFonts w:ascii="Times New Roman" w:hAnsi="Times New Roman" w:cs="Times New Roman"/>
                <w:b/>
                <w:sz w:val="22"/>
                <w:szCs w:val="22"/>
              </w:rPr>
              <w:t>7</w:t>
            </w:r>
            <w:r>
              <w:rPr>
                <w:rFonts w:ascii="Times New Roman" w:hAnsi="Times New Roman" w:cs="Times New Roman"/>
                <w:b/>
                <w:sz w:val="22"/>
                <w:szCs w:val="22"/>
              </w:rPr>
              <w:t xml:space="preserve"> </w:t>
            </w:r>
            <w:r w:rsidRPr="006E21BC">
              <w:rPr>
                <w:rFonts w:ascii="Times New Roman" w:hAnsi="Times New Roman" w:cs="Times New Roman"/>
                <w:b/>
                <w:sz w:val="22"/>
                <w:szCs w:val="22"/>
              </w:rPr>
              <w:t>286,4</w:t>
            </w:r>
          </w:p>
        </w:tc>
        <w:tc>
          <w:tcPr>
            <w:tcW w:w="2391" w:type="dxa"/>
            <w:vAlign w:val="center"/>
          </w:tcPr>
          <w:p w14:paraId="126CE8FA" w14:textId="77777777" w:rsidR="00BE1570" w:rsidRPr="001B1736" w:rsidRDefault="00D05263" w:rsidP="00D05263">
            <w:pPr>
              <w:jc w:val="center"/>
              <w:rPr>
                <w:rFonts w:ascii="Times New Roman" w:hAnsi="Times New Roman" w:cs="Times New Roman"/>
                <w:b/>
                <w:sz w:val="22"/>
                <w:szCs w:val="22"/>
              </w:rPr>
            </w:pPr>
            <w:r w:rsidRPr="00341B04">
              <w:rPr>
                <w:b/>
                <w:sz w:val="22"/>
                <w:szCs w:val="22"/>
              </w:rPr>
              <w:t>-</w:t>
            </w:r>
          </w:p>
          <w:p w14:paraId="5191F062" w14:textId="3D00FCEC" w:rsidR="00D05263" w:rsidRPr="001B1736" w:rsidRDefault="00D05263" w:rsidP="00D05263">
            <w:pPr>
              <w:jc w:val="center"/>
              <w:rPr>
                <w:rFonts w:ascii="Times New Roman" w:hAnsi="Times New Roman" w:cs="Times New Roman"/>
                <w:b/>
                <w:sz w:val="22"/>
                <w:szCs w:val="22"/>
              </w:rPr>
            </w:pPr>
          </w:p>
        </w:tc>
      </w:tr>
      <w:tr w:rsidR="00BE1570" w:rsidRPr="009E66AB" w14:paraId="3C5AE024" w14:textId="66BFD17E" w:rsidTr="001B1736">
        <w:trPr>
          <w:trHeight w:val="418"/>
        </w:trPr>
        <w:tc>
          <w:tcPr>
            <w:tcW w:w="500" w:type="dxa"/>
          </w:tcPr>
          <w:p w14:paraId="7E8A72E4" w14:textId="77777777" w:rsidR="00BE1570" w:rsidRPr="006E21BC" w:rsidRDefault="00BE1570" w:rsidP="00811CF9">
            <w:pPr>
              <w:jc w:val="center"/>
              <w:rPr>
                <w:rFonts w:ascii="Times New Roman" w:hAnsi="Times New Roman" w:cs="Times New Roman"/>
                <w:sz w:val="22"/>
                <w:szCs w:val="22"/>
              </w:rPr>
            </w:pPr>
          </w:p>
        </w:tc>
        <w:tc>
          <w:tcPr>
            <w:tcW w:w="1935" w:type="dxa"/>
          </w:tcPr>
          <w:p w14:paraId="206699E7" w14:textId="77777777" w:rsidR="00BE1570" w:rsidRPr="006E21BC" w:rsidRDefault="00BE1570" w:rsidP="00811CF9">
            <w:pPr>
              <w:rPr>
                <w:rFonts w:ascii="Times New Roman" w:hAnsi="Times New Roman" w:cs="Times New Roman"/>
                <w:sz w:val="22"/>
                <w:szCs w:val="22"/>
              </w:rPr>
            </w:pPr>
            <w:r w:rsidRPr="006E21BC">
              <w:rPr>
                <w:rFonts w:ascii="Times New Roman" w:hAnsi="Times New Roman" w:cs="Times New Roman"/>
                <w:sz w:val="22"/>
                <w:szCs w:val="22"/>
              </w:rPr>
              <w:t>Vežtų keleivių skaičius  tūkst. vnt.</w:t>
            </w:r>
          </w:p>
        </w:tc>
        <w:tc>
          <w:tcPr>
            <w:tcW w:w="1105" w:type="dxa"/>
            <w:vAlign w:val="center"/>
          </w:tcPr>
          <w:p w14:paraId="1B2AFD2D" w14:textId="77777777" w:rsidR="00BE1570" w:rsidRPr="006E21BC" w:rsidRDefault="00BE1570" w:rsidP="00811CF9">
            <w:pPr>
              <w:jc w:val="center"/>
              <w:rPr>
                <w:rFonts w:ascii="Times New Roman" w:hAnsi="Times New Roman" w:cs="Times New Roman"/>
                <w:sz w:val="22"/>
                <w:szCs w:val="22"/>
              </w:rPr>
            </w:pPr>
            <w:r w:rsidRPr="006E21BC">
              <w:rPr>
                <w:rFonts w:ascii="Times New Roman" w:hAnsi="Times New Roman" w:cs="Times New Roman"/>
                <w:sz w:val="22"/>
                <w:szCs w:val="22"/>
              </w:rPr>
              <w:t>7</w:t>
            </w:r>
            <w:r>
              <w:rPr>
                <w:rFonts w:ascii="Times New Roman" w:hAnsi="Times New Roman" w:cs="Times New Roman"/>
                <w:sz w:val="22"/>
                <w:szCs w:val="22"/>
              </w:rPr>
              <w:t xml:space="preserve"> </w:t>
            </w:r>
            <w:r w:rsidRPr="006E21BC">
              <w:rPr>
                <w:rFonts w:ascii="Times New Roman" w:hAnsi="Times New Roman" w:cs="Times New Roman"/>
                <w:sz w:val="22"/>
                <w:szCs w:val="22"/>
              </w:rPr>
              <w:t>035,4</w:t>
            </w:r>
          </w:p>
        </w:tc>
        <w:tc>
          <w:tcPr>
            <w:tcW w:w="1105" w:type="dxa"/>
            <w:vAlign w:val="center"/>
          </w:tcPr>
          <w:p w14:paraId="5B3F5B0C" w14:textId="77777777" w:rsidR="00BE1570" w:rsidRPr="006E21BC" w:rsidRDefault="00BE1570" w:rsidP="00811CF9">
            <w:pPr>
              <w:jc w:val="center"/>
              <w:rPr>
                <w:rFonts w:ascii="Times New Roman" w:hAnsi="Times New Roman" w:cs="Times New Roman"/>
                <w:sz w:val="22"/>
                <w:szCs w:val="22"/>
              </w:rPr>
            </w:pPr>
            <w:r w:rsidRPr="006E21BC">
              <w:rPr>
                <w:rFonts w:ascii="Times New Roman" w:hAnsi="Times New Roman" w:cs="Times New Roman"/>
                <w:sz w:val="22"/>
                <w:szCs w:val="22"/>
              </w:rPr>
              <w:t>5</w:t>
            </w:r>
            <w:r>
              <w:rPr>
                <w:rFonts w:ascii="Times New Roman" w:hAnsi="Times New Roman" w:cs="Times New Roman"/>
                <w:sz w:val="22"/>
                <w:szCs w:val="22"/>
              </w:rPr>
              <w:t xml:space="preserve"> </w:t>
            </w:r>
            <w:r w:rsidRPr="006E21BC">
              <w:rPr>
                <w:rFonts w:ascii="Times New Roman" w:hAnsi="Times New Roman" w:cs="Times New Roman"/>
                <w:sz w:val="22"/>
                <w:szCs w:val="22"/>
              </w:rPr>
              <w:t>756,3</w:t>
            </w:r>
          </w:p>
        </w:tc>
        <w:tc>
          <w:tcPr>
            <w:tcW w:w="1105" w:type="dxa"/>
            <w:vAlign w:val="center"/>
          </w:tcPr>
          <w:p w14:paraId="2894C1F0" w14:textId="77777777" w:rsidR="00BE1570" w:rsidRPr="006E21BC" w:rsidRDefault="00BE1570" w:rsidP="00811CF9">
            <w:pPr>
              <w:jc w:val="center"/>
              <w:rPr>
                <w:rFonts w:ascii="Times New Roman" w:hAnsi="Times New Roman" w:cs="Times New Roman"/>
                <w:sz w:val="22"/>
                <w:szCs w:val="22"/>
              </w:rPr>
            </w:pPr>
            <w:r w:rsidRPr="006E21BC">
              <w:rPr>
                <w:rFonts w:ascii="Times New Roman" w:hAnsi="Times New Roman" w:cs="Times New Roman"/>
                <w:sz w:val="22"/>
                <w:szCs w:val="22"/>
              </w:rPr>
              <w:t>5</w:t>
            </w:r>
            <w:r>
              <w:rPr>
                <w:rFonts w:ascii="Times New Roman" w:hAnsi="Times New Roman" w:cs="Times New Roman"/>
                <w:sz w:val="22"/>
                <w:szCs w:val="22"/>
              </w:rPr>
              <w:t xml:space="preserve"> </w:t>
            </w:r>
            <w:r w:rsidRPr="006E21BC">
              <w:rPr>
                <w:rFonts w:ascii="Times New Roman" w:hAnsi="Times New Roman" w:cs="Times New Roman"/>
                <w:sz w:val="22"/>
                <w:szCs w:val="22"/>
              </w:rPr>
              <w:t>870,3</w:t>
            </w:r>
          </w:p>
        </w:tc>
        <w:tc>
          <w:tcPr>
            <w:tcW w:w="1105" w:type="dxa"/>
            <w:vAlign w:val="center"/>
          </w:tcPr>
          <w:p w14:paraId="6DE0E136" w14:textId="77777777" w:rsidR="00BE1570" w:rsidRPr="006E21BC" w:rsidRDefault="00BE1570" w:rsidP="00811CF9">
            <w:pPr>
              <w:jc w:val="center"/>
              <w:rPr>
                <w:rFonts w:ascii="Times New Roman" w:hAnsi="Times New Roman" w:cs="Times New Roman"/>
                <w:sz w:val="22"/>
                <w:szCs w:val="22"/>
              </w:rPr>
            </w:pPr>
            <w:r w:rsidRPr="006E21BC">
              <w:rPr>
                <w:rFonts w:ascii="Times New Roman" w:hAnsi="Times New Roman" w:cs="Times New Roman"/>
                <w:sz w:val="22"/>
                <w:szCs w:val="22"/>
              </w:rPr>
              <w:t>5</w:t>
            </w:r>
            <w:r>
              <w:rPr>
                <w:rFonts w:ascii="Times New Roman" w:hAnsi="Times New Roman" w:cs="Times New Roman"/>
                <w:sz w:val="22"/>
                <w:szCs w:val="22"/>
              </w:rPr>
              <w:t xml:space="preserve"> </w:t>
            </w:r>
            <w:r w:rsidRPr="006E21BC">
              <w:rPr>
                <w:rFonts w:ascii="Times New Roman" w:hAnsi="Times New Roman" w:cs="Times New Roman"/>
                <w:sz w:val="22"/>
                <w:szCs w:val="22"/>
              </w:rPr>
              <w:t>870,3</w:t>
            </w:r>
          </w:p>
        </w:tc>
        <w:tc>
          <w:tcPr>
            <w:tcW w:w="1504" w:type="dxa"/>
            <w:vAlign w:val="center"/>
          </w:tcPr>
          <w:p w14:paraId="672CCA54" w14:textId="77777777" w:rsidR="00BE1570" w:rsidRPr="006E21BC" w:rsidRDefault="00BE1570" w:rsidP="00811CF9">
            <w:pPr>
              <w:jc w:val="center"/>
              <w:rPr>
                <w:rFonts w:ascii="Times New Roman" w:hAnsi="Times New Roman" w:cs="Times New Roman"/>
                <w:sz w:val="22"/>
                <w:szCs w:val="22"/>
              </w:rPr>
            </w:pPr>
            <w:r w:rsidRPr="006E21BC">
              <w:rPr>
                <w:rFonts w:ascii="Times New Roman" w:hAnsi="Times New Roman" w:cs="Times New Roman"/>
                <w:sz w:val="22"/>
                <w:szCs w:val="22"/>
              </w:rPr>
              <w:t>5</w:t>
            </w:r>
            <w:r>
              <w:rPr>
                <w:rFonts w:ascii="Times New Roman" w:hAnsi="Times New Roman" w:cs="Times New Roman"/>
                <w:sz w:val="22"/>
                <w:szCs w:val="22"/>
              </w:rPr>
              <w:t xml:space="preserve"> </w:t>
            </w:r>
            <w:r w:rsidRPr="006E21BC">
              <w:rPr>
                <w:rFonts w:ascii="Times New Roman" w:hAnsi="Times New Roman" w:cs="Times New Roman"/>
                <w:sz w:val="22"/>
                <w:szCs w:val="22"/>
              </w:rPr>
              <w:t>870,3</w:t>
            </w:r>
          </w:p>
        </w:tc>
        <w:tc>
          <w:tcPr>
            <w:tcW w:w="2391" w:type="dxa"/>
            <w:vAlign w:val="center"/>
          </w:tcPr>
          <w:p w14:paraId="153A488E" w14:textId="77777777" w:rsidR="00BE1570" w:rsidRPr="001B1736" w:rsidRDefault="00D05263" w:rsidP="00D05263">
            <w:pPr>
              <w:jc w:val="center"/>
              <w:rPr>
                <w:rFonts w:ascii="Times New Roman" w:hAnsi="Times New Roman" w:cs="Times New Roman"/>
                <w:sz w:val="22"/>
                <w:szCs w:val="22"/>
              </w:rPr>
            </w:pPr>
            <w:r w:rsidRPr="00341B04">
              <w:rPr>
                <w:sz w:val="22"/>
                <w:szCs w:val="22"/>
              </w:rPr>
              <w:t>-</w:t>
            </w:r>
          </w:p>
          <w:p w14:paraId="67D4AC35" w14:textId="0BBF30DB" w:rsidR="00D05263" w:rsidRPr="001B1736" w:rsidRDefault="00D05263" w:rsidP="00D05263">
            <w:pPr>
              <w:jc w:val="center"/>
              <w:rPr>
                <w:rFonts w:ascii="Times New Roman" w:hAnsi="Times New Roman" w:cs="Times New Roman"/>
                <w:sz w:val="22"/>
                <w:szCs w:val="22"/>
              </w:rPr>
            </w:pPr>
          </w:p>
        </w:tc>
      </w:tr>
      <w:tr w:rsidR="00BE1570" w:rsidRPr="009E66AB" w14:paraId="315A52A9" w14:textId="64DF5A7F" w:rsidTr="001B1736">
        <w:trPr>
          <w:trHeight w:val="418"/>
        </w:trPr>
        <w:tc>
          <w:tcPr>
            <w:tcW w:w="500" w:type="dxa"/>
          </w:tcPr>
          <w:p w14:paraId="0555A6F0" w14:textId="77777777" w:rsidR="00BE1570" w:rsidRPr="006E21BC" w:rsidRDefault="00BE1570" w:rsidP="00811CF9">
            <w:pPr>
              <w:jc w:val="center"/>
              <w:rPr>
                <w:rFonts w:ascii="Times New Roman" w:hAnsi="Times New Roman" w:cs="Times New Roman"/>
                <w:sz w:val="22"/>
                <w:szCs w:val="22"/>
              </w:rPr>
            </w:pPr>
          </w:p>
        </w:tc>
        <w:tc>
          <w:tcPr>
            <w:tcW w:w="1935" w:type="dxa"/>
          </w:tcPr>
          <w:p w14:paraId="41F20135" w14:textId="77777777" w:rsidR="00BE1570" w:rsidRPr="006E21BC" w:rsidRDefault="00BE1570" w:rsidP="00811CF9">
            <w:pPr>
              <w:rPr>
                <w:rFonts w:ascii="Times New Roman" w:hAnsi="Times New Roman" w:cs="Times New Roman"/>
                <w:sz w:val="22"/>
                <w:szCs w:val="22"/>
              </w:rPr>
            </w:pPr>
            <w:r w:rsidRPr="006E21BC">
              <w:rPr>
                <w:rFonts w:ascii="Times New Roman" w:hAnsi="Times New Roman" w:cs="Times New Roman"/>
                <w:sz w:val="22"/>
                <w:szCs w:val="22"/>
              </w:rPr>
              <w:t>Savivaldybės tarybos sprendimu nustatytas proc.  Įgaliotai įstaigai veiklos vykdymui</w:t>
            </w:r>
          </w:p>
        </w:tc>
        <w:tc>
          <w:tcPr>
            <w:tcW w:w="1105" w:type="dxa"/>
            <w:vAlign w:val="center"/>
          </w:tcPr>
          <w:p w14:paraId="7C2514AF" w14:textId="77777777" w:rsidR="00BE1570" w:rsidRPr="006E21BC" w:rsidRDefault="00BE1570" w:rsidP="00811CF9">
            <w:pPr>
              <w:jc w:val="center"/>
              <w:rPr>
                <w:rFonts w:ascii="Times New Roman" w:hAnsi="Times New Roman" w:cs="Times New Roman"/>
                <w:sz w:val="22"/>
                <w:szCs w:val="22"/>
              </w:rPr>
            </w:pPr>
            <w:r w:rsidRPr="006E21BC">
              <w:rPr>
                <w:rFonts w:ascii="Times New Roman" w:hAnsi="Times New Roman" w:cs="Times New Roman"/>
                <w:sz w:val="22"/>
                <w:szCs w:val="22"/>
              </w:rPr>
              <w:t>16,8</w:t>
            </w:r>
          </w:p>
        </w:tc>
        <w:tc>
          <w:tcPr>
            <w:tcW w:w="1105" w:type="dxa"/>
            <w:vAlign w:val="center"/>
          </w:tcPr>
          <w:p w14:paraId="359773E3" w14:textId="77777777" w:rsidR="00BE1570" w:rsidRPr="006E21BC" w:rsidRDefault="00BE1570" w:rsidP="00811CF9">
            <w:pPr>
              <w:jc w:val="center"/>
              <w:rPr>
                <w:rFonts w:ascii="Times New Roman" w:hAnsi="Times New Roman" w:cs="Times New Roman"/>
                <w:sz w:val="22"/>
                <w:szCs w:val="22"/>
              </w:rPr>
            </w:pPr>
            <w:r w:rsidRPr="006E21BC">
              <w:rPr>
                <w:rFonts w:ascii="Times New Roman" w:hAnsi="Times New Roman" w:cs="Times New Roman"/>
                <w:sz w:val="22"/>
                <w:szCs w:val="22"/>
              </w:rPr>
              <w:t>16,8</w:t>
            </w:r>
          </w:p>
        </w:tc>
        <w:tc>
          <w:tcPr>
            <w:tcW w:w="1105" w:type="dxa"/>
            <w:vAlign w:val="center"/>
          </w:tcPr>
          <w:p w14:paraId="0E459E1D" w14:textId="77777777" w:rsidR="00BE1570" w:rsidRPr="006E21BC" w:rsidRDefault="00BE1570" w:rsidP="00811CF9">
            <w:pPr>
              <w:jc w:val="center"/>
              <w:rPr>
                <w:rFonts w:ascii="Times New Roman" w:hAnsi="Times New Roman" w:cs="Times New Roman"/>
                <w:sz w:val="22"/>
                <w:szCs w:val="22"/>
              </w:rPr>
            </w:pPr>
            <w:r w:rsidRPr="006E21BC">
              <w:rPr>
                <w:rFonts w:ascii="Times New Roman" w:hAnsi="Times New Roman" w:cs="Times New Roman"/>
                <w:sz w:val="22"/>
                <w:szCs w:val="22"/>
              </w:rPr>
              <w:t>16,8</w:t>
            </w:r>
          </w:p>
        </w:tc>
        <w:tc>
          <w:tcPr>
            <w:tcW w:w="1105" w:type="dxa"/>
            <w:vAlign w:val="center"/>
          </w:tcPr>
          <w:p w14:paraId="1FCF7F6D" w14:textId="77777777" w:rsidR="00BE1570" w:rsidRPr="006E21BC" w:rsidRDefault="00BE1570" w:rsidP="00811CF9">
            <w:pPr>
              <w:jc w:val="center"/>
              <w:rPr>
                <w:rFonts w:ascii="Times New Roman" w:hAnsi="Times New Roman" w:cs="Times New Roman"/>
                <w:sz w:val="22"/>
                <w:szCs w:val="22"/>
              </w:rPr>
            </w:pPr>
            <w:r w:rsidRPr="006E21BC">
              <w:rPr>
                <w:rFonts w:ascii="Times New Roman" w:hAnsi="Times New Roman" w:cs="Times New Roman"/>
                <w:sz w:val="22"/>
                <w:szCs w:val="22"/>
              </w:rPr>
              <w:t>19,0</w:t>
            </w:r>
          </w:p>
        </w:tc>
        <w:tc>
          <w:tcPr>
            <w:tcW w:w="1504" w:type="dxa"/>
            <w:vAlign w:val="center"/>
          </w:tcPr>
          <w:p w14:paraId="7658379C" w14:textId="77777777" w:rsidR="00BE1570" w:rsidRPr="006E21BC" w:rsidRDefault="00BE1570" w:rsidP="00811CF9">
            <w:pPr>
              <w:jc w:val="center"/>
              <w:rPr>
                <w:rFonts w:ascii="Times New Roman" w:hAnsi="Times New Roman" w:cs="Times New Roman"/>
                <w:sz w:val="22"/>
                <w:szCs w:val="22"/>
              </w:rPr>
            </w:pPr>
            <w:r w:rsidRPr="006E21BC">
              <w:rPr>
                <w:rFonts w:ascii="Times New Roman" w:hAnsi="Times New Roman" w:cs="Times New Roman"/>
                <w:sz w:val="22"/>
                <w:szCs w:val="22"/>
              </w:rPr>
              <w:t>16,8</w:t>
            </w:r>
          </w:p>
        </w:tc>
        <w:tc>
          <w:tcPr>
            <w:tcW w:w="2391" w:type="dxa"/>
            <w:vAlign w:val="center"/>
          </w:tcPr>
          <w:p w14:paraId="18986EEA" w14:textId="77777777" w:rsidR="00BE1570" w:rsidRPr="001B1736" w:rsidRDefault="00D05263" w:rsidP="00D05263">
            <w:pPr>
              <w:jc w:val="center"/>
              <w:rPr>
                <w:rFonts w:ascii="Times New Roman" w:hAnsi="Times New Roman" w:cs="Times New Roman"/>
                <w:sz w:val="22"/>
                <w:szCs w:val="22"/>
              </w:rPr>
            </w:pPr>
            <w:r w:rsidRPr="00341B04">
              <w:rPr>
                <w:sz w:val="22"/>
                <w:szCs w:val="22"/>
              </w:rPr>
              <w:t>-</w:t>
            </w:r>
          </w:p>
          <w:p w14:paraId="679FB3E5" w14:textId="775E0A2E" w:rsidR="00D05263" w:rsidRPr="001B1736" w:rsidRDefault="00D05263" w:rsidP="00D05263">
            <w:pPr>
              <w:jc w:val="center"/>
              <w:rPr>
                <w:rFonts w:ascii="Times New Roman" w:hAnsi="Times New Roman" w:cs="Times New Roman"/>
                <w:sz w:val="22"/>
                <w:szCs w:val="22"/>
              </w:rPr>
            </w:pPr>
          </w:p>
        </w:tc>
      </w:tr>
    </w:tbl>
    <w:p w14:paraId="7121E1F4" w14:textId="77777777" w:rsidR="008F6B3D" w:rsidRDefault="00934407" w:rsidP="00CB2375">
      <w:pPr>
        <w:tabs>
          <w:tab w:val="left" w:pos="0"/>
        </w:tabs>
        <w:spacing w:line="276" w:lineRule="auto"/>
        <w:ind w:left="360"/>
        <w:jc w:val="both"/>
        <w:rPr>
          <w:b/>
          <w:bCs/>
        </w:rPr>
      </w:pPr>
      <w:r w:rsidRPr="00934407">
        <w:rPr>
          <w:b/>
          <w:bCs/>
        </w:rPr>
        <w:t xml:space="preserve">  </w:t>
      </w:r>
      <w:r>
        <w:rPr>
          <w:b/>
          <w:bCs/>
        </w:rPr>
        <w:t xml:space="preserve"> </w:t>
      </w:r>
    </w:p>
    <w:p w14:paraId="106D5462" w14:textId="77777777" w:rsidR="00423AA2" w:rsidRDefault="00423AA2" w:rsidP="00CB2375">
      <w:pPr>
        <w:tabs>
          <w:tab w:val="left" w:pos="0"/>
        </w:tabs>
        <w:spacing w:line="276" w:lineRule="auto"/>
        <w:ind w:left="360"/>
        <w:jc w:val="both"/>
        <w:rPr>
          <w:b/>
          <w:bCs/>
        </w:rPr>
      </w:pPr>
    </w:p>
    <w:p w14:paraId="7E4C5A65" w14:textId="77777777" w:rsidR="00423AA2" w:rsidRDefault="00423AA2" w:rsidP="00CB2375">
      <w:pPr>
        <w:tabs>
          <w:tab w:val="left" w:pos="0"/>
        </w:tabs>
        <w:spacing w:line="276" w:lineRule="auto"/>
        <w:ind w:left="360"/>
        <w:jc w:val="both"/>
        <w:rPr>
          <w:b/>
          <w:bCs/>
        </w:rPr>
      </w:pPr>
    </w:p>
    <w:p w14:paraId="3BE62F33" w14:textId="77777777" w:rsidR="00DE6F9B" w:rsidRPr="00934407" w:rsidRDefault="00934407" w:rsidP="00CB2375">
      <w:pPr>
        <w:tabs>
          <w:tab w:val="left" w:pos="0"/>
        </w:tabs>
        <w:spacing w:line="276" w:lineRule="auto"/>
        <w:ind w:left="360"/>
        <w:jc w:val="both"/>
        <w:rPr>
          <w:b/>
        </w:rPr>
      </w:pPr>
      <w:r>
        <w:rPr>
          <w:b/>
          <w:bCs/>
        </w:rPr>
        <w:lastRenderedPageBreak/>
        <w:t xml:space="preserve">   4. </w:t>
      </w:r>
      <w:r w:rsidR="00D736F0" w:rsidRPr="00934407">
        <w:rPr>
          <w:b/>
          <w:bCs/>
        </w:rPr>
        <w:t>Sprendimui priimti reikalingi pagrindimai, skaičiavimai ar paaiškinimai</w:t>
      </w:r>
      <w:r w:rsidR="00D83A57" w:rsidRPr="00934407">
        <w:rPr>
          <w:b/>
          <w:bCs/>
        </w:rPr>
        <w:t>:</w:t>
      </w:r>
      <w:r w:rsidR="00D83A57" w:rsidRPr="00934407">
        <w:rPr>
          <w:b/>
        </w:rPr>
        <w:t xml:space="preserve"> </w:t>
      </w:r>
    </w:p>
    <w:p w14:paraId="08AD7E30" w14:textId="77777777" w:rsidR="00934407" w:rsidRDefault="00934407" w:rsidP="00CB2375">
      <w:pPr>
        <w:spacing w:line="276" w:lineRule="auto"/>
        <w:ind w:firstLine="567"/>
        <w:jc w:val="both"/>
      </w:pPr>
      <w:r w:rsidRPr="00934407">
        <w:t>Siūlom</w:t>
      </w:r>
      <w:r>
        <w:t>e nustatyti:</w:t>
      </w:r>
    </w:p>
    <w:p w14:paraId="02CEB5EF" w14:textId="77777777" w:rsidR="006D71EB" w:rsidRPr="0013112F" w:rsidRDefault="0013112F" w:rsidP="00CB2375">
      <w:pPr>
        <w:spacing w:line="276" w:lineRule="auto"/>
        <w:jc w:val="both"/>
      </w:pPr>
      <w:r>
        <w:t xml:space="preserve">         1. </w:t>
      </w:r>
      <w:r w:rsidR="00934407" w:rsidRPr="0013112F">
        <w:t>vienkartinio elektroninio bilieto (atsiskaitant elektronine laikmena ar mobiliąja programėle</w:t>
      </w:r>
      <w:r w:rsidR="00934407" w:rsidRPr="0013112F">
        <w:rPr>
          <w:vertAlign w:val="superscript"/>
        </w:rPr>
        <w:t xml:space="preserve"> </w:t>
      </w:r>
      <w:r w:rsidR="00934407" w:rsidRPr="0013112F">
        <w:t xml:space="preserve">su galimybe per 30 min. nemokamai persėsti į </w:t>
      </w:r>
      <w:r w:rsidR="00934407" w:rsidRPr="0013112F">
        <w:rPr>
          <w:color w:val="000000"/>
        </w:rPr>
        <w:t>kitus autobusus) kainą</w:t>
      </w:r>
      <w:r w:rsidR="00934407" w:rsidRPr="0013112F">
        <w:t xml:space="preserve"> nustatyti 0,70 Eur, kuri įsigaliotų nuo 2025 m. spalio 1 d.</w:t>
      </w:r>
      <w:r w:rsidR="009E2FF0" w:rsidRPr="0013112F">
        <w:t>;</w:t>
      </w:r>
    </w:p>
    <w:p w14:paraId="4F2631AB" w14:textId="77777777" w:rsidR="009E2FF0" w:rsidRPr="0013112F" w:rsidRDefault="0013112F" w:rsidP="00CB2375">
      <w:pPr>
        <w:spacing w:line="276" w:lineRule="auto"/>
        <w:jc w:val="both"/>
      </w:pPr>
      <w:r>
        <w:t xml:space="preserve">         2. </w:t>
      </w:r>
      <w:r w:rsidR="009E2FF0" w:rsidRPr="0013112F">
        <w:t>vienkartinio popierinio bilieto</w:t>
      </w:r>
      <w:r w:rsidR="009E2FF0" w:rsidRPr="0013112F">
        <w:rPr>
          <w:b/>
        </w:rPr>
        <w:t xml:space="preserve"> </w:t>
      </w:r>
      <w:r w:rsidR="009E2FF0" w:rsidRPr="0013112F">
        <w:t xml:space="preserve">(su QR kodu įsigyjamas autobuse / kitose platinimo vietose) </w:t>
      </w:r>
      <w:r w:rsidR="009E2FF0" w:rsidRPr="0013112F">
        <w:rPr>
          <w:color w:val="000000"/>
        </w:rPr>
        <w:t>kainą</w:t>
      </w:r>
      <w:r w:rsidR="009E2FF0" w:rsidRPr="0013112F">
        <w:t xml:space="preserve"> nustatyti 1,</w:t>
      </w:r>
      <w:r w:rsidR="003864F9">
        <w:t>5</w:t>
      </w:r>
      <w:r w:rsidR="009E2FF0" w:rsidRPr="0013112F">
        <w:t>0 Eur, kuri įsigaliotų nuo 2026 m. sausio 1 d.</w:t>
      </w:r>
    </w:p>
    <w:p w14:paraId="074C4E89" w14:textId="77777777" w:rsidR="006A4B0A" w:rsidRDefault="00B340BF" w:rsidP="006A4B0A">
      <w:pPr>
        <w:spacing w:line="276" w:lineRule="auto"/>
        <w:jc w:val="both"/>
      </w:pPr>
      <w:r>
        <w:t xml:space="preserve">         </w:t>
      </w:r>
      <w:r w:rsidR="00D97B52">
        <w:t xml:space="preserve">Visų kitų </w:t>
      </w:r>
      <w:r w:rsidR="009E2FF0">
        <w:t xml:space="preserve">bilietų rūšių, kurie yra </w:t>
      </w:r>
      <w:r w:rsidR="00A279E9">
        <w:t xml:space="preserve">siūlomi </w:t>
      </w:r>
      <w:r w:rsidR="00D97B52">
        <w:t xml:space="preserve">patvirtinti </w:t>
      </w:r>
      <w:r w:rsidR="009E2FF0">
        <w:t>Panevėžio miesto viešajame transporte</w:t>
      </w:r>
      <w:r w:rsidR="0013112F">
        <w:t xml:space="preserve"> ir kuriems taikomos transporto lengvatos</w:t>
      </w:r>
      <w:r w:rsidR="009E2FF0">
        <w:t>, kainos yra apskaičiuo</w:t>
      </w:r>
      <w:r w:rsidR="006A5E1F">
        <w:t xml:space="preserve">jamos </w:t>
      </w:r>
      <w:r w:rsidR="0013112F">
        <w:t>vadovaujantis 1, 2 punkt</w:t>
      </w:r>
      <w:r w:rsidR="00FD0A75">
        <w:t>uos</w:t>
      </w:r>
      <w:r w:rsidR="0013112F">
        <w:t xml:space="preserve">e </w:t>
      </w:r>
      <w:r w:rsidR="006A5E1F">
        <w:t>nurodytų kainų pagrindu</w:t>
      </w:r>
      <w:r w:rsidR="00D97B52">
        <w:t xml:space="preserve"> ir tvirtinamos pagal pridedamą Tarybos sprendimo priedą</w:t>
      </w:r>
      <w:r w:rsidR="0013112F">
        <w:t>.</w:t>
      </w:r>
    </w:p>
    <w:p w14:paraId="156D86FC" w14:textId="77777777" w:rsidR="00FD0A75" w:rsidRDefault="00811CF9" w:rsidP="003959DF">
      <w:pPr>
        <w:spacing w:line="276" w:lineRule="auto"/>
        <w:ind w:firstLine="567"/>
        <w:jc w:val="both"/>
      </w:pPr>
      <w:r>
        <w:t xml:space="preserve">Pažymėtina, kad Panevėžio mieste galioja </w:t>
      </w:r>
      <w:r w:rsidR="006A4B0A" w:rsidRPr="003959DF">
        <w:t xml:space="preserve">Lietuvos Respublikos viešojo keleivinio transporto lengvatų įstatymu nustatytos </w:t>
      </w:r>
      <w:r w:rsidR="00AD4E12" w:rsidRPr="003959DF">
        <w:t>Viešojo keleivinio transporto lengvatų rūšys bei Savivaldybių tarybos nustatytos viešojo transporto lengvatos</w:t>
      </w:r>
      <w:r w:rsidR="00992306">
        <w:t xml:space="preserve"> (</w:t>
      </w:r>
      <w:r w:rsidR="00992306" w:rsidRPr="00992306">
        <w:t>žr. nuorodą į Tarybos sprendimo aktualią redakciją).</w:t>
      </w:r>
      <w:r w:rsidR="00AD4E12">
        <w:t xml:space="preserve"> </w:t>
      </w:r>
      <w:hyperlink r:id="rId8" w:history="1">
        <w:r w:rsidR="00FD0A75" w:rsidRPr="007668B5">
          <w:rPr>
            <w:rStyle w:val="Hipersaitas"/>
          </w:rPr>
          <w:t>https://www.e-tar.lt/portal/lt/legalAct/f4e35e30118811ee9f7ec2ffce8b47bc/asr</w:t>
        </w:r>
      </w:hyperlink>
      <w:r w:rsidR="00FD0A75" w:rsidRPr="00FD0A75">
        <w:t xml:space="preserve"> </w:t>
      </w:r>
    </w:p>
    <w:p w14:paraId="25E02147" w14:textId="77777777" w:rsidR="00D97B52" w:rsidRDefault="00D97B52" w:rsidP="00CB2375">
      <w:pPr>
        <w:spacing w:line="276" w:lineRule="auto"/>
        <w:jc w:val="both"/>
      </w:pPr>
      <w:r>
        <w:t xml:space="preserve">       Taip pat pateikiame informaciją apie kituose Lietuvos miestuose nustatytas keleivių vežimo viešuoju transportu bilietų kainas: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1838"/>
        <w:gridCol w:w="567"/>
        <w:gridCol w:w="620"/>
        <w:gridCol w:w="1565"/>
        <w:gridCol w:w="928"/>
        <w:gridCol w:w="680"/>
        <w:gridCol w:w="998"/>
        <w:gridCol w:w="904"/>
        <w:gridCol w:w="998"/>
        <w:gridCol w:w="820"/>
      </w:tblGrid>
      <w:tr w:rsidR="00811CF9" w:rsidRPr="00744B4D" w14:paraId="5784FA94" w14:textId="77777777" w:rsidTr="00811CF9">
        <w:trPr>
          <w:trHeight w:val="309"/>
        </w:trPr>
        <w:tc>
          <w:tcPr>
            <w:tcW w:w="9918" w:type="dxa"/>
            <w:gridSpan w:val="10"/>
            <w:shd w:val="clear" w:color="auto" w:fill="FFFFFF" w:themeFill="background1"/>
            <w:tcMar>
              <w:top w:w="15" w:type="dxa"/>
              <w:left w:w="68" w:type="dxa"/>
              <w:bottom w:w="0" w:type="dxa"/>
              <w:right w:w="68" w:type="dxa"/>
            </w:tcMar>
            <w:vAlign w:val="center"/>
            <w:hideMark/>
          </w:tcPr>
          <w:p w14:paraId="41E05E0D" w14:textId="77777777" w:rsidR="00811CF9" w:rsidRPr="00744B4D" w:rsidRDefault="00811CF9" w:rsidP="00811CF9">
            <w:pPr>
              <w:jc w:val="center"/>
              <w:rPr>
                <w:sz w:val="20"/>
                <w:szCs w:val="20"/>
              </w:rPr>
            </w:pPr>
            <w:r w:rsidRPr="00744B4D">
              <w:rPr>
                <w:b/>
                <w:bCs/>
                <w:sz w:val="20"/>
                <w:szCs w:val="20"/>
              </w:rPr>
              <w:t>Bilietų kainų palyginimas 2025 m. birželio mėn. duomenys</w:t>
            </w:r>
          </w:p>
        </w:tc>
      </w:tr>
      <w:tr w:rsidR="00992306" w:rsidRPr="00744B4D" w14:paraId="526DB2BB" w14:textId="77777777" w:rsidTr="003959DF">
        <w:trPr>
          <w:trHeight w:val="560"/>
        </w:trPr>
        <w:tc>
          <w:tcPr>
            <w:tcW w:w="1838" w:type="dxa"/>
            <w:shd w:val="clear" w:color="auto" w:fill="FFFFFF" w:themeFill="background1"/>
            <w:tcMar>
              <w:top w:w="15" w:type="dxa"/>
              <w:left w:w="68" w:type="dxa"/>
              <w:bottom w:w="0" w:type="dxa"/>
              <w:right w:w="68" w:type="dxa"/>
            </w:tcMar>
            <w:vAlign w:val="center"/>
            <w:hideMark/>
          </w:tcPr>
          <w:p w14:paraId="238DE226" w14:textId="77777777" w:rsidR="00811CF9" w:rsidRPr="00744B4D" w:rsidRDefault="00811CF9" w:rsidP="00811CF9">
            <w:pPr>
              <w:rPr>
                <w:sz w:val="20"/>
                <w:szCs w:val="20"/>
              </w:rPr>
            </w:pPr>
            <w:r w:rsidRPr="00744B4D">
              <w:rPr>
                <w:b/>
                <w:bCs/>
                <w:sz w:val="20"/>
                <w:szCs w:val="20"/>
              </w:rPr>
              <w:t>Bilieto pavadinimas</w:t>
            </w:r>
          </w:p>
        </w:tc>
        <w:tc>
          <w:tcPr>
            <w:tcW w:w="567" w:type="dxa"/>
            <w:shd w:val="clear" w:color="auto" w:fill="FFFFFF" w:themeFill="background1"/>
            <w:tcMar>
              <w:top w:w="15" w:type="dxa"/>
              <w:left w:w="68" w:type="dxa"/>
              <w:bottom w:w="0" w:type="dxa"/>
              <w:right w:w="68" w:type="dxa"/>
            </w:tcMar>
            <w:vAlign w:val="center"/>
            <w:hideMark/>
          </w:tcPr>
          <w:p w14:paraId="1529923D" w14:textId="77777777" w:rsidR="00811CF9" w:rsidRPr="00744B4D" w:rsidRDefault="00811CF9" w:rsidP="00811CF9">
            <w:pPr>
              <w:rPr>
                <w:sz w:val="20"/>
                <w:szCs w:val="20"/>
              </w:rPr>
            </w:pPr>
            <w:r w:rsidRPr="00744B4D">
              <w:rPr>
                <w:sz w:val="20"/>
                <w:szCs w:val="20"/>
              </w:rPr>
              <w:t>Taikoma lengvata</w:t>
            </w:r>
          </w:p>
        </w:tc>
        <w:tc>
          <w:tcPr>
            <w:tcW w:w="620" w:type="dxa"/>
            <w:shd w:val="clear" w:color="auto" w:fill="FFFFFF" w:themeFill="background1"/>
            <w:tcMar>
              <w:top w:w="15" w:type="dxa"/>
              <w:left w:w="68" w:type="dxa"/>
              <w:bottom w:w="0" w:type="dxa"/>
              <w:right w:w="68" w:type="dxa"/>
            </w:tcMar>
            <w:vAlign w:val="center"/>
            <w:hideMark/>
          </w:tcPr>
          <w:p w14:paraId="76DBFE1B" w14:textId="77777777" w:rsidR="00811CF9" w:rsidRPr="00744B4D" w:rsidRDefault="00811CF9" w:rsidP="00811CF9">
            <w:pPr>
              <w:rPr>
                <w:sz w:val="20"/>
                <w:szCs w:val="20"/>
              </w:rPr>
            </w:pPr>
            <w:r w:rsidRPr="00744B4D">
              <w:rPr>
                <w:sz w:val="20"/>
                <w:szCs w:val="20"/>
              </w:rPr>
              <w:t>Galiojanti kaina</w:t>
            </w:r>
          </w:p>
        </w:tc>
        <w:tc>
          <w:tcPr>
            <w:tcW w:w="1565" w:type="dxa"/>
            <w:shd w:val="clear" w:color="auto" w:fill="FFFFFF" w:themeFill="background1"/>
            <w:tcMar>
              <w:top w:w="15" w:type="dxa"/>
              <w:left w:w="68" w:type="dxa"/>
              <w:bottom w:w="0" w:type="dxa"/>
              <w:right w:w="68" w:type="dxa"/>
            </w:tcMar>
            <w:vAlign w:val="center"/>
            <w:hideMark/>
          </w:tcPr>
          <w:p w14:paraId="70B04ABD" w14:textId="77777777" w:rsidR="00811CF9" w:rsidRPr="00744B4D" w:rsidRDefault="00811CF9" w:rsidP="00811CF9">
            <w:pPr>
              <w:rPr>
                <w:sz w:val="20"/>
                <w:szCs w:val="20"/>
              </w:rPr>
            </w:pPr>
            <w:r w:rsidRPr="00744B4D">
              <w:rPr>
                <w:sz w:val="20"/>
                <w:szCs w:val="20"/>
              </w:rPr>
              <w:t>VšĮ Panevėžio keleivinis transportas siūloma</w:t>
            </w:r>
          </w:p>
        </w:tc>
        <w:tc>
          <w:tcPr>
            <w:tcW w:w="928" w:type="dxa"/>
            <w:shd w:val="clear" w:color="auto" w:fill="FFFFFF" w:themeFill="background1"/>
            <w:tcMar>
              <w:top w:w="15" w:type="dxa"/>
              <w:left w:w="68" w:type="dxa"/>
              <w:bottom w:w="0" w:type="dxa"/>
              <w:right w:w="68" w:type="dxa"/>
            </w:tcMar>
            <w:vAlign w:val="center"/>
            <w:hideMark/>
          </w:tcPr>
          <w:p w14:paraId="36303B75" w14:textId="77777777" w:rsidR="00811CF9" w:rsidRPr="00744B4D" w:rsidRDefault="00811CF9" w:rsidP="00811CF9">
            <w:pPr>
              <w:rPr>
                <w:sz w:val="20"/>
                <w:szCs w:val="20"/>
              </w:rPr>
            </w:pPr>
            <w:r w:rsidRPr="00744B4D">
              <w:rPr>
                <w:sz w:val="20"/>
                <w:szCs w:val="20"/>
              </w:rPr>
              <w:t>Siūlomas pokytis</w:t>
            </w:r>
          </w:p>
        </w:tc>
        <w:tc>
          <w:tcPr>
            <w:tcW w:w="680" w:type="dxa"/>
            <w:shd w:val="clear" w:color="auto" w:fill="FFFFFF" w:themeFill="background1"/>
            <w:tcMar>
              <w:top w:w="15" w:type="dxa"/>
              <w:left w:w="68" w:type="dxa"/>
              <w:bottom w:w="0" w:type="dxa"/>
              <w:right w:w="68" w:type="dxa"/>
            </w:tcMar>
            <w:vAlign w:val="center"/>
            <w:hideMark/>
          </w:tcPr>
          <w:p w14:paraId="7365C8A6" w14:textId="77777777" w:rsidR="00811CF9" w:rsidRPr="00744B4D" w:rsidRDefault="00811CF9" w:rsidP="00811CF9">
            <w:pPr>
              <w:rPr>
                <w:sz w:val="20"/>
                <w:szCs w:val="20"/>
              </w:rPr>
            </w:pPr>
            <w:r w:rsidRPr="00744B4D">
              <w:rPr>
                <w:sz w:val="20"/>
                <w:szCs w:val="20"/>
              </w:rPr>
              <w:t>JUDU                     nuo 07.01</w:t>
            </w:r>
          </w:p>
        </w:tc>
        <w:tc>
          <w:tcPr>
            <w:tcW w:w="998" w:type="dxa"/>
            <w:shd w:val="clear" w:color="auto" w:fill="FFFFFF" w:themeFill="background1"/>
            <w:tcMar>
              <w:top w:w="15" w:type="dxa"/>
              <w:left w:w="68" w:type="dxa"/>
              <w:bottom w:w="0" w:type="dxa"/>
              <w:right w:w="68" w:type="dxa"/>
            </w:tcMar>
            <w:vAlign w:val="center"/>
            <w:hideMark/>
          </w:tcPr>
          <w:p w14:paraId="22CF7DA5" w14:textId="77777777" w:rsidR="00811CF9" w:rsidRPr="00744B4D" w:rsidRDefault="00811CF9" w:rsidP="00811CF9">
            <w:pPr>
              <w:rPr>
                <w:sz w:val="20"/>
                <w:szCs w:val="20"/>
              </w:rPr>
            </w:pPr>
            <w:r w:rsidRPr="00744B4D">
              <w:rPr>
                <w:sz w:val="20"/>
                <w:szCs w:val="20"/>
              </w:rPr>
              <w:t>Kaunas (žiogas)</w:t>
            </w:r>
          </w:p>
        </w:tc>
        <w:tc>
          <w:tcPr>
            <w:tcW w:w="904" w:type="dxa"/>
            <w:shd w:val="clear" w:color="auto" w:fill="FFFFFF" w:themeFill="background1"/>
            <w:tcMar>
              <w:top w:w="15" w:type="dxa"/>
              <w:left w:w="68" w:type="dxa"/>
              <w:bottom w:w="0" w:type="dxa"/>
              <w:right w:w="68" w:type="dxa"/>
            </w:tcMar>
            <w:vAlign w:val="center"/>
            <w:hideMark/>
          </w:tcPr>
          <w:p w14:paraId="0D13E7CE" w14:textId="77777777" w:rsidR="00811CF9" w:rsidRPr="00744B4D" w:rsidRDefault="00811CF9" w:rsidP="00811CF9">
            <w:pPr>
              <w:rPr>
                <w:sz w:val="20"/>
                <w:szCs w:val="20"/>
              </w:rPr>
            </w:pPr>
            <w:r w:rsidRPr="00744B4D">
              <w:rPr>
                <w:sz w:val="20"/>
                <w:szCs w:val="20"/>
              </w:rPr>
              <w:t>Klaipėda</w:t>
            </w:r>
          </w:p>
        </w:tc>
        <w:tc>
          <w:tcPr>
            <w:tcW w:w="998" w:type="dxa"/>
            <w:shd w:val="clear" w:color="auto" w:fill="FFFFFF" w:themeFill="background1"/>
            <w:tcMar>
              <w:top w:w="15" w:type="dxa"/>
              <w:left w:w="68" w:type="dxa"/>
              <w:bottom w:w="0" w:type="dxa"/>
              <w:right w:w="68" w:type="dxa"/>
            </w:tcMar>
            <w:vAlign w:val="center"/>
            <w:hideMark/>
          </w:tcPr>
          <w:p w14:paraId="4FB07A8A" w14:textId="77777777" w:rsidR="00811CF9" w:rsidRPr="00744B4D" w:rsidRDefault="00811CF9" w:rsidP="00811CF9">
            <w:pPr>
              <w:rPr>
                <w:sz w:val="20"/>
                <w:szCs w:val="20"/>
              </w:rPr>
            </w:pPr>
            <w:r w:rsidRPr="00744B4D">
              <w:rPr>
                <w:sz w:val="20"/>
                <w:szCs w:val="20"/>
              </w:rPr>
              <w:t>Šiauliai</w:t>
            </w:r>
          </w:p>
        </w:tc>
        <w:tc>
          <w:tcPr>
            <w:tcW w:w="820" w:type="dxa"/>
            <w:shd w:val="clear" w:color="auto" w:fill="FFFFFF" w:themeFill="background1"/>
            <w:tcMar>
              <w:top w:w="15" w:type="dxa"/>
              <w:left w:w="68" w:type="dxa"/>
              <w:bottom w:w="0" w:type="dxa"/>
              <w:right w:w="68" w:type="dxa"/>
            </w:tcMar>
            <w:vAlign w:val="center"/>
            <w:hideMark/>
          </w:tcPr>
          <w:p w14:paraId="4059DC85" w14:textId="77777777" w:rsidR="00811CF9" w:rsidRPr="00744B4D" w:rsidRDefault="00811CF9" w:rsidP="00811CF9">
            <w:pPr>
              <w:rPr>
                <w:sz w:val="20"/>
                <w:szCs w:val="20"/>
              </w:rPr>
            </w:pPr>
            <w:r w:rsidRPr="00744B4D">
              <w:rPr>
                <w:sz w:val="20"/>
                <w:szCs w:val="20"/>
              </w:rPr>
              <w:t>Alytus</w:t>
            </w:r>
          </w:p>
        </w:tc>
      </w:tr>
      <w:tr w:rsidR="00992306" w:rsidRPr="00744B4D" w14:paraId="0F124880" w14:textId="77777777" w:rsidTr="003959DF">
        <w:trPr>
          <w:trHeight w:val="751"/>
        </w:trPr>
        <w:tc>
          <w:tcPr>
            <w:tcW w:w="1838" w:type="dxa"/>
            <w:shd w:val="clear" w:color="auto" w:fill="FFFFFF" w:themeFill="background1"/>
            <w:tcMar>
              <w:top w:w="15" w:type="dxa"/>
              <w:left w:w="68" w:type="dxa"/>
              <w:bottom w:w="0" w:type="dxa"/>
              <w:right w:w="68" w:type="dxa"/>
            </w:tcMar>
            <w:vAlign w:val="center"/>
            <w:hideMark/>
          </w:tcPr>
          <w:p w14:paraId="556E96A9" w14:textId="77777777" w:rsidR="00811CF9" w:rsidRPr="00744B4D" w:rsidRDefault="00811CF9" w:rsidP="00811CF9">
            <w:pPr>
              <w:rPr>
                <w:sz w:val="20"/>
                <w:szCs w:val="20"/>
              </w:rPr>
            </w:pPr>
            <w:r w:rsidRPr="00744B4D">
              <w:rPr>
                <w:b/>
                <w:bCs/>
                <w:sz w:val="20"/>
                <w:szCs w:val="20"/>
              </w:rPr>
              <w:t xml:space="preserve">Vienkartinis elektroninis bilietas </w:t>
            </w:r>
          </w:p>
        </w:tc>
        <w:tc>
          <w:tcPr>
            <w:tcW w:w="567" w:type="dxa"/>
            <w:shd w:val="clear" w:color="auto" w:fill="FFFFFF" w:themeFill="background1"/>
            <w:tcMar>
              <w:top w:w="15" w:type="dxa"/>
              <w:left w:w="68" w:type="dxa"/>
              <w:bottom w:w="0" w:type="dxa"/>
              <w:right w:w="68" w:type="dxa"/>
            </w:tcMar>
            <w:vAlign w:val="center"/>
            <w:hideMark/>
          </w:tcPr>
          <w:p w14:paraId="0E96AC5C" w14:textId="77777777" w:rsidR="00811CF9" w:rsidRPr="00744B4D" w:rsidRDefault="00811CF9" w:rsidP="00811CF9">
            <w:pPr>
              <w:jc w:val="center"/>
              <w:rPr>
                <w:sz w:val="20"/>
                <w:szCs w:val="20"/>
              </w:rPr>
            </w:pPr>
            <w:r w:rsidRPr="00744B4D">
              <w:rPr>
                <w:sz w:val="20"/>
                <w:szCs w:val="20"/>
              </w:rPr>
              <w:t>0%</w:t>
            </w:r>
          </w:p>
        </w:tc>
        <w:tc>
          <w:tcPr>
            <w:tcW w:w="620" w:type="dxa"/>
            <w:shd w:val="clear" w:color="auto" w:fill="FFFFFF" w:themeFill="background1"/>
            <w:tcMar>
              <w:top w:w="15" w:type="dxa"/>
              <w:left w:w="68" w:type="dxa"/>
              <w:bottom w:w="0" w:type="dxa"/>
              <w:right w:w="68" w:type="dxa"/>
            </w:tcMar>
            <w:vAlign w:val="center"/>
            <w:hideMark/>
          </w:tcPr>
          <w:p w14:paraId="455F0C87" w14:textId="77777777" w:rsidR="00811CF9" w:rsidRPr="00744B4D" w:rsidRDefault="00811CF9" w:rsidP="00811CF9">
            <w:pPr>
              <w:jc w:val="center"/>
              <w:rPr>
                <w:sz w:val="20"/>
                <w:szCs w:val="20"/>
              </w:rPr>
            </w:pPr>
            <w:r w:rsidRPr="00744B4D">
              <w:rPr>
                <w:b/>
                <w:bCs/>
                <w:sz w:val="20"/>
                <w:szCs w:val="20"/>
              </w:rPr>
              <w:t>0,52*</w:t>
            </w:r>
          </w:p>
        </w:tc>
        <w:tc>
          <w:tcPr>
            <w:tcW w:w="1565" w:type="dxa"/>
            <w:shd w:val="clear" w:color="auto" w:fill="FFFFFF" w:themeFill="background1"/>
            <w:tcMar>
              <w:top w:w="15" w:type="dxa"/>
              <w:left w:w="68" w:type="dxa"/>
              <w:bottom w:w="0" w:type="dxa"/>
              <w:right w:w="68" w:type="dxa"/>
            </w:tcMar>
            <w:vAlign w:val="center"/>
            <w:hideMark/>
          </w:tcPr>
          <w:p w14:paraId="6A707F57" w14:textId="77777777" w:rsidR="00811CF9" w:rsidRPr="00744B4D" w:rsidRDefault="00811CF9" w:rsidP="00811CF9">
            <w:pPr>
              <w:jc w:val="center"/>
              <w:rPr>
                <w:sz w:val="20"/>
                <w:szCs w:val="20"/>
              </w:rPr>
            </w:pPr>
            <w:r w:rsidRPr="00744B4D">
              <w:rPr>
                <w:bCs/>
                <w:sz w:val="20"/>
                <w:szCs w:val="20"/>
              </w:rPr>
              <w:t>0,70 persėdimo galimybė ir bilieto kainos optimizatorius*</w:t>
            </w:r>
          </w:p>
        </w:tc>
        <w:tc>
          <w:tcPr>
            <w:tcW w:w="928" w:type="dxa"/>
            <w:shd w:val="clear" w:color="auto" w:fill="FFFFFF" w:themeFill="background1"/>
            <w:tcMar>
              <w:top w:w="15" w:type="dxa"/>
              <w:left w:w="68" w:type="dxa"/>
              <w:bottom w:w="0" w:type="dxa"/>
              <w:right w:w="68" w:type="dxa"/>
            </w:tcMar>
            <w:vAlign w:val="center"/>
            <w:hideMark/>
          </w:tcPr>
          <w:p w14:paraId="78D226CF" w14:textId="77777777" w:rsidR="00811CF9" w:rsidRPr="00744B4D" w:rsidRDefault="00811CF9" w:rsidP="00811CF9">
            <w:pPr>
              <w:jc w:val="center"/>
              <w:rPr>
                <w:sz w:val="20"/>
                <w:szCs w:val="20"/>
              </w:rPr>
            </w:pPr>
            <w:r w:rsidRPr="00744B4D">
              <w:rPr>
                <w:sz w:val="20"/>
                <w:szCs w:val="20"/>
              </w:rPr>
              <w:t>34,6%</w:t>
            </w:r>
          </w:p>
        </w:tc>
        <w:tc>
          <w:tcPr>
            <w:tcW w:w="680" w:type="dxa"/>
            <w:shd w:val="clear" w:color="auto" w:fill="FFFFFF" w:themeFill="background1"/>
            <w:tcMar>
              <w:top w:w="15" w:type="dxa"/>
              <w:left w:w="68" w:type="dxa"/>
              <w:bottom w:w="0" w:type="dxa"/>
              <w:right w:w="68" w:type="dxa"/>
            </w:tcMar>
            <w:vAlign w:val="center"/>
            <w:hideMark/>
          </w:tcPr>
          <w:p w14:paraId="3127DD38" w14:textId="77777777" w:rsidR="00811CF9" w:rsidRPr="00744B4D" w:rsidRDefault="00811CF9" w:rsidP="00811CF9">
            <w:pPr>
              <w:jc w:val="center"/>
              <w:rPr>
                <w:sz w:val="20"/>
                <w:szCs w:val="20"/>
              </w:rPr>
            </w:pPr>
            <w:r w:rsidRPr="00744B4D">
              <w:rPr>
                <w:sz w:val="20"/>
                <w:szCs w:val="20"/>
              </w:rPr>
              <w:t>1,00</w:t>
            </w:r>
          </w:p>
        </w:tc>
        <w:tc>
          <w:tcPr>
            <w:tcW w:w="998" w:type="dxa"/>
            <w:shd w:val="clear" w:color="auto" w:fill="FFFFFF" w:themeFill="background1"/>
            <w:tcMar>
              <w:top w:w="15" w:type="dxa"/>
              <w:left w:w="68" w:type="dxa"/>
              <w:bottom w:w="0" w:type="dxa"/>
              <w:right w:w="68" w:type="dxa"/>
            </w:tcMar>
            <w:vAlign w:val="center"/>
            <w:hideMark/>
          </w:tcPr>
          <w:p w14:paraId="615E774C" w14:textId="77777777" w:rsidR="00811CF9" w:rsidRPr="00744B4D" w:rsidRDefault="00811CF9" w:rsidP="00811CF9">
            <w:pPr>
              <w:jc w:val="center"/>
              <w:rPr>
                <w:sz w:val="20"/>
                <w:szCs w:val="20"/>
              </w:rPr>
            </w:pPr>
            <w:r w:rsidRPr="00744B4D">
              <w:rPr>
                <w:sz w:val="20"/>
                <w:szCs w:val="20"/>
              </w:rPr>
              <w:t>0,70        (</w:t>
            </w:r>
            <w:proofErr w:type="spellStart"/>
            <w:r w:rsidRPr="00744B4D">
              <w:rPr>
                <w:sz w:val="20"/>
                <w:szCs w:val="20"/>
              </w:rPr>
              <w:t>persėd</w:t>
            </w:r>
            <w:proofErr w:type="spellEnd"/>
            <w:r w:rsidRPr="00744B4D">
              <w:rPr>
                <w:sz w:val="20"/>
                <w:szCs w:val="20"/>
              </w:rPr>
              <w:t>. galimybė)</w:t>
            </w:r>
          </w:p>
        </w:tc>
        <w:tc>
          <w:tcPr>
            <w:tcW w:w="904" w:type="dxa"/>
            <w:shd w:val="clear" w:color="auto" w:fill="FFFFFF" w:themeFill="background1"/>
            <w:tcMar>
              <w:top w:w="15" w:type="dxa"/>
              <w:left w:w="68" w:type="dxa"/>
              <w:bottom w:w="0" w:type="dxa"/>
              <w:right w:w="68" w:type="dxa"/>
            </w:tcMar>
            <w:vAlign w:val="center"/>
            <w:hideMark/>
          </w:tcPr>
          <w:p w14:paraId="0013832B" w14:textId="77777777" w:rsidR="00811CF9" w:rsidRPr="00744B4D" w:rsidRDefault="00811CF9" w:rsidP="00811CF9">
            <w:pPr>
              <w:jc w:val="center"/>
              <w:rPr>
                <w:sz w:val="20"/>
                <w:szCs w:val="20"/>
              </w:rPr>
            </w:pPr>
            <w:r w:rsidRPr="00744B4D">
              <w:rPr>
                <w:sz w:val="20"/>
                <w:szCs w:val="20"/>
              </w:rPr>
              <w:t>0,70</w:t>
            </w:r>
          </w:p>
        </w:tc>
        <w:tc>
          <w:tcPr>
            <w:tcW w:w="998" w:type="dxa"/>
            <w:shd w:val="clear" w:color="auto" w:fill="FFFFFF" w:themeFill="background1"/>
            <w:tcMar>
              <w:top w:w="15" w:type="dxa"/>
              <w:left w:w="68" w:type="dxa"/>
              <w:bottom w:w="0" w:type="dxa"/>
              <w:right w:w="68" w:type="dxa"/>
            </w:tcMar>
            <w:vAlign w:val="center"/>
            <w:hideMark/>
          </w:tcPr>
          <w:p w14:paraId="079BB2F6" w14:textId="77777777" w:rsidR="00811CF9" w:rsidRPr="00744B4D" w:rsidRDefault="00811CF9" w:rsidP="00811CF9">
            <w:pPr>
              <w:jc w:val="center"/>
              <w:rPr>
                <w:sz w:val="20"/>
                <w:szCs w:val="20"/>
              </w:rPr>
            </w:pPr>
            <w:r w:rsidRPr="00744B4D">
              <w:rPr>
                <w:sz w:val="20"/>
                <w:szCs w:val="20"/>
              </w:rPr>
              <w:t>0,68               (</w:t>
            </w:r>
            <w:proofErr w:type="spellStart"/>
            <w:r w:rsidRPr="00744B4D">
              <w:rPr>
                <w:sz w:val="20"/>
                <w:szCs w:val="20"/>
              </w:rPr>
              <w:t>persėd</w:t>
            </w:r>
            <w:proofErr w:type="spellEnd"/>
            <w:r w:rsidRPr="00744B4D">
              <w:rPr>
                <w:sz w:val="20"/>
                <w:szCs w:val="20"/>
              </w:rPr>
              <w:t>.  galimybė)</w:t>
            </w:r>
          </w:p>
        </w:tc>
        <w:tc>
          <w:tcPr>
            <w:tcW w:w="820" w:type="dxa"/>
            <w:shd w:val="clear" w:color="auto" w:fill="FFFFFF" w:themeFill="background1"/>
            <w:tcMar>
              <w:top w:w="15" w:type="dxa"/>
              <w:left w:w="68" w:type="dxa"/>
              <w:bottom w:w="0" w:type="dxa"/>
              <w:right w:w="68" w:type="dxa"/>
            </w:tcMar>
            <w:vAlign w:val="center"/>
            <w:hideMark/>
          </w:tcPr>
          <w:p w14:paraId="7B2D2C88" w14:textId="77777777" w:rsidR="00811CF9" w:rsidRPr="00744B4D" w:rsidRDefault="00811CF9" w:rsidP="00811CF9">
            <w:pPr>
              <w:jc w:val="center"/>
              <w:rPr>
                <w:sz w:val="20"/>
                <w:szCs w:val="20"/>
              </w:rPr>
            </w:pPr>
            <w:r w:rsidRPr="00744B4D">
              <w:rPr>
                <w:sz w:val="20"/>
                <w:szCs w:val="20"/>
              </w:rPr>
              <w:t xml:space="preserve">0,80                    (1 </w:t>
            </w:r>
            <w:proofErr w:type="spellStart"/>
            <w:r w:rsidRPr="00744B4D">
              <w:rPr>
                <w:sz w:val="20"/>
                <w:szCs w:val="20"/>
              </w:rPr>
              <w:t>persėd</w:t>
            </w:r>
            <w:proofErr w:type="spellEnd"/>
            <w:r>
              <w:rPr>
                <w:sz w:val="20"/>
                <w:szCs w:val="20"/>
              </w:rPr>
              <w:t>.</w:t>
            </w:r>
            <w:r w:rsidRPr="00744B4D">
              <w:rPr>
                <w:sz w:val="20"/>
                <w:szCs w:val="20"/>
              </w:rPr>
              <w:t>)</w:t>
            </w:r>
          </w:p>
        </w:tc>
      </w:tr>
      <w:tr w:rsidR="00992306" w:rsidRPr="00744B4D" w14:paraId="482DC77F" w14:textId="77777777" w:rsidTr="003959DF">
        <w:trPr>
          <w:trHeight w:val="751"/>
        </w:trPr>
        <w:tc>
          <w:tcPr>
            <w:tcW w:w="1838" w:type="dxa"/>
            <w:shd w:val="clear" w:color="auto" w:fill="FFFFFF" w:themeFill="background1"/>
            <w:tcMar>
              <w:top w:w="15" w:type="dxa"/>
              <w:left w:w="68" w:type="dxa"/>
              <w:bottom w:w="0" w:type="dxa"/>
              <w:right w:w="68" w:type="dxa"/>
            </w:tcMar>
            <w:vAlign w:val="center"/>
            <w:hideMark/>
          </w:tcPr>
          <w:p w14:paraId="4B7417E9" w14:textId="77777777" w:rsidR="00811CF9" w:rsidRPr="00744B4D" w:rsidRDefault="00811CF9" w:rsidP="00811CF9">
            <w:pPr>
              <w:rPr>
                <w:sz w:val="20"/>
                <w:szCs w:val="20"/>
              </w:rPr>
            </w:pPr>
            <w:r w:rsidRPr="00744B4D">
              <w:rPr>
                <w:b/>
                <w:bCs/>
                <w:sz w:val="20"/>
                <w:szCs w:val="20"/>
              </w:rPr>
              <w:t>Vienkartinis elektroninis bilietas</w:t>
            </w:r>
          </w:p>
        </w:tc>
        <w:tc>
          <w:tcPr>
            <w:tcW w:w="567" w:type="dxa"/>
            <w:shd w:val="clear" w:color="auto" w:fill="FFFFFF" w:themeFill="background1"/>
            <w:tcMar>
              <w:top w:w="15" w:type="dxa"/>
              <w:left w:w="68" w:type="dxa"/>
              <w:bottom w:w="0" w:type="dxa"/>
              <w:right w:w="68" w:type="dxa"/>
            </w:tcMar>
            <w:vAlign w:val="center"/>
            <w:hideMark/>
          </w:tcPr>
          <w:p w14:paraId="3FC63570" w14:textId="77777777" w:rsidR="00811CF9" w:rsidRPr="00744B4D" w:rsidRDefault="00811CF9" w:rsidP="00811CF9">
            <w:pPr>
              <w:jc w:val="center"/>
              <w:rPr>
                <w:sz w:val="20"/>
                <w:szCs w:val="20"/>
              </w:rPr>
            </w:pPr>
            <w:r w:rsidRPr="00744B4D">
              <w:rPr>
                <w:sz w:val="20"/>
                <w:szCs w:val="20"/>
              </w:rPr>
              <w:t>50%</w:t>
            </w:r>
          </w:p>
        </w:tc>
        <w:tc>
          <w:tcPr>
            <w:tcW w:w="620" w:type="dxa"/>
            <w:shd w:val="clear" w:color="auto" w:fill="FFFFFF" w:themeFill="background1"/>
            <w:tcMar>
              <w:top w:w="15" w:type="dxa"/>
              <w:left w:w="68" w:type="dxa"/>
              <w:bottom w:w="0" w:type="dxa"/>
              <w:right w:w="68" w:type="dxa"/>
            </w:tcMar>
            <w:vAlign w:val="center"/>
            <w:hideMark/>
          </w:tcPr>
          <w:p w14:paraId="31FCE3D4" w14:textId="77777777" w:rsidR="00811CF9" w:rsidRPr="00744B4D" w:rsidRDefault="00811CF9" w:rsidP="00811CF9">
            <w:pPr>
              <w:jc w:val="center"/>
              <w:rPr>
                <w:sz w:val="20"/>
                <w:szCs w:val="20"/>
              </w:rPr>
            </w:pPr>
            <w:r w:rsidRPr="00744B4D">
              <w:rPr>
                <w:b/>
                <w:bCs/>
                <w:sz w:val="20"/>
                <w:szCs w:val="20"/>
              </w:rPr>
              <w:t>0,26*</w:t>
            </w:r>
          </w:p>
        </w:tc>
        <w:tc>
          <w:tcPr>
            <w:tcW w:w="1565" w:type="dxa"/>
            <w:shd w:val="clear" w:color="auto" w:fill="FFFFFF" w:themeFill="background1"/>
            <w:tcMar>
              <w:top w:w="15" w:type="dxa"/>
              <w:left w:w="68" w:type="dxa"/>
              <w:bottom w:w="0" w:type="dxa"/>
              <w:right w:w="68" w:type="dxa"/>
            </w:tcMar>
            <w:vAlign w:val="center"/>
            <w:hideMark/>
          </w:tcPr>
          <w:p w14:paraId="4DBD0332" w14:textId="77777777" w:rsidR="00811CF9" w:rsidRPr="00744B4D" w:rsidRDefault="00811CF9" w:rsidP="00811CF9">
            <w:pPr>
              <w:jc w:val="center"/>
              <w:rPr>
                <w:sz w:val="20"/>
                <w:szCs w:val="20"/>
              </w:rPr>
            </w:pPr>
            <w:r w:rsidRPr="00744B4D">
              <w:rPr>
                <w:bCs/>
                <w:sz w:val="20"/>
                <w:szCs w:val="20"/>
              </w:rPr>
              <w:t>0,35 persėdimo galimybė ir bilieto kainos optimizatorius*</w:t>
            </w:r>
          </w:p>
        </w:tc>
        <w:tc>
          <w:tcPr>
            <w:tcW w:w="928" w:type="dxa"/>
            <w:shd w:val="clear" w:color="auto" w:fill="FFFFFF" w:themeFill="background1"/>
            <w:tcMar>
              <w:top w:w="15" w:type="dxa"/>
              <w:left w:w="68" w:type="dxa"/>
              <w:bottom w:w="0" w:type="dxa"/>
              <w:right w:w="68" w:type="dxa"/>
            </w:tcMar>
            <w:vAlign w:val="center"/>
            <w:hideMark/>
          </w:tcPr>
          <w:p w14:paraId="6730846E" w14:textId="77777777" w:rsidR="00811CF9" w:rsidRPr="00744B4D" w:rsidRDefault="00811CF9" w:rsidP="00811CF9">
            <w:pPr>
              <w:jc w:val="center"/>
              <w:rPr>
                <w:sz w:val="20"/>
                <w:szCs w:val="20"/>
              </w:rPr>
            </w:pPr>
            <w:r w:rsidRPr="00744B4D">
              <w:rPr>
                <w:sz w:val="20"/>
                <w:szCs w:val="20"/>
              </w:rPr>
              <w:t>34,6%</w:t>
            </w:r>
          </w:p>
        </w:tc>
        <w:tc>
          <w:tcPr>
            <w:tcW w:w="680" w:type="dxa"/>
            <w:shd w:val="clear" w:color="auto" w:fill="FFFFFF" w:themeFill="background1"/>
            <w:tcMar>
              <w:top w:w="15" w:type="dxa"/>
              <w:left w:w="68" w:type="dxa"/>
              <w:bottom w:w="0" w:type="dxa"/>
              <w:right w:w="68" w:type="dxa"/>
            </w:tcMar>
            <w:vAlign w:val="center"/>
            <w:hideMark/>
          </w:tcPr>
          <w:p w14:paraId="4B55660C" w14:textId="77777777" w:rsidR="00811CF9" w:rsidRPr="00744B4D" w:rsidRDefault="00811CF9" w:rsidP="00811CF9">
            <w:pPr>
              <w:jc w:val="center"/>
              <w:rPr>
                <w:sz w:val="20"/>
                <w:szCs w:val="20"/>
              </w:rPr>
            </w:pPr>
            <w:r w:rsidRPr="00744B4D">
              <w:rPr>
                <w:sz w:val="20"/>
                <w:szCs w:val="20"/>
              </w:rPr>
              <w:t>0,5</w:t>
            </w:r>
          </w:p>
        </w:tc>
        <w:tc>
          <w:tcPr>
            <w:tcW w:w="998" w:type="dxa"/>
            <w:shd w:val="clear" w:color="auto" w:fill="FFFFFF" w:themeFill="background1"/>
            <w:tcMar>
              <w:top w:w="15" w:type="dxa"/>
              <w:left w:w="68" w:type="dxa"/>
              <w:bottom w:w="0" w:type="dxa"/>
              <w:right w:w="68" w:type="dxa"/>
            </w:tcMar>
            <w:vAlign w:val="center"/>
            <w:hideMark/>
          </w:tcPr>
          <w:p w14:paraId="2638BE64" w14:textId="77777777" w:rsidR="00811CF9" w:rsidRPr="00744B4D" w:rsidRDefault="00811CF9" w:rsidP="00811CF9">
            <w:pPr>
              <w:jc w:val="center"/>
              <w:rPr>
                <w:sz w:val="20"/>
                <w:szCs w:val="20"/>
              </w:rPr>
            </w:pPr>
            <w:r w:rsidRPr="00744B4D">
              <w:rPr>
                <w:sz w:val="20"/>
                <w:szCs w:val="20"/>
              </w:rPr>
              <w:t>0,35        (</w:t>
            </w:r>
            <w:proofErr w:type="spellStart"/>
            <w:r w:rsidRPr="00744B4D">
              <w:rPr>
                <w:sz w:val="20"/>
                <w:szCs w:val="20"/>
              </w:rPr>
              <w:t>persėd</w:t>
            </w:r>
            <w:proofErr w:type="spellEnd"/>
            <w:r w:rsidRPr="00744B4D">
              <w:rPr>
                <w:sz w:val="20"/>
                <w:szCs w:val="20"/>
              </w:rPr>
              <w:t>. galimybė)</w:t>
            </w:r>
          </w:p>
        </w:tc>
        <w:tc>
          <w:tcPr>
            <w:tcW w:w="904" w:type="dxa"/>
            <w:shd w:val="clear" w:color="auto" w:fill="FFFFFF" w:themeFill="background1"/>
            <w:tcMar>
              <w:top w:w="15" w:type="dxa"/>
              <w:left w:w="68" w:type="dxa"/>
              <w:bottom w:w="0" w:type="dxa"/>
              <w:right w:w="68" w:type="dxa"/>
            </w:tcMar>
            <w:vAlign w:val="center"/>
            <w:hideMark/>
          </w:tcPr>
          <w:p w14:paraId="69ECC89C" w14:textId="77777777" w:rsidR="00811CF9" w:rsidRPr="00744B4D" w:rsidRDefault="00811CF9" w:rsidP="00811CF9">
            <w:pPr>
              <w:jc w:val="center"/>
              <w:rPr>
                <w:sz w:val="20"/>
                <w:szCs w:val="20"/>
              </w:rPr>
            </w:pPr>
            <w:r w:rsidRPr="00744B4D">
              <w:rPr>
                <w:sz w:val="20"/>
                <w:szCs w:val="20"/>
              </w:rPr>
              <w:t>0,35</w:t>
            </w:r>
          </w:p>
        </w:tc>
        <w:tc>
          <w:tcPr>
            <w:tcW w:w="998" w:type="dxa"/>
            <w:shd w:val="clear" w:color="auto" w:fill="FFFFFF" w:themeFill="background1"/>
            <w:tcMar>
              <w:top w:w="15" w:type="dxa"/>
              <w:left w:w="68" w:type="dxa"/>
              <w:bottom w:w="0" w:type="dxa"/>
              <w:right w:w="68" w:type="dxa"/>
            </w:tcMar>
            <w:vAlign w:val="center"/>
            <w:hideMark/>
          </w:tcPr>
          <w:p w14:paraId="3BD8F10C" w14:textId="77777777" w:rsidR="00811CF9" w:rsidRPr="00744B4D" w:rsidRDefault="00811CF9" w:rsidP="00811CF9">
            <w:pPr>
              <w:jc w:val="center"/>
              <w:rPr>
                <w:sz w:val="20"/>
                <w:szCs w:val="20"/>
              </w:rPr>
            </w:pPr>
            <w:r w:rsidRPr="00744B4D">
              <w:rPr>
                <w:sz w:val="20"/>
                <w:szCs w:val="20"/>
              </w:rPr>
              <w:t>0,34           (</w:t>
            </w:r>
            <w:proofErr w:type="spellStart"/>
            <w:r w:rsidRPr="00744B4D">
              <w:rPr>
                <w:sz w:val="20"/>
                <w:szCs w:val="20"/>
              </w:rPr>
              <w:t>persėd</w:t>
            </w:r>
            <w:proofErr w:type="spellEnd"/>
            <w:r w:rsidRPr="00744B4D">
              <w:rPr>
                <w:sz w:val="20"/>
                <w:szCs w:val="20"/>
              </w:rPr>
              <w:t>.</w:t>
            </w:r>
          </w:p>
          <w:p w14:paraId="0CA4342D" w14:textId="77777777" w:rsidR="00811CF9" w:rsidRPr="00744B4D" w:rsidRDefault="00811CF9" w:rsidP="00811CF9">
            <w:pPr>
              <w:jc w:val="center"/>
              <w:rPr>
                <w:sz w:val="20"/>
                <w:szCs w:val="20"/>
              </w:rPr>
            </w:pPr>
            <w:r w:rsidRPr="00744B4D">
              <w:rPr>
                <w:sz w:val="20"/>
                <w:szCs w:val="20"/>
              </w:rPr>
              <w:t>galimybė)</w:t>
            </w:r>
          </w:p>
        </w:tc>
        <w:tc>
          <w:tcPr>
            <w:tcW w:w="820" w:type="dxa"/>
            <w:shd w:val="clear" w:color="auto" w:fill="FFFFFF" w:themeFill="background1"/>
            <w:tcMar>
              <w:top w:w="15" w:type="dxa"/>
              <w:left w:w="68" w:type="dxa"/>
              <w:bottom w:w="0" w:type="dxa"/>
              <w:right w:w="68" w:type="dxa"/>
            </w:tcMar>
            <w:vAlign w:val="center"/>
            <w:hideMark/>
          </w:tcPr>
          <w:p w14:paraId="12725B85" w14:textId="77777777" w:rsidR="00811CF9" w:rsidRPr="00744B4D" w:rsidRDefault="00811CF9" w:rsidP="00811CF9">
            <w:pPr>
              <w:jc w:val="center"/>
              <w:rPr>
                <w:sz w:val="20"/>
                <w:szCs w:val="20"/>
              </w:rPr>
            </w:pPr>
            <w:r w:rsidRPr="00744B4D">
              <w:rPr>
                <w:sz w:val="20"/>
                <w:szCs w:val="20"/>
              </w:rPr>
              <w:t xml:space="preserve">0,40                  (1 </w:t>
            </w:r>
            <w:proofErr w:type="spellStart"/>
            <w:r w:rsidRPr="00744B4D">
              <w:rPr>
                <w:sz w:val="20"/>
                <w:szCs w:val="20"/>
              </w:rPr>
              <w:t>persėd</w:t>
            </w:r>
            <w:proofErr w:type="spellEnd"/>
            <w:r>
              <w:rPr>
                <w:sz w:val="20"/>
                <w:szCs w:val="20"/>
              </w:rPr>
              <w:t>.</w:t>
            </w:r>
            <w:r w:rsidRPr="00744B4D">
              <w:rPr>
                <w:sz w:val="20"/>
                <w:szCs w:val="20"/>
              </w:rPr>
              <w:t>)</w:t>
            </w:r>
          </w:p>
        </w:tc>
      </w:tr>
      <w:tr w:rsidR="00992306" w:rsidRPr="00744B4D" w14:paraId="22CE2AEE" w14:textId="77777777" w:rsidTr="003959DF">
        <w:trPr>
          <w:trHeight w:val="751"/>
        </w:trPr>
        <w:tc>
          <w:tcPr>
            <w:tcW w:w="1838" w:type="dxa"/>
            <w:shd w:val="clear" w:color="auto" w:fill="FFFFFF" w:themeFill="background1"/>
            <w:tcMar>
              <w:top w:w="15" w:type="dxa"/>
              <w:left w:w="68" w:type="dxa"/>
              <w:bottom w:w="0" w:type="dxa"/>
              <w:right w:w="68" w:type="dxa"/>
            </w:tcMar>
            <w:vAlign w:val="center"/>
            <w:hideMark/>
          </w:tcPr>
          <w:p w14:paraId="1F4B263C" w14:textId="77777777" w:rsidR="00811CF9" w:rsidRPr="00744B4D" w:rsidRDefault="00811CF9" w:rsidP="00811CF9">
            <w:pPr>
              <w:rPr>
                <w:sz w:val="20"/>
                <w:szCs w:val="20"/>
              </w:rPr>
            </w:pPr>
            <w:r w:rsidRPr="00744B4D">
              <w:rPr>
                <w:b/>
                <w:bCs/>
                <w:sz w:val="20"/>
                <w:szCs w:val="20"/>
              </w:rPr>
              <w:t>Vienkartinis elektroninis bilietas</w:t>
            </w:r>
          </w:p>
        </w:tc>
        <w:tc>
          <w:tcPr>
            <w:tcW w:w="567" w:type="dxa"/>
            <w:shd w:val="clear" w:color="auto" w:fill="FFFFFF" w:themeFill="background1"/>
            <w:tcMar>
              <w:top w:w="15" w:type="dxa"/>
              <w:left w:w="68" w:type="dxa"/>
              <w:bottom w:w="0" w:type="dxa"/>
              <w:right w:w="68" w:type="dxa"/>
            </w:tcMar>
            <w:vAlign w:val="center"/>
            <w:hideMark/>
          </w:tcPr>
          <w:p w14:paraId="21069022" w14:textId="77777777" w:rsidR="00811CF9" w:rsidRPr="00744B4D" w:rsidRDefault="00811CF9" w:rsidP="00811CF9">
            <w:pPr>
              <w:jc w:val="center"/>
              <w:rPr>
                <w:sz w:val="20"/>
                <w:szCs w:val="20"/>
              </w:rPr>
            </w:pPr>
            <w:r w:rsidRPr="00744B4D">
              <w:rPr>
                <w:sz w:val="20"/>
                <w:szCs w:val="20"/>
              </w:rPr>
              <w:t>80%</w:t>
            </w:r>
          </w:p>
        </w:tc>
        <w:tc>
          <w:tcPr>
            <w:tcW w:w="620" w:type="dxa"/>
            <w:shd w:val="clear" w:color="auto" w:fill="FFFFFF" w:themeFill="background1"/>
            <w:tcMar>
              <w:top w:w="15" w:type="dxa"/>
              <w:left w:w="68" w:type="dxa"/>
              <w:bottom w:w="0" w:type="dxa"/>
              <w:right w:w="68" w:type="dxa"/>
            </w:tcMar>
            <w:vAlign w:val="center"/>
            <w:hideMark/>
          </w:tcPr>
          <w:p w14:paraId="13D43502" w14:textId="77777777" w:rsidR="00811CF9" w:rsidRPr="00744B4D" w:rsidRDefault="00811CF9" w:rsidP="00811CF9">
            <w:pPr>
              <w:jc w:val="center"/>
              <w:rPr>
                <w:sz w:val="20"/>
                <w:szCs w:val="20"/>
              </w:rPr>
            </w:pPr>
            <w:r w:rsidRPr="00744B4D">
              <w:rPr>
                <w:b/>
                <w:bCs/>
                <w:sz w:val="20"/>
                <w:szCs w:val="20"/>
              </w:rPr>
              <w:t>0,10*</w:t>
            </w:r>
          </w:p>
        </w:tc>
        <w:tc>
          <w:tcPr>
            <w:tcW w:w="1565" w:type="dxa"/>
            <w:shd w:val="clear" w:color="auto" w:fill="FFFFFF" w:themeFill="background1"/>
            <w:tcMar>
              <w:top w:w="15" w:type="dxa"/>
              <w:left w:w="68" w:type="dxa"/>
              <w:bottom w:w="0" w:type="dxa"/>
              <w:right w:w="68" w:type="dxa"/>
            </w:tcMar>
            <w:vAlign w:val="center"/>
            <w:hideMark/>
          </w:tcPr>
          <w:p w14:paraId="4F023A3C" w14:textId="77777777" w:rsidR="00811CF9" w:rsidRPr="00744B4D" w:rsidRDefault="00811CF9" w:rsidP="00811CF9">
            <w:pPr>
              <w:jc w:val="center"/>
              <w:rPr>
                <w:sz w:val="20"/>
                <w:szCs w:val="20"/>
              </w:rPr>
            </w:pPr>
            <w:r w:rsidRPr="00744B4D">
              <w:rPr>
                <w:bCs/>
                <w:sz w:val="20"/>
                <w:szCs w:val="20"/>
              </w:rPr>
              <w:t>0,14 persėdimo galimybė ir bilieto kainos optimizatorius*</w:t>
            </w:r>
          </w:p>
        </w:tc>
        <w:tc>
          <w:tcPr>
            <w:tcW w:w="928" w:type="dxa"/>
            <w:shd w:val="clear" w:color="auto" w:fill="FFFFFF" w:themeFill="background1"/>
            <w:tcMar>
              <w:top w:w="15" w:type="dxa"/>
              <w:left w:w="68" w:type="dxa"/>
              <w:bottom w:w="0" w:type="dxa"/>
              <w:right w:w="68" w:type="dxa"/>
            </w:tcMar>
            <w:vAlign w:val="center"/>
            <w:hideMark/>
          </w:tcPr>
          <w:p w14:paraId="2380E598" w14:textId="77777777" w:rsidR="00811CF9" w:rsidRPr="00744B4D" w:rsidRDefault="00811CF9" w:rsidP="00811CF9">
            <w:pPr>
              <w:jc w:val="center"/>
              <w:rPr>
                <w:sz w:val="20"/>
                <w:szCs w:val="20"/>
              </w:rPr>
            </w:pPr>
            <w:r w:rsidRPr="00744B4D">
              <w:rPr>
                <w:sz w:val="20"/>
                <w:szCs w:val="20"/>
              </w:rPr>
              <w:t>40,0%</w:t>
            </w:r>
          </w:p>
        </w:tc>
        <w:tc>
          <w:tcPr>
            <w:tcW w:w="680" w:type="dxa"/>
            <w:shd w:val="clear" w:color="auto" w:fill="FFFFFF" w:themeFill="background1"/>
            <w:tcMar>
              <w:top w:w="15" w:type="dxa"/>
              <w:left w:w="68" w:type="dxa"/>
              <w:bottom w:w="0" w:type="dxa"/>
              <w:right w:w="68" w:type="dxa"/>
            </w:tcMar>
            <w:vAlign w:val="center"/>
            <w:hideMark/>
          </w:tcPr>
          <w:p w14:paraId="22F4AADF" w14:textId="77777777" w:rsidR="00811CF9" w:rsidRPr="00744B4D" w:rsidRDefault="00811CF9" w:rsidP="00811CF9">
            <w:pPr>
              <w:jc w:val="center"/>
              <w:rPr>
                <w:sz w:val="20"/>
                <w:szCs w:val="20"/>
              </w:rPr>
            </w:pPr>
            <w:r w:rsidRPr="00744B4D">
              <w:rPr>
                <w:sz w:val="20"/>
                <w:szCs w:val="20"/>
              </w:rPr>
              <w:t>0,2</w:t>
            </w:r>
          </w:p>
        </w:tc>
        <w:tc>
          <w:tcPr>
            <w:tcW w:w="998" w:type="dxa"/>
            <w:shd w:val="clear" w:color="auto" w:fill="FFFFFF" w:themeFill="background1"/>
            <w:tcMar>
              <w:top w:w="15" w:type="dxa"/>
              <w:left w:w="68" w:type="dxa"/>
              <w:bottom w:w="0" w:type="dxa"/>
              <w:right w:w="68" w:type="dxa"/>
            </w:tcMar>
            <w:vAlign w:val="center"/>
            <w:hideMark/>
          </w:tcPr>
          <w:p w14:paraId="1F4BFEC3" w14:textId="77777777" w:rsidR="00811CF9" w:rsidRPr="00744B4D" w:rsidRDefault="00811CF9" w:rsidP="00811CF9">
            <w:pPr>
              <w:jc w:val="center"/>
              <w:rPr>
                <w:sz w:val="20"/>
                <w:szCs w:val="20"/>
              </w:rPr>
            </w:pPr>
            <w:r w:rsidRPr="00744B4D">
              <w:rPr>
                <w:sz w:val="20"/>
                <w:szCs w:val="20"/>
              </w:rPr>
              <w:t>0,14  (</w:t>
            </w:r>
            <w:proofErr w:type="spellStart"/>
            <w:r w:rsidRPr="00744B4D">
              <w:rPr>
                <w:sz w:val="20"/>
                <w:szCs w:val="20"/>
              </w:rPr>
              <w:t>persėd</w:t>
            </w:r>
            <w:proofErr w:type="spellEnd"/>
            <w:r w:rsidRPr="00744B4D">
              <w:rPr>
                <w:sz w:val="20"/>
                <w:szCs w:val="20"/>
              </w:rPr>
              <w:t>.</w:t>
            </w:r>
          </w:p>
          <w:p w14:paraId="417938D6" w14:textId="77777777" w:rsidR="00811CF9" w:rsidRPr="00744B4D" w:rsidRDefault="00811CF9" w:rsidP="00811CF9">
            <w:pPr>
              <w:jc w:val="center"/>
              <w:rPr>
                <w:sz w:val="20"/>
                <w:szCs w:val="20"/>
              </w:rPr>
            </w:pPr>
            <w:r w:rsidRPr="00744B4D">
              <w:rPr>
                <w:sz w:val="20"/>
                <w:szCs w:val="20"/>
              </w:rPr>
              <w:t>galimybė)</w:t>
            </w:r>
          </w:p>
        </w:tc>
        <w:tc>
          <w:tcPr>
            <w:tcW w:w="904" w:type="dxa"/>
            <w:shd w:val="clear" w:color="auto" w:fill="FFFFFF" w:themeFill="background1"/>
            <w:tcMar>
              <w:top w:w="15" w:type="dxa"/>
              <w:left w:w="68" w:type="dxa"/>
              <w:bottom w:w="0" w:type="dxa"/>
              <w:right w:w="68" w:type="dxa"/>
            </w:tcMar>
            <w:vAlign w:val="center"/>
            <w:hideMark/>
          </w:tcPr>
          <w:p w14:paraId="628633D8" w14:textId="77777777" w:rsidR="00811CF9" w:rsidRPr="00744B4D" w:rsidRDefault="00811CF9" w:rsidP="00811CF9">
            <w:pPr>
              <w:jc w:val="center"/>
              <w:rPr>
                <w:sz w:val="20"/>
                <w:szCs w:val="20"/>
              </w:rPr>
            </w:pPr>
            <w:r w:rsidRPr="00744B4D">
              <w:rPr>
                <w:sz w:val="20"/>
                <w:szCs w:val="20"/>
              </w:rPr>
              <w:t>0,14</w:t>
            </w:r>
          </w:p>
        </w:tc>
        <w:tc>
          <w:tcPr>
            <w:tcW w:w="998" w:type="dxa"/>
            <w:shd w:val="clear" w:color="auto" w:fill="FFFFFF" w:themeFill="background1"/>
            <w:tcMar>
              <w:top w:w="15" w:type="dxa"/>
              <w:left w:w="68" w:type="dxa"/>
              <w:bottom w:w="0" w:type="dxa"/>
              <w:right w:w="68" w:type="dxa"/>
            </w:tcMar>
            <w:vAlign w:val="center"/>
            <w:hideMark/>
          </w:tcPr>
          <w:p w14:paraId="517FD7F5" w14:textId="77777777" w:rsidR="00811CF9" w:rsidRPr="00744B4D" w:rsidRDefault="00811CF9" w:rsidP="00811CF9">
            <w:pPr>
              <w:jc w:val="center"/>
              <w:rPr>
                <w:sz w:val="20"/>
                <w:szCs w:val="20"/>
              </w:rPr>
            </w:pPr>
            <w:r w:rsidRPr="00744B4D">
              <w:rPr>
                <w:sz w:val="20"/>
                <w:szCs w:val="20"/>
              </w:rPr>
              <w:t>0,14            (</w:t>
            </w:r>
            <w:proofErr w:type="spellStart"/>
            <w:r w:rsidRPr="00744B4D">
              <w:rPr>
                <w:sz w:val="20"/>
                <w:szCs w:val="20"/>
              </w:rPr>
              <w:t>persėd</w:t>
            </w:r>
            <w:proofErr w:type="spellEnd"/>
            <w:r w:rsidRPr="00744B4D">
              <w:rPr>
                <w:sz w:val="20"/>
                <w:szCs w:val="20"/>
              </w:rPr>
              <w:t>. galimybė)</w:t>
            </w:r>
          </w:p>
        </w:tc>
        <w:tc>
          <w:tcPr>
            <w:tcW w:w="820" w:type="dxa"/>
            <w:shd w:val="clear" w:color="auto" w:fill="FFFFFF" w:themeFill="background1"/>
            <w:tcMar>
              <w:top w:w="15" w:type="dxa"/>
              <w:left w:w="68" w:type="dxa"/>
              <w:bottom w:w="0" w:type="dxa"/>
              <w:right w:w="68" w:type="dxa"/>
            </w:tcMar>
            <w:vAlign w:val="center"/>
            <w:hideMark/>
          </w:tcPr>
          <w:p w14:paraId="308CC0D3" w14:textId="77777777" w:rsidR="00811CF9" w:rsidRPr="00744B4D" w:rsidRDefault="00811CF9" w:rsidP="00811CF9">
            <w:pPr>
              <w:jc w:val="center"/>
              <w:rPr>
                <w:sz w:val="20"/>
                <w:szCs w:val="20"/>
              </w:rPr>
            </w:pPr>
            <w:r w:rsidRPr="00744B4D">
              <w:rPr>
                <w:sz w:val="20"/>
                <w:szCs w:val="20"/>
              </w:rPr>
              <w:t xml:space="preserve">0,16                 (1 </w:t>
            </w:r>
            <w:proofErr w:type="spellStart"/>
            <w:r w:rsidRPr="00744B4D">
              <w:rPr>
                <w:sz w:val="20"/>
                <w:szCs w:val="20"/>
              </w:rPr>
              <w:t>persėd</w:t>
            </w:r>
            <w:proofErr w:type="spellEnd"/>
            <w:r>
              <w:rPr>
                <w:sz w:val="20"/>
                <w:szCs w:val="20"/>
              </w:rPr>
              <w:t>.</w:t>
            </w:r>
            <w:r w:rsidRPr="00744B4D">
              <w:rPr>
                <w:sz w:val="20"/>
                <w:szCs w:val="20"/>
              </w:rPr>
              <w:t>)</w:t>
            </w:r>
          </w:p>
        </w:tc>
      </w:tr>
      <w:tr w:rsidR="00992306" w:rsidRPr="00744B4D" w14:paraId="0D52BBCA" w14:textId="77777777" w:rsidTr="003959DF">
        <w:trPr>
          <w:trHeight w:val="751"/>
        </w:trPr>
        <w:tc>
          <w:tcPr>
            <w:tcW w:w="1838" w:type="dxa"/>
            <w:shd w:val="clear" w:color="auto" w:fill="FFFFFF" w:themeFill="background1"/>
            <w:tcMar>
              <w:top w:w="15" w:type="dxa"/>
              <w:left w:w="68" w:type="dxa"/>
              <w:bottom w:w="0" w:type="dxa"/>
              <w:right w:w="68" w:type="dxa"/>
            </w:tcMar>
            <w:vAlign w:val="center"/>
            <w:hideMark/>
          </w:tcPr>
          <w:p w14:paraId="5A51C2DA" w14:textId="77777777" w:rsidR="00811CF9" w:rsidRPr="00744B4D" w:rsidRDefault="00811CF9" w:rsidP="00811CF9">
            <w:pPr>
              <w:rPr>
                <w:sz w:val="20"/>
                <w:szCs w:val="20"/>
              </w:rPr>
            </w:pPr>
            <w:r w:rsidRPr="00744B4D">
              <w:rPr>
                <w:b/>
                <w:bCs/>
                <w:sz w:val="20"/>
                <w:szCs w:val="20"/>
              </w:rPr>
              <w:t>Vienkartinis popierinis bilietas (su QR kodu įsigyjamas autobuse / kitose platinimo vietose)</w:t>
            </w:r>
          </w:p>
        </w:tc>
        <w:tc>
          <w:tcPr>
            <w:tcW w:w="567" w:type="dxa"/>
            <w:shd w:val="clear" w:color="auto" w:fill="FFFFFF" w:themeFill="background1"/>
            <w:tcMar>
              <w:top w:w="15" w:type="dxa"/>
              <w:left w:w="68" w:type="dxa"/>
              <w:bottom w:w="0" w:type="dxa"/>
              <w:right w:w="68" w:type="dxa"/>
            </w:tcMar>
            <w:vAlign w:val="center"/>
            <w:hideMark/>
          </w:tcPr>
          <w:p w14:paraId="0DAD0F99" w14:textId="77777777" w:rsidR="00811CF9" w:rsidRPr="00744B4D" w:rsidRDefault="00811CF9" w:rsidP="00811CF9">
            <w:pPr>
              <w:jc w:val="center"/>
              <w:rPr>
                <w:sz w:val="20"/>
                <w:szCs w:val="20"/>
              </w:rPr>
            </w:pPr>
            <w:r w:rsidRPr="00744B4D">
              <w:rPr>
                <w:sz w:val="20"/>
                <w:szCs w:val="20"/>
              </w:rPr>
              <w:t>0%</w:t>
            </w:r>
          </w:p>
        </w:tc>
        <w:tc>
          <w:tcPr>
            <w:tcW w:w="620" w:type="dxa"/>
            <w:shd w:val="clear" w:color="auto" w:fill="FFFFFF" w:themeFill="background1"/>
            <w:tcMar>
              <w:top w:w="15" w:type="dxa"/>
              <w:left w:w="68" w:type="dxa"/>
              <w:bottom w:w="0" w:type="dxa"/>
              <w:right w:w="68" w:type="dxa"/>
            </w:tcMar>
            <w:vAlign w:val="center"/>
            <w:hideMark/>
          </w:tcPr>
          <w:p w14:paraId="433C115C" w14:textId="77777777" w:rsidR="00811CF9" w:rsidRPr="00744B4D" w:rsidRDefault="00811CF9" w:rsidP="00811CF9">
            <w:pPr>
              <w:jc w:val="center"/>
              <w:rPr>
                <w:sz w:val="20"/>
                <w:szCs w:val="20"/>
              </w:rPr>
            </w:pPr>
            <w:r w:rsidRPr="00744B4D">
              <w:rPr>
                <w:b/>
                <w:bCs/>
                <w:sz w:val="20"/>
                <w:szCs w:val="20"/>
              </w:rPr>
              <w:t>1,00</w:t>
            </w:r>
          </w:p>
        </w:tc>
        <w:tc>
          <w:tcPr>
            <w:tcW w:w="1565" w:type="dxa"/>
            <w:shd w:val="clear" w:color="auto" w:fill="FFFFFF" w:themeFill="background1"/>
            <w:tcMar>
              <w:top w:w="15" w:type="dxa"/>
              <w:left w:w="68" w:type="dxa"/>
              <w:bottom w:w="0" w:type="dxa"/>
              <w:right w:w="68" w:type="dxa"/>
            </w:tcMar>
            <w:vAlign w:val="center"/>
            <w:hideMark/>
          </w:tcPr>
          <w:p w14:paraId="7272D9C6" w14:textId="77777777" w:rsidR="00811CF9" w:rsidRPr="00744B4D" w:rsidRDefault="00811CF9" w:rsidP="00811CF9">
            <w:pPr>
              <w:jc w:val="center"/>
              <w:rPr>
                <w:sz w:val="20"/>
                <w:szCs w:val="20"/>
              </w:rPr>
            </w:pPr>
            <w:r w:rsidRPr="00744B4D">
              <w:rPr>
                <w:b/>
                <w:bCs/>
                <w:sz w:val="20"/>
                <w:szCs w:val="20"/>
              </w:rPr>
              <w:t>1,50 **</w:t>
            </w:r>
          </w:p>
        </w:tc>
        <w:tc>
          <w:tcPr>
            <w:tcW w:w="928" w:type="dxa"/>
            <w:shd w:val="clear" w:color="auto" w:fill="FFFFFF" w:themeFill="background1"/>
            <w:tcMar>
              <w:top w:w="15" w:type="dxa"/>
              <w:left w:w="68" w:type="dxa"/>
              <w:bottom w:w="0" w:type="dxa"/>
              <w:right w:w="68" w:type="dxa"/>
            </w:tcMar>
            <w:vAlign w:val="center"/>
            <w:hideMark/>
          </w:tcPr>
          <w:p w14:paraId="3B197B97" w14:textId="77777777" w:rsidR="00811CF9" w:rsidRPr="00744B4D" w:rsidRDefault="006A5E1F" w:rsidP="00811CF9">
            <w:pPr>
              <w:jc w:val="center"/>
              <w:rPr>
                <w:sz w:val="20"/>
                <w:szCs w:val="20"/>
              </w:rPr>
            </w:pPr>
            <w:r>
              <w:rPr>
                <w:sz w:val="20"/>
                <w:szCs w:val="20"/>
              </w:rPr>
              <w:t>5</w:t>
            </w:r>
            <w:r w:rsidR="00811CF9" w:rsidRPr="00744B4D">
              <w:rPr>
                <w:sz w:val="20"/>
                <w:szCs w:val="20"/>
              </w:rPr>
              <w:t>0%</w:t>
            </w:r>
          </w:p>
        </w:tc>
        <w:tc>
          <w:tcPr>
            <w:tcW w:w="680" w:type="dxa"/>
            <w:shd w:val="clear" w:color="auto" w:fill="FFFFFF" w:themeFill="background1"/>
            <w:tcMar>
              <w:top w:w="15" w:type="dxa"/>
              <w:left w:w="68" w:type="dxa"/>
              <w:bottom w:w="0" w:type="dxa"/>
              <w:right w:w="68" w:type="dxa"/>
            </w:tcMar>
            <w:vAlign w:val="center"/>
            <w:hideMark/>
          </w:tcPr>
          <w:p w14:paraId="5BA710AB" w14:textId="77777777" w:rsidR="00811CF9" w:rsidRPr="00744B4D" w:rsidRDefault="00811CF9" w:rsidP="00811CF9">
            <w:pPr>
              <w:jc w:val="center"/>
              <w:rPr>
                <w:sz w:val="20"/>
                <w:szCs w:val="20"/>
              </w:rPr>
            </w:pPr>
            <w:r w:rsidRPr="00744B4D">
              <w:rPr>
                <w:sz w:val="20"/>
                <w:szCs w:val="20"/>
              </w:rPr>
              <w:t>nėra</w:t>
            </w:r>
          </w:p>
        </w:tc>
        <w:tc>
          <w:tcPr>
            <w:tcW w:w="998" w:type="dxa"/>
            <w:shd w:val="clear" w:color="auto" w:fill="FFFFFF" w:themeFill="background1"/>
            <w:tcMar>
              <w:top w:w="15" w:type="dxa"/>
              <w:left w:w="68" w:type="dxa"/>
              <w:bottom w:w="0" w:type="dxa"/>
              <w:right w:w="68" w:type="dxa"/>
            </w:tcMar>
            <w:vAlign w:val="center"/>
            <w:hideMark/>
          </w:tcPr>
          <w:p w14:paraId="33374E88" w14:textId="77777777" w:rsidR="00811CF9" w:rsidRPr="00744B4D" w:rsidRDefault="00811CF9" w:rsidP="00811CF9">
            <w:pPr>
              <w:jc w:val="center"/>
              <w:rPr>
                <w:sz w:val="20"/>
                <w:szCs w:val="20"/>
              </w:rPr>
            </w:pPr>
            <w:r w:rsidRPr="00744B4D">
              <w:rPr>
                <w:sz w:val="20"/>
                <w:szCs w:val="20"/>
              </w:rPr>
              <w:t>1,00</w:t>
            </w:r>
          </w:p>
        </w:tc>
        <w:tc>
          <w:tcPr>
            <w:tcW w:w="904" w:type="dxa"/>
            <w:shd w:val="clear" w:color="auto" w:fill="FFFFFF" w:themeFill="background1"/>
            <w:tcMar>
              <w:top w:w="15" w:type="dxa"/>
              <w:left w:w="68" w:type="dxa"/>
              <w:bottom w:w="0" w:type="dxa"/>
              <w:right w:w="68" w:type="dxa"/>
            </w:tcMar>
            <w:vAlign w:val="center"/>
            <w:hideMark/>
          </w:tcPr>
          <w:p w14:paraId="6BCC8C26" w14:textId="77777777" w:rsidR="00811CF9" w:rsidRPr="00744B4D" w:rsidRDefault="00811CF9" w:rsidP="00811CF9">
            <w:pPr>
              <w:jc w:val="center"/>
              <w:rPr>
                <w:sz w:val="20"/>
                <w:szCs w:val="20"/>
              </w:rPr>
            </w:pPr>
            <w:r w:rsidRPr="00744B4D">
              <w:rPr>
                <w:sz w:val="20"/>
                <w:szCs w:val="20"/>
              </w:rPr>
              <w:t>1,50</w:t>
            </w:r>
          </w:p>
        </w:tc>
        <w:tc>
          <w:tcPr>
            <w:tcW w:w="998" w:type="dxa"/>
            <w:shd w:val="clear" w:color="auto" w:fill="FFFFFF" w:themeFill="background1"/>
            <w:tcMar>
              <w:top w:w="15" w:type="dxa"/>
              <w:left w:w="68" w:type="dxa"/>
              <w:bottom w:w="0" w:type="dxa"/>
              <w:right w:w="68" w:type="dxa"/>
            </w:tcMar>
            <w:vAlign w:val="center"/>
            <w:hideMark/>
          </w:tcPr>
          <w:p w14:paraId="2129785B" w14:textId="77777777" w:rsidR="00811CF9" w:rsidRPr="00744B4D" w:rsidRDefault="00811CF9" w:rsidP="00811CF9">
            <w:pPr>
              <w:jc w:val="center"/>
              <w:rPr>
                <w:sz w:val="20"/>
                <w:szCs w:val="20"/>
              </w:rPr>
            </w:pPr>
            <w:r w:rsidRPr="00744B4D">
              <w:rPr>
                <w:sz w:val="20"/>
                <w:szCs w:val="20"/>
              </w:rPr>
              <w:t>1,50</w:t>
            </w:r>
          </w:p>
        </w:tc>
        <w:tc>
          <w:tcPr>
            <w:tcW w:w="820" w:type="dxa"/>
            <w:shd w:val="clear" w:color="auto" w:fill="FFFFFF" w:themeFill="background1"/>
            <w:tcMar>
              <w:top w:w="15" w:type="dxa"/>
              <w:left w:w="68" w:type="dxa"/>
              <w:bottom w:w="0" w:type="dxa"/>
              <w:right w:w="68" w:type="dxa"/>
            </w:tcMar>
            <w:vAlign w:val="center"/>
            <w:hideMark/>
          </w:tcPr>
          <w:p w14:paraId="4EFAF9EC" w14:textId="77777777" w:rsidR="00811CF9" w:rsidRPr="00744B4D" w:rsidRDefault="00811CF9" w:rsidP="00811CF9">
            <w:pPr>
              <w:jc w:val="center"/>
              <w:rPr>
                <w:sz w:val="20"/>
                <w:szCs w:val="20"/>
              </w:rPr>
            </w:pPr>
            <w:r w:rsidRPr="00744B4D">
              <w:rPr>
                <w:sz w:val="20"/>
                <w:szCs w:val="20"/>
              </w:rPr>
              <w:t>1,00</w:t>
            </w:r>
          </w:p>
        </w:tc>
      </w:tr>
      <w:tr w:rsidR="00992306" w:rsidRPr="00744B4D" w14:paraId="1BC6E80D" w14:textId="77777777" w:rsidTr="003959DF">
        <w:trPr>
          <w:trHeight w:val="751"/>
        </w:trPr>
        <w:tc>
          <w:tcPr>
            <w:tcW w:w="1838" w:type="dxa"/>
            <w:shd w:val="clear" w:color="auto" w:fill="FFFFFF" w:themeFill="background1"/>
            <w:tcMar>
              <w:top w:w="15" w:type="dxa"/>
              <w:left w:w="68" w:type="dxa"/>
              <w:bottom w:w="0" w:type="dxa"/>
              <w:right w:w="68" w:type="dxa"/>
            </w:tcMar>
            <w:vAlign w:val="center"/>
            <w:hideMark/>
          </w:tcPr>
          <w:p w14:paraId="39FADAD2" w14:textId="77777777" w:rsidR="00811CF9" w:rsidRPr="00744B4D" w:rsidRDefault="00811CF9" w:rsidP="00811CF9">
            <w:pPr>
              <w:rPr>
                <w:sz w:val="20"/>
                <w:szCs w:val="20"/>
              </w:rPr>
            </w:pPr>
            <w:r w:rsidRPr="00744B4D">
              <w:rPr>
                <w:b/>
                <w:bCs/>
                <w:sz w:val="20"/>
                <w:szCs w:val="20"/>
              </w:rPr>
              <w:t>Vienkartinis popierinis bilietas su QR kodu įsigyjamas autobuse / kitose platinimo vietose)</w:t>
            </w:r>
          </w:p>
        </w:tc>
        <w:tc>
          <w:tcPr>
            <w:tcW w:w="567" w:type="dxa"/>
            <w:shd w:val="clear" w:color="auto" w:fill="FFFFFF" w:themeFill="background1"/>
            <w:tcMar>
              <w:top w:w="15" w:type="dxa"/>
              <w:left w:w="68" w:type="dxa"/>
              <w:bottom w:w="0" w:type="dxa"/>
              <w:right w:w="68" w:type="dxa"/>
            </w:tcMar>
            <w:vAlign w:val="center"/>
            <w:hideMark/>
          </w:tcPr>
          <w:p w14:paraId="67A98B18" w14:textId="77777777" w:rsidR="00811CF9" w:rsidRPr="00744B4D" w:rsidRDefault="00811CF9" w:rsidP="00811CF9">
            <w:pPr>
              <w:jc w:val="center"/>
              <w:rPr>
                <w:sz w:val="20"/>
                <w:szCs w:val="20"/>
              </w:rPr>
            </w:pPr>
            <w:r w:rsidRPr="00744B4D">
              <w:rPr>
                <w:sz w:val="20"/>
                <w:szCs w:val="20"/>
              </w:rPr>
              <w:t>50%</w:t>
            </w:r>
          </w:p>
        </w:tc>
        <w:tc>
          <w:tcPr>
            <w:tcW w:w="620" w:type="dxa"/>
            <w:shd w:val="clear" w:color="auto" w:fill="FFFFFF" w:themeFill="background1"/>
            <w:tcMar>
              <w:top w:w="15" w:type="dxa"/>
              <w:left w:w="68" w:type="dxa"/>
              <w:bottom w:w="0" w:type="dxa"/>
              <w:right w:w="68" w:type="dxa"/>
            </w:tcMar>
            <w:vAlign w:val="center"/>
            <w:hideMark/>
          </w:tcPr>
          <w:p w14:paraId="6E4A0BA1" w14:textId="77777777" w:rsidR="00811CF9" w:rsidRPr="00744B4D" w:rsidRDefault="00811CF9" w:rsidP="00811CF9">
            <w:pPr>
              <w:jc w:val="center"/>
              <w:rPr>
                <w:sz w:val="20"/>
                <w:szCs w:val="20"/>
              </w:rPr>
            </w:pPr>
            <w:r w:rsidRPr="00744B4D">
              <w:rPr>
                <w:b/>
                <w:bCs/>
                <w:sz w:val="20"/>
                <w:szCs w:val="20"/>
              </w:rPr>
              <w:t>0,50</w:t>
            </w:r>
          </w:p>
        </w:tc>
        <w:tc>
          <w:tcPr>
            <w:tcW w:w="1565" w:type="dxa"/>
            <w:shd w:val="clear" w:color="auto" w:fill="FFFFFF" w:themeFill="background1"/>
            <w:tcMar>
              <w:top w:w="15" w:type="dxa"/>
              <w:left w:w="68" w:type="dxa"/>
              <w:bottom w:w="0" w:type="dxa"/>
              <w:right w:w="68" w:type="dxa"/>
            </w:tcMar>
            <w:vAlign w:val="center"/>
            <w:hideMark/>
          </w:tcPr>
          <w:p w14:paraId="29AD1F9E" w14:textId="77777777" w:rsidR="00811CF9" w:rsidRPr="00744B4D" w:rsidRDefault="00811CF9" w:rsidP="00811CF9">
            <w:pPr>
              <w:jc w:val="center"/>
              <w:rPr>
                <w:sz w:val="20"/>
                <w:szCs w:val="20"/>
              </w:rPr>
            </w:pPr>
            <w:r w:rsidRPr="00744B4D">
              <w:rPr>
                <w:b/>
                <w:bCs/>
                <w:sz w:val="20"/>
                <w:szCs w:val="20"/>
              </w:rPr>
              <w:t>0,75 **</w:t>
            </w:r>
          </w:p>
        </w:tc>
        <w:tc>
          <w:tcPr>
            <w:tcW w:w="928" w:type="dxa"/>
            <w:shd w:val="clear" w:color="auto" w:fill="FFFFFF" w:themeFill="background1"/>
            <w:tcMar>
              <w:top w:w="15" w:type="dxa"/>
              <w:left w:w="68" w:type="dxa"/>
              <w:bottom w:w="0" w:type="dxa"/>
              <w:right w:w="68" w:type="dxa"/>
            </w:tcMar>
            <w:vAlign w:val="center"/>
            <w:hideMark/>
          </w:tcPr>
          <w:p w14:paraId="71A2BB40" w14:textId="77777777" w:rsidR="00811CF9" w:rsidRPr="00744B4D" w:rsidRDefault="006A5E1F" w:rsidP="00811CF9">
            <w:pPr>
              <w:jc w:val="center"/>
              <w:rPr>
                <w:sz w:val="20"/>
                <w:szCs w:val="20"/>
              </w:rPr>
            </w:pPr>
            <w:r>
              <w:rPr>
                <w:sz w:val="20"/>
                <w:szCs w:val="20"/>
              </w:rPr>
              <w:t>5</w:t>
            </w:r>
            <w:r w:rsidR="00811CF9" w:rsidRPr="00744B4D">
              <w:rPr>
                <w:sz w:val="20"/>
                <w:szCs w:val="20"/>
              </w:rPr>
              <w:t>0%</w:t>
            </w:r>
          </w:p>
        </w:tc>
        <w:tc>
          <w:tcPr>
            <w:tcW w:w="680" w:type="dxa"/>
            <w:shd w:val="clear" w:color="auto" w:fill="FFFFFF" w:themeFill="background1"/>
            <w:tcMar>
              <w:top w:w="15" w:type="dxa"/>
              <w:left w:w="68" w:type="dxa"/>
              <w:bottom w:w="0" w:type="dxa"/>
              <w:right w:w="68" w:type="dxa"/>
            </w:tcMar>
            <w:vAlign w:val="center"/>
            <w:hideMark/>
          </w:tcPr>
          <w:p w14:paraId="0AF671B3" w14:textId="77777777" w:rsidR="00811CF9" w:rsidRPr="00744B4D" w:rsidRDefault="00811CF9" w:rsidP="00811CF9">
            <w:pPr>
              <w:jc w:val="center"/>
              <w:rPr>
                <w:sz w:val="20"/>
                <w:szCs w:val="20"/>
              </w:rPr>
            </w:pPr>
            <w:r w:rsidRPr="00744B4D">
              <w:rPr>
                <w:sz w:val="20"/>
                <w:szCs w:val="20"/>
              </w:rPr>
              <w:t>nėra</w:t>
            </w:r>
          </w:p>
        </w:tc>
        <w:tc>
          <w:tcPr>
            <w:tcW w:w="998" w:type="dxa"/>
            <w:shd w:val="clear" w:color="auto" w:fill="FFFFFF" w:themeFill="background1"/>
            <w:tcMar>
              <w:top w:w="15" w:type="dxa"/>
              <w:left w:w="68" w:type="dxa"/>
              <w:bottom w:w="0" w:type="dxa"/>
              <w:right w:w="68" w:type="dxa"/>
            </w:tcMar>
            <w:vAlign w:val="center"/>
            <w:hideMark/>
          </w:tcPr>
          <w:p w14:paraId="2B74A5CA" w14:textId="77777777" w:rsidR="00811CF9" w:rsidRPr="00744B4D" w:rsidRDefault="00811CF9" w:rsidP="00811CF9">
            <w:pPr>
              <w:jc w:val="center"/>
              <w:rPr>
                <w:sz w:val="20"/>
                <w:szCs w:val="20"/>
              </w:rPr>
            </w:pPr>
            <w:r w:rsidRPr="00744B4D">
              <w:rPr>
                <w:sz w:val="20"/>
                <w:szCs w:val="20"/>
              </w:rPr>
              <w:t>0,50</w:t>
            </w:r>
          </w:p>
        </w:tc>
        <w:tc>
          <w:tcPr>
            <w:tcW w:w="904" w:type="dxa"/>
            <w:shd w:val="clear" w:color="auto" w:fill="FFFFFF" w:themeFill="background1"/>
            <w:tcMar>
              <w:top w:w="15" w:type="dxa"/>
              <w:left w:w="68" w:type="dxa"/>
              <w:bottom w:w="0" w:type="dxa"/>
              <w:right w:w="68" w:type="dxa"/>
            </w:tcMar>
            <w:vAlign w:val="center"/>
            <w:hideMark/>
          </w:tcPr>
          <w:p w14:paraId="3508EDFB" w14:textId="77777777" w:rsidR="00811CF9" w:rsidRPr="00744B4D" w:rsidRDefault="00811CF9" w:rsidP="00811CF9">
            <w:pPr>
              <w:jc w:val="center"/>
              <w:rPr>
                <w:sz w:val="20"/>
                <w:szCs w:val="20"/>
              </w:rPr>
            </w:pPr>
            <w:r w:rsidRPr="00744B4D">
              <w:rPr>
                <w:sz w:val="20"/>
                <w:szCs w:val="20"/>
              </w:rPr>
              <w:t>0,75</w:t>
            </w:r>
          </w:p>
        </w:tc>
        <w:tc>
          <w:tcPr>
            <w:tcW w:w="998" w:type="dxa"/>
            <w:shd w:val="clear" w:color="auto" w:fill="FFFFFF" w:themeFill="background1"/>
            <w:tcMar>
              <w:top w:w="15" w:type="dxa"/>
              <w:left w:w="68" w:type="dxa"/>
              <w:bottom w:w="0" w:type="dxa"/>
              <w:right w:w="68" w:type="dxa"/>
            </w:tcMar>
            <w:vAlign w:val="center"/>
            <w:hideMark/>
          </w:tcPr>
          <w:p w14:paraId="329E877B" w14:textId="77777777" w:rsidR="00811CF9" w:rsidRPr="00744B4D" w:rsidRDefault="00811CF9" w:rsidP="00811CF9">
            <w:pPr>
              <w:jc w:val="center"/>
              <w:rPr>
                <w:sz w:val="20"/>
                <w:szCs w:val="20"/>
              </w:rPr>
            </w:pPr>
            <w:r w:rsidRPr="00744B4D">
              <w:rPr>
                <w:sz w:val="20"/>
                <w:szCs w:val="20"/>
              </w:rPr>
              <w:t>0,75</w:t>
            </w:r>
          </w:p>
        </w:tc>
        <w:tc>
          <w:tcPr>
            <w:tcW w:w="820" w:type="dxa"/>
            <w:shd w:val="clear" w:color="auto" w:fill="FFFFFF" w:themeFill="background1"/>
            <w:tcMar>
              <w:top w:w="15" w:type="dxa"/>
              <w:left w:w="68" w:type="dxa"/>
              <w:bottom w:w="0" w:type="dxa"/>
              <w:right w:w="68" w:type="dxa"/>
            </w:tcMar>
            <w:vAlign w:val="center"/>
            <w:hideMark/>
          </w:tcPr>
          <w:p w14:paraId="06C05699" w14:textId="77777777" w:rsidR="00811CF9" w:rsidRPr="00744B4D" w:rsidRDefault="00811CF9" w:rsidP="00811CF9">
            <w:pPr>
              <w:jc w:val="center"/>
              <w:rPr>
                <w:sz w:val="20"/>
                <w:szCs w:val="20"/>
              </w:rPr>
            </w:pPr>
            <w:r w:rsidRPr="00744B4D">
              <w:rPr>
                <w:sz w:val="20"/>
                <w:szCs w:val="20"/>
              </w:rPr>
              <w:t>0,50</w:t>
            </w:r>
          </w:p>
        </w:tc>
      </w:tr>
      <w:tr w:rsidR="00992306" w:rsidRPr="00744B4D" w14:paraId="3B602EB7" w14:textId="77777777" w:rsidTr="003959DF">
        <w:trPr>
          <w:trHeight w:val="751"/>
        </w:trPr>
        <w:tc>
          <w:tcPr>
            <w:tcW w:w="1838" w:type="dxa"/>
            <w:shd w:val="clear" w:color="auto" w:fill="FFFFFF" w:themeFill="background1"/>
            <w:tcMar>
              <w:top w:w="15" w:type="dxa"/>
              <w:left w:w="68" w:type="dxa"/>
              <w:bottom w:w="0" w:type="dxa"/>
              <w:right w:w="68" w:type="dxa"/>
            </w:tcMar>
            <w:vAlign w:val="center"/>
            <w:hideMark/>
          </w:tcPr>
          <w:p w14:paraId="38C1049A" w14:textId="77777777" w:rsidR="00811CF9" w:rsidRPr="00744B4D" w:rsidRDefault="00811CF9" w:rsidP="00811CF9">
            <w:pPr>
              <w:rPr>
                <w:sz w:val="20"/>
                <w:szCs w:val="20"/>
              </w:rPr>
            </w:pPr>
            <w:r w:rsidRPr="00744B4D">
              <w:rPr>
                <w:b/>
                <w:bCs/>
                <w:sz w:val="20"/>
                <w:szCs w:val="20"/>
              </w:rPr>
              <w:t>Vienkartinis popierinis bilietas su QR kodu įsigyjamas autobuse / kitose platinimo vietose)</w:t>
            </w:r>
          </w:p>
        </w:tc>
        <w:tc>
          <w:tcPr>
            <w:tcW w:w="567" w:type="dxa"/>
            <w:shd w:val="clear" w:color="auto" w:fill="FFFFFF" w:themeFill="background1"/>
            <w:tcMar>
              <w:top w:w="15" w:type="dxa"/>
              <w:left w:w="68" w:type="dxa"/>
              <w:bottom w:w="0" w:type="dxa"/>
              <w:right w:w="68" w:type="dxa"/>
            </w:tcMar>
            <w:vAlign w:val="center"/>
            <w:hideMark/>
          </w:tcPr>
          <w:p w14:paraId="5FDA6587" w14:textId="77777777" w:rsidR="00811CF9" w:rsidRPr="00744B4D" w:rsidRDefault="00811CF9" w:rsidP="00811CF9">
            <w:pPr>
              <w:jc w:val="center"/>
              <w:rPr>
                <w:sz w:val="20"/>
                <w:szCs w:val="20"/>
              </w:rPr>
            </w:pPr>
            <w:r w:rsidRPr="00744B4D">
              <w:rPr>
                <w:sz w:val="20"/>
                <w:szCs w:val="20"/>
              </w:rPr>
              <w:t>80%</w:t>
            </w:r>
          </w:p>
        </w:tc>
        <w:tc>
          <w:tcPr>
            <w:tcW w:w="620" w:type="dxa"/>
            <w:shd w:val="clear" w:color="auto" w:fill="FFFFFF" w:themeFill="background1"/>
            <w:tcMar>
              <w:top w:w="15" w:type="dxa"/>
              <w:left w:w="68" w:type="dxa"/>
              <w:bottom w:w="0" w:type="dxa"/>
              <w:right w:w="68" w:type="dxa"/>
            </w:tcMar>
            <w:vAlign w:val="center"/>
            <w:hideMark/>
          </w:tcPr>
          <w:p w14:paraId="5875E739" w14:textId="77777777" w:rsidR="00811CF9" w:rsidRPr="00744B4D" w:rsidRDefault="00811CF9" w:rsidP="00811CF9">
            <w:pPr>
              <w:jc w:val="center"/>
              <w:rPr>
                <w:sz w:val="20"/>
                <w:szCs w:val="20"/>
              </w:rPr>
            </w:pPr>
            <w:r w:rsidRPr="00744B4D">
              <w:rPr>
                <w:b/>
                <w:bCs/>
                <w:sz w:val="20"/>
                <w:szCs w:val="20"/>
              </w:rPr>
              <w:t>0,20</w:t>
            </w:r>
          </w:p>
        </w:tc>
        <w:tc>
          <w:tcPr>
            <w:tcW w:w="1565" w:type="dxa"/>
            <w:shd w:val="clear" w:color="auto" w:fill="FFFFFF" w:themeFill="background1"/>
            <w:tcMar>
              <w:top w:w="15" w:type="dxa"/>
              <w:left w:w="68" w:type="dxa"/>
              <w:bottom w:w="0" w:type="dxa"/>
              <w:right w:w="68" w:type="dxa"/>
            </w:tcMar>
            <w:vAlign w:val="center"/>
            <w:hideMark/>
          </w:tcPr>
          <w:p w14:paraId="3E346739" w14:textId="77777777" w:rsidR="00811CF9" w:rsidRPr="00744B4D" w:rsidRDefault="00811CF9" w:rsidP="00811CF9">
            <w:pPr>
              <w:jc w:val="center"/>
              <w:rPr>
                <w:sz w:val="20"/>
                <w:szCs w:val="20"/>
              </w:rPr>
            </w:pPr>
            <w:r w:rsidRPr="00744B4D">
              <w:rPr>
                <w:b/>
                <w:bCs/>
                <w:sz w:val="20"/>
                <w:szCs w:val="20"/>
              </w:rPr>
              <w:t>0,30 **</w:t>
            </w:r>
          </w:p>
        </w:tc>
        <w:tc>
          <w:tcPr>
            <w:tcW w:w="928" w:type="dxa"/>
            <w:shd w:val="clear" w:color="auto" w:fill="FFFFFF" w:themeFill="background1"/>
            <w:tcMar>
              <w:top w:w="15" w:type="dxa"/>
              <w:left w:w="68" w:type="dxa"/>
              <w:bottom w:w="0" w:type="dxa"/>
              <w:right w:w="68" w:type="dxa"/>
            </w:tcMar>
            <w:vAlign w:val="center"/>
            <w:hideMark/>
          </w:tcPr>
          <w:p w14:paraId="7B68D6A9" w14:textId="77777777" w:rsidR="00811CF9" w:rsidRPr="00744B4D" w:rsidRDefault="006A5E1F" w:rsidP="00811CF9">
            <w:pPr>
              <w:jc w:val="center"/>
              <w:rPr>
                <w:sz w:val="20"/>
                <w:szCs w:val="20"/>
              </w:rPr>
            </w:pPr>
            <w:r>
              <w:rPr>
                <w:sz w:val="20"/>
                <w:szCs w:val="20"/>
              </w:rPr>
              <w:t>5</w:t>
            </w:r>
            <w:r w:rsidR="00811CF9" w:rsidRPr="00744B4D">
              <w:rPr>
                <w:sz w:val="20"/>
                <w:szCs w:val="20"/>
              </w:rPr>
              <w:t>0%</w:t>
            </w:r>
          </w:p>
        </w:tc>
        <w:tc>
          <w:tcPr>
            <w:tcW w:w="680" w:type="dxa"/>
            <w:shd w:val="clear" w:color="auto" w:fill="FFFFFF" w:themeFill="background1"/>
            <w:tcMar>
              <w:top w:w="15" w:type="dxa"/>
              <w:left w:w="68" w:type="dxa"/>
              <w:bottom w:w="0" w:type="dxa"/>
              <w:right w:w="68" w:type="dxa"/>
            </w:tcMar>
            <w:vAlign w:val="center"/>
            <w:hideMark/>
          </w:tcPr>
          <w:p w14:paraId="00001340" w14:textId="77777777" w:rsidR="00811CF9" w:rsidRPr="00744B4D" w:rsidRDefault="00811CF9" w:rsidP="00811CF9">
            <w:pPr>
              <w:jc w:val="center"/>
              <w:rPr>
                <w:sz w:val="20"/>
                <w:szCs w:val="20"/>
              </w:rPr>
            </w:pPr>
            <w:r w:rsidRPr="00744B4D">
              <w:rPr>
                <w:sz w:val="20"/>
                <w:szCs w:val="20"/>
              </w:rPr>
              <w:t>nėra</w:t>
            </w:r>
          </w:p>
        </w:tc>
        <w:tc>
          <w:tcPr>
            <w:tcW w:w="998" w:type="dxa"/>
            <w:shd w:val="clear" w:color="auto" w:fill="FFFFFF" w:themeFill="background1"/>
            <w:tcMar>
              <w:top w:w="15" w:type="dxa"/>
              <w:left w:w="68" w:type="dxa"/>
              <w:bottom w:w="0" w:type="dxa"/>
              <w:right w:w="68" w:type="dxa"/>
            </w:tcMar>
            <w:vAlign w:val="center"/>
            <w:hideMark/>
          </w:tcPr>
          <w:p w14:paraId="1DEF297C" w14:textId="77777777" w:rsidR="00811CF9" w:rsidRPr="00744B4D" w:rsidRDefault="00811CF9" w:rsidP="00811CF9">
            <w:pPr>
              <w:jc w:val="center"/>
              <w:rPr>
                <w:sz w:val="20"/>
                <w:szCs w:val="20"/>
              </w:rPr>
            </w:pPr>
            <w:r w:rsidRPr="00744B4D">
              <w:rPr>
                <w:sz w:val="20"/>
                <w:szCs w:val="20"/>
              </w:rPr>
              <w:t>0,20</w:t>
            </w:r>
          </w:p>
        </w:tc>
        <w:tc>
          <w:tcPr>
            <w:tcW w:w="904" w:type="dxa"/>
            <w:shd w:val="clear" w:color="auto" w:fill="FFFFFF" w:themeFill="background1"/>
            <w:tcMar>
              <w:top w:w="15" w:type="dxa"/>
              <w:left w:w="68" w:type="dxa"/>
              <w:bottom w:w="0" w:type="dxa"/>
              <w:right w:w="68" w:type="dxa"/>
            </w:tcMar>
            <w:vAlign w:val="center"/>
            <w:hideMark/>
          </w:tcPr>
          <w:p w14:paraId="7B174C77" w14:textId="77777777" w:rsidR="00811CF9" w:rsidRPr="00744B4D" w:rsidRDefault="00811CF9" w:rsidP="00811CF9">
            <w:pPr>
              <w:jc w:val="center"/>
              <w:rPr>
                <w:sz w:val="20"/>
                <w:szCs w:val="20"/>
              </w:rPr>
            </w:pPr>
            <w:r w:rsidRPr="00744B4D">
              <w:rPr>
                <w:sz w:val="20"/>
                <w:szCs w:val="20"/>
              </w:rPr>
              <w:t>0,30</w:t>
            </w:r>
          </w:p>
        </w:tc>
        <w:tc>
          <w:tcPr>
            <w:tcW w:w="998" w:type="dxa"/>
            <w:shd w:val="clear" w:color="auto" w:fill="FFFFFF" w:themeFill="background1"/>
            <w:tcMar>
              <w:top w:w="15" w:type="dxa"/>
              <w:left w:w="68" w:type="dxa"/>
              <w:bottom w:w="0" w:type="dxa"/>
              <w:right w:w="68" w:type="dxa"/>
            </w:tcMar>
            <w:vAlign w:val="center"/>
            <w:hideMark/>
          </w:tcPr>
          <w:p w14:paraId="47DD77BA" w14:textId="77777777" w:rsidR="00811CF9" w:rsidRPr="00744B4D" w:rsidRDefault="00811CF9" w:rsidP="00811CF9">
            <w:pPr>
              <w:jc w:val="center"/>
              <w:rPr>
                <w:sz w:val="20"/>
                <w:szCs w:val="20"/>
              </w:rPr>
            </w:pPr>
            <w:r w:rsidRPr="00744B4D">
              <w:rPr>
                <w:sz w:val="20"/>
                <w:szCs w:val="20"/>
              </w:rPr>
              <w:t>0,30</w:t>
            </w:r>
          </w:p>
        </w:tc>
        <w:tc>
          <w:tcPr>
            <w:tcW w:w="820" w:type="dxa"/>
            <w:shd w:val="clear" w:color="auto" w:fill="FFFFFF" w:themeFill="background1"/>
            <w:tcMar>
              <w:top w:w="15" w:type="dxa"/>
              <w:left w:w="68" w:type="dxa"/>
              <w:bottom w:w="0" w:type="dxa"/>
              <w:right w:w="68" w:type="dxa"/>
            </w:tcMar>
            <w:vAlign w:val="center"/>
            <w:hideMark/>
          </w:tcPr>
          <w:p w14:paraId="1646F636" w14:textId="77777777" w:rsidR="00811CF9" w:rsidRPr="00744B4D" w:rsidRDefault="00811CF9" w:rsidP="00811CF9">
            <w:pPr>
              <w:jc w:val="center"/>
              <w:rPr>
                <w:sz w:val="20"/>
                <w:szCs w:val="20"/>
              </w:rPr>
            </w:pPr>
            <w:r w:rsidRPr="00744B4D">
              <w:rPr>
                <w:sz w:val="20"/>
                <w:szCs w:val="20"/>
              </w:rPr>
              <w:t>0,20</w:t>
            </w:r>
          </w:p>
        </w:tc>
      </w:tr>
      <w:tr w:rsidR="00992306" w:rsidRPr="00744B4D" w14:paraId="0C759E9E" w14:textId="77777777" w:rsidTr="003959DF">
        <w:trPr>
          <w:trHeight w:val="362"/>
        </w:trPr>
        <w:tc>
          <w:tcPr>
            <w:tcW w:w="1838" w:type="dxa"/>
            <w:shd w:val="clear" w:color="auto" w:fill="FFFFFF" w:themeFill="background1"/>
            <w:tcMar>
              <w:top w:w="15" w:type="dxa"/>
              <w:left w:w="68" w:type="dxa"/>
              <w:bottom w:w="0" w:type="dxa"/>
              <w:right w:w="68" w:type="dxa"/>
            </w:tcMar>
            <w:vAlign w:val="center"/>
            <w:hideMark/>
          </w:tcPr>
          <w:p w14:paraId="73ECE5B0" w14:textId="77777777" w:rsidR="00811CF9" w:rsidRPr="00744B4D" w:rsidRDefault="00811CF9" w:rsidP="00811CF9">
            <w:pPr>
              <w:rPr>
                <w:sz w:val="20"/>
                <w:szCs w:val="20"/>
              </w:rPr>
            </w:pPr>
            <w:r w:rsidRPr="00744B4D">
              <w:rPr>
                <w:b/>
                <w:bCs/>
                <w:sz w:val="20"/>
                <w:szCs w:val="20"/>
              </w:rPr>
              <w:t>Dienos elektroninis bilietas</w:t>
            </w:r>
          </w:p>
        </w:tc>
        <w:tc>
          <w:tcPr>
            <w:tcW w:w="567" w:type="dxa"/>
            <w:shd w:val="clear" w:color="auto" w:fill="FFFFFF" w:themeFill="background1"/>
            <w:tcMar>
              <w:top w:w="15" w:type="dxa"/>
              <w:left w:w="68" w:type="dxa"/>
              <w:bottom w:w="0" w:type="dxa"/>
              <w:right w:w="68" w:type="dxa"/>
            </w:tcMar>
            <w:vAlign w:val="center"/>
            <w:hideMark/>
          </w:tcPr>
          <w:p w14:paraId="62348E84" w14:textId="77777777" w:rsidR="00811CF9" w:rsidRPr="00744B4D" w:rsidRDefault="00811CF9" w:rsidP="00811CF9">
            <w:pPr>
              <w:jc w:val="center"/>
              <w:rPr>
                <w:sz w:val="20"/>
                <w:szCs w:val="20"/>
              </w:rPr>
            </w:pPr>
            <w:r w:rsidRPr="00744B4D">
              <w:rPr>
                <w:sz w:val="20"/>
                <w:szCs w:val="20"/>
              </w:rPr>
              <w:t>0%</w:t>
            </w:r>
          </w:p>
        </w:tc>
        <w:tc>
          <w:tcPr>
            <w:tcW w:w="620" w:type="dxa"/>
            <w:shd w:val="clear" w:color="auto" w:fill="FFFFFF" w:themeFill="background1"/>
            <w:tcMar>
              <w:top w:w="15" w:type="dxa"/>
              <w:left w:w="68" w:type="dxa"/>
              <w:bottom w:w="0" w:type="dxa"/>
              <w:right w:w="68" w:type="dxa"/>
            </w:tcMar>
            <w:vAlign w:val="center"/>
            <w:hideMark/>
          </w:tcPr>
          <w:p w14:paraId="154C4848" w14:textId="77777777" w:rsidR="00811CF9" w:rsidRPr="00744B4D" w:rsidRDefault="00811CF9" w:rsidP="00811CF9">
            <w:pPr>
              <w:jc w:val="center"/>
              <w:rPr>
                <w:sz w:val="20"/>
                <w:szCs w:val="20"/>
              </w:rPr>
            </w:pPr>
            <w:r w:rsidRPr="00744B4D">
              <w:rPr>
                <w:b/>
                <w:bCs/>
                <w:sz w:val="20"/>
                <w:szCs w:val="20"/>
              </w:rPr>
              <w:t>1,40</w:t>
            </w:r>
          </w:p>
        </w:tc>
        <w:tc>
          <w:tcPr>
            <w:tcW w:w="1565" w:type="dxa"/>
            <w:shd w:val="clear" w:color="auto" w:fill="FFFFFF" w:themeFill="background1"/>
            <w:tcMar>
              <w:top w:w="15" w:type="dxa"/>
              <w:left w:w="68" w:type="dxa"/>
              <w:bottom w:w="0" w:type="dxa"/>
              <w:right w:w="68" w:type="dxa"/>
            </w:tcMar>
            <w:vAlign w:val="center"/>
            <w:hideMark/>
          </w:tcPr>
          <w:p w14:paraId="2A7D9BF8" w14:textId="77777777" w:rsidR="00811CF9" w:rsidRPr="00744B4D" w:rsidRDefault="00811CF9" w:rsidP="00811CF9">
            <w:pPr>
              <w:jc w:val="center"/>
              <w:rPr>
                <w:sz w:val="20"/>
                <w:szCs w:val="20"/>
              </w:rPr>
            </w:pPr>
            <w:r w:rsidRPr="00744B4D">
              <w:rPr>
                <w:b/>
                <w:bCs/>
                <w:sz w:val="20"/>
                <w:szCs w:val="20"/>
              </w:rPr>
              <w:t>2,00</w:t>
            </w:r>
          </w:p>
        </w:tc>
        <w:tc>
          <w:tcPr>
            <w:tcW w:w="928" w:type="dxa"/>
            <w:shd w:val="clear" w:color="auto" w:fill="FFFFFF" w:themeFill="background1"/>
            <w:tcMar>
              <w:top w:w="15" w:type="dxa"/>
              <w:left w:w="68" w:type="dxa"/>
              <w:bottom w:w="0" w:type="dxa"/>
              <w:right w:w="68" w:type="dxa"/>
            </w:tcMar>
            <w:vAlign w:val="center"/>
            <w:hideMark/>
          </w:tcPr>
          <w:p w14:paraId="2FD53A35" w14:textId="77777777" w:rsidR="00811CF9" w:rsidRPr="00744B4D" w:rsidRDefault="00811CF9" w:rsidP="00811CF9">
            <w:pPr>
              <w:jc w:val="center"/>
              <w:rPr>
                <w:sz w:val="20"/>
                <w:szCs w:val="20"/>
              </w:rPr>
            </w:pPr>
            <w:r w:rsidRPr="00744B4D">
              <w:rPr>
                <w:sz w:val="20"/>
                <w:szCs w:val="20"/>
              </w:rPr>
              <w:t>42,</w:t>
            </w:r>
            <w:r w:rsidR="006A5E1F">
              <w:rPr>
                <w:sz w:val="20"/>
                <w:szCs w:val="20"/>
              </w:rPr>
              <w:t>9</w:t>
            </w:r>
            <w:r w:rsidRPr="00744B4D">
              <w:rPr>
                <w:sz w:val="20"/>
                <w:szCs w:val="20"/>
              </w:rPr>
              <w:t>%</w:t>
            </w:r>
          </w:p>
        </w:tc>
        <w:tc>
          <w:tcPr>
            <w:tcW w:w="680" w:type="dxa"/>
            <w:shd w:val="clear" w:color="auto" w:fill="FFFFFF" w:themeFill="background1"/>
            <w:tcMar>
              <w:top w:w="15" w:type="dxa"/>
              <w:left w:w="68" w:type="dxa"/>
              <w:bottom w:w="0" w:type="dxa"/>
              <w:right w:w="68" w:type="dxa"/>
            </w:tcMar>
            <w:vAlign w:val="center"/>
            <w:hideMark/>
          </w:tcPr>
          <w:p w14:paraId="2226D72D" w14:textId="77777777" w:rsidR="00811CF9" w:rsidRPr="00744B4D" w:rsidRDefault="00811CF9" w:rsidP="00811CF9">
            <w:pPr>
              <w:jc w:val="center"/>
              <w:rPr>
                <w:sz w:val="20"/>
                <w:szCs w:val="20"/>
              </w:rPr>
            </w:pPr>
            <w:r w:rsidRPr="00744B4D">
              <w:rPr>
                <w:sz w:val="20"/>
                <w:szCs w:val="20"/>
              </w:rPr>
              <w:t>7,50</w:t>
            </w:r>
          </w:p>
        </w:tc>
        <w:tc>
          <w:tcPr>
            <w:tcW w:w="998" w:type="dxa"/>
            <w:shd w:val="clear" w:color="auto" w:fill="FFFFFF" w:themeFill="background1"/>
            <w:tcMar>
              <w:top w:w="15" w:type="dxa"/>
              <w:left w:w="68" w:type="dxa"/>
              <w:bottom w:w="0" w:type="dxa"/>
              <w:right w:w="68" w:type="dxa"/>
            </w:tcMar>
            <w:vAlign w:val="center"/>
            <w:hideMark/>
          </w:tcPr>
          <w:p w14:paraId="47199D9B" w14:textId="77777777" w:rsidR="00811CF9" w:rsidRPr="00744B4D" w:rsidRDefault="00811CF9" w:rsidP="00811CF9">
            <w:pPr>
              <w:jc w:val="center"/>
              <w:rPr>
                <w:sz w:val="20"/>
                <w:szCs w:val="20"/>
              </w:rPr>
            </w:pPr>
            <w:r w:rsidRPr="00744B4D">
              <w:rPr>
                <w:sz w:val="20"/>
                <w:szCs w:val="20"/>
              </w:rPr>
              <w:t>nėra</w:t>
            </w:r>
          </w:p>
        </w:tc>
        <w:tc>
          <w:tcPr>
            <w:tcW w:w="904" w:type="dxa"/>
            <w:shd w:val="clear" w:color="auto" w:fill="FFFFFF" w:themeFill="background1"/>
            <w:tcMar>
              <w:top w:w="15" w:type="dxa"/>
              <w:left w:w="68" w:type="dxa"/>
              <w:bottom w:w="0" w:type="dxa"/>
              <w:right w:w="68" w:type="dxa"/>
            </w:tcMar>
            <w:vAlign w:val="center"/>
            <w:hideMark/>
          </w:tcPr>
          <w:p w14:paraId="3CC02F5B" w14:textId="77777777" w:rsidR="00811CF9" w:rsidRPr="00744B4D" w:rsidRDefault="00811CF9" w:rsidP="00811CF9">
            <w:pPr>
              <w:jc w:val="center"/>
              <w:rPr>
                <w:sz w:val="20"/>
                <w:szCs w:val="20"/>
              </w:rPr>
            </w:pPr>
            <w:r w:rsidRPr="00744B4D">
              <w:rPr>
                <w:sz w:val="20"/>
                <w:szCs w:val="20"/>
              </w:rPr>
              <w:t>3,00</w:t>
            </w:r>
          </w:p>
        </w:tc>
        <w:tc>
          <w:tcPr>
            <w:tcW w:w="998" w:type="dxa"/>
            <w:shd w:val="clear" w:color="auto" w:fill="FFFFFF" w:themeFill="background1"/>
            <w:tcMar>
              <w:top w:w="15" w:type="dxa"/>
              <w:left w:w="68" w:type="dxa"/>
              <w:bottom w:w="0" w:type="dxa"/>
              <w:right w:w="68" w:type="dxa"/>
            </w:tcMar>
            <w:vAlign w:val="center"/>
            <w:hideMark/>
          </w:tcPr>
          <w:p w14:paraId="33E58D0D" w14:textId="77777777" w:rsidR="00811CF9" w:rsidRPr="00744B4D" w:rsidRDefault="00811CF9" w:rsidP="00811CF9">
            <w:pPr>
              <w:jc w:val="center"/>
              <w:rPr>
                <w:sz w:val="20"/>
                <w:szCs w:val="20"/>
              </w:rPr>
            </w:pPr>
            <w:r w:rsidRPr="00744B4D">
              <w:rPr>
                <w:sz w:val="20"/>
                <w:szCs w:val="20"/>
              </w:rPr>
              <w:t>3,00</w:t>
            </w:r>
          </w:p>
        </w:tc>
        <w:tc>
          <w:tcPr>
            <w:tcW w:w="820" w:type="dxa"/>
            <w:shd w:val="clear" w:color="auto" w:fill="FFFFFF" w:themeFill="background1"/>
            <w:tcMar>
              <w:top w:w="15" w:type="dxa"/>
              <w:left w:w="68" w:type="dxa"/>
              <w:bottom w:w="0" w:type="dxa"/>
              <w:right w:w="68" w:type="dxa"/>
            </w:tcMar>
            <w:vAlign w:val="center"/>
            <w:hideMark/>
          </w:tcPr>
          <w:p w14:paraId="08610125" w14:textId="77777777" w:rsidR="00811CF9" w:rsidRPr="00744B4D" w:rsidRDefault="00811CF9" w:rsidP="00811CF9">
            <w:pPr>
              <w:jc w:val="center"/>
              <w:rPr>
                <w:sz w:val="20"/>
                <w:szCs w:val="20"/>
              </w:rPr>
            </w:pPr>
            <w:r w:rsidRPr="00744B4D">
              <w:rPr>
                <w:sz w:val="20"/>
                <w:szCs w:val="20"/>
              </w:rPr>
              <w:t>nėra</w:t>
            </w:r>
          </w:p>
        </w:tc>
      </w:tr>
      <w:tr w:rsidR="00992306" w:rsidRPr="00744B4D" w14:paraId="42F14CE4" w14:textId="77777777" w:rsidTr="003959DF">
        <w:trPr>
          <w:trHeight w:val="362"/>
        </w:trPr>
        <w:tc>
          <w:tcPr>
            <w:tcW w:w="1838" w:type="dxa"/>
            <w:shd w:val="clear" w:color="auto" w:fill="FFFFFF" w:themeFill="background1"/>
            <w:tcMar>
              <w:top w:w="15" w:type="dxa"/>
              <w:left w:w="68" w:type="dxa"/>
              <w:bottom w:w="0" w:type="dxa"/>
              <w:right w:w="68" w:type="dxa"/>
            </w:tcMar>
            <w:vAlign w:val="center"/>
            <w:hideMark/>
          </w:tcPr>
          <w:p w14:paraId="1752D364" w14:textId="77777777" w:rsidR="00811CF9" w:rsidRPr="00744B4D" w:rsidRDefault="00811CF9" w:rsidP="00811CF9">
            <w:pPr>
              <w:rPr>
                <w:sz w:val="20"/>
                <w:szCs w:val="20"/>
              </w:rPr>
            </w:pPr>
            <w:r w:rsidRPr="00744B4D">
              <w:rPr>
                <w:b/>
                <w:bCs/>
                <w:sz w:val="20"/>
                <w:szCs w:val="20"/>
              </w:rPr>
              <w:t>Dienos elektroninis bilietas</w:t>
            </w:r>
          </w:p>
        </w:tc>
        <w:tc>
          <w:tcPr>
            <w:tcW w:w="567" w:type="dxa"/>
            <w:shd w:val="clear" w:color="auto" w:fill="FFFFFF" w:themeFill="background1"/>
            <w:tcMar>
              <w:top w:w="15" w:type="dxa"/>
              <w:left w:w="68" w:type="dxa"/>
              <w:bottom w:w="0" w:type="dxa"/>
              <w:right w:w="68" w:type="dxa"/>
            </w:tcMar>
            <w:vAlign w:val="center"/>
            <w:hideMark/>
          </w:tcPr>
          <w:p w14:paraId="5F845B73" w14:textId="77777777" w:rsidR="00811CF9" w:rsidRPr="00744B4D" w:rsidRDefault="00811CF9" w:rsidP="00811CF9">
            <w:pPr>
              <w:jc w:val="center"/>
              <w:rPr>
                <w:sz w:val="20"/>
                <w:szCs w:val="20"/>
              </w:rPr>
            </w:pPr>
            <w:r w:rsidRPr="00744B4D">
              <w:rPr>
                <w:sz w:val="20"/>
                <w:szCs w:val="20"/>
              </w:rPr>
              <w:t>50%</w:t>
            </w:r>
          </w:p>
        </w:tc>
        <w:tc>
          <w:tcPr>
            <w:tcW w:w="620" w:type="dxa"/>
            <w:shd w:val="clear" w:color="auto" w:fill="FFFFFF" w:themeFill="background1"/>
            <w:tcMar>
              <w:top w:w="15" w:type="dxa"/>
              <w:left w:w="68" w:type="dxa"/>
              <w:bottom w:w="0" w:type="dxa"/>
              <w:right w:w="68" w:type="dxa"/>
            </w:tcMar>
            <w:vAlign w:val="center"/>
            <w:hideMark/>
          </w:tcPr>
          <w:p w14:paraId="73B5267D" w14:textId="77777777" w:rsidR="00811CF9" w:rsidRPr="00744B4D" w:rsidRDefault="00811CF9" w:rsidP="00811CF9">
            <w:pPr>
              <w:jc w:val="center"/>
              <w:rPr>
                <w:sz w:val="20"/>
                <w:szCs w:val="20"/>
              </w:rPr>
            </w:pPr>
            <w:r w:rsidRPr="00744B4D">
              <w:rPr>
                <w:b/>
                <w:bCs/>
                <w:sz w:val="20"/>
                <w:szCs w:val="20"/>
              </w:rPr>
              <w:t>0,70</w:t>
            </w:r>
          </w:p>
        </w:tc>
        <w:tc>
          <w:tcPr>
            <w:tcW w:w="1565" w:type="dxa"/>
            <w:shd w:val="clear" w:color="auto" w:fill="FFFFFF" w:themeFill="background1"/>
            <w:tcMar>
              <w:top w:w="15" w:type="dxa"/>
              <w:left w:w="68" w:type="dxa"/>
              <w:bottom w:w="0" w:type="dxa"/>
              <w:right w:w="68" w:type="dxa"/>
            </w:tcMar>
            <w:vAlign w:val="center"/>
            <w:hideMark/>
          </w:tcPr>
          <w:p w14:paraId="07926FD7" w14:textId="77777777" w:rsidR="00811CF9" w:rsidRPr="00744B4D" w:rsidRDefault="00811CF9" w:rsidP="00811CF9">
            <w:pPr>
              <w:jc w:val="center"/>
              <w:rPr>
                <w:sz w:val="20"/>
                <w:szCs w:val="20"/>
              </w:rPr>
            </w:pPr>
            <w:r w:rsidRPr="00744B4D">
              <w:rPr>
                <w:b/>
                <w:bCs/>
                <w:sz w:val="20"/>
                <w:szCs w:val="20"/>
              </w:rPr>
              <w:t>1,00</w:t>
            </w:r>
          </w:p>
        </w:tc>
        <w:tc>
          <w:tcPr>
            <w:tcW w:w="928" w:type="dxa"/>
            <w:shd w:val="clear" w:color="auto" w:fill="FFFFFF" w:themeFill="background1"/>
            <w:tcMar>
              <w:top w:w="15" w:type="dxa"/>
              <w:left w:w="68" w:type="dxa"/>
              <w:bottom w:w="0" w:type="dxa"/>
              <w:right w:w="68" w:type="dxa"/>
            </w:tcMar>
            <w:vAlign w:val="center"/>
            <w:hideMark/>
          </w:tcPr>
          <w:p w14:paraId="17D94A46" w14:textId="77777777" w:rsidR="00811CF9" w:rsidRPr="00744B4D" w:rsidRDefault="00811CF9" w:rsidP="00811CF9">
            <w:pPr>
              <w:jc w:val="center"/>
              <w:rPr>
                <w:sz w:val="20"/>
                <w:szCs w:val="20"/>
              </w:rPr>
            </w:pPr>
            <w:r w:rsidRPr="00744B4D">
              <w:rPr>
                <w:sz w:val="20"/>
                <w:szCs w:val="20"/>
              </w:rPr>
              <w:t>4</w:t>
            </w:r>
            <w:r w:rsidR="006A5E1F">
              <w:rPr>
                <w:sz w:val="20"/>
                <w:szCs w:val="20"/>
              </w:rPr>
              <w:t>2,9</w:t>
            </w:r>
            <w:r w:rsidRPr="00744B4D">
              <w:rPr>
                <w:sz w:val="20"/>
                <w:szCs w:val="20"/>
              </w:rPr>
              <w:t>%</w:t>
            </w:r>
          </w:p>
        </w:tc>
        <w:tc>
          <w:tcPr>
            <w:tcW w:w="680" w:type="dxa"/>
            <w:shd w:val="clear" w:color="auto" w:fill="FFFFFF" w:themeFill="background1"/>
            <w:tcMar>
              <w:top w:w="15" w:type="dxa"/>
              <w:left w:w="68" w:type="dxa"/>
              <w:bottom w:w="0" w:type="dxa"/>
              <w:right w:w="68" w:type="dxa"/>
            </w:tcMar>
            <w:vAlign w:val="center"/>
            <w:hideMark/>
          </w:tcPr>
          <w:p w14:paraId="060317A1" w14:textId="77777777" w:rsidR="00811CF9" w:rsidRPr="00744B4D" w:rsidRDefault="00811CF9" w:rsidP="00811CF9">
            <w:pPr>
              <w:jc w:val="center"/>
              <w:rPr>
                <w:sz w:val="20"/>
                <w:szCs w:val="20"/>
              </w:rPr>
            </w:pPr>
            <w:r w:rsidRPr="00744B4D">
              <w:rPr>
                <w:sz w:val="20"/>
                <w:szCs w:val="20"/>
              </w:rPr>
              <w:t>3,75</w:t>
            </w:r>
          </w:p>
        </w:tc>
        <w:tc>
          <w:tcPr>
            <w:tcW w:w="998" w:type="dxa"/>
            <w:shd w:val="clear" w:color="auto" w:fill="FFFFFF" w:themeFill="background1"/>
            <w:tcMar>
              <w:top w:w="15" w:type="dxa"/>
              <w:left w:w="68" w:type="dxa"/>
              <w:bottom w:w="0" w:type="dxa"/>
              <w:right w:w="68" w:type="dxa"/>
            </w:tcMar>
            <w:vAlign w:val="center"/>
            <w:hideMark/>
          </w:tcPr>
          <w:p w14:paraId="3FAE37CE" w14:textId="77777777" w:rsidR="00811CF9" w:rsidRPr="00744B4D" w:rsidRDefault="00811CF9" w:rsidP="00811CF9">
            <w:pPr>
              <w:jc w:val="center"/>
              <w:rPr>
                <w:sz w:val="20"/>
                <w:szCs w:val="20"/>
              </w:rPr>
            </w:pPr>
            <w:r w:rsidRPr="00744B4D">
              <w:rPr>
                <w:sz w:val="20"/>
                <w:szCs w:val="20"/>
              </w:rPr>
              <w:t>nėra</w:t>
            </w:r>
          </w:p>
        </w:tc>
        <w:tc>
          <w:tcPr>
            <w:tcW w:w="904" w:type="dxa"/>
            <w:shd w:val="clear" w:color="auto" w:fill="FFFFFF" w:themeFill="background1"/>
            <w:tcMar>
              <w:top w:w="15" w:type="dxa"/>
              <w:left w:w="68" w:type="dxa"/>
              <w:bottom w:w="0" w:type="dxa"/>
              <w:right w:w="68" w:type="dxa"/>
            </w:tcMar>
            <w:vAlign w:val="center"/>
            <w:hideMark/>
          </w:tcPr>
          <w:p w14:paraId="199FBC25" w14:textId="77777777" w:rsidR="00811CF9" w:rsidRPr="00744B4D" w:rsidRDefault="00811CF9" w:rsidP="00811CF9">
            <w:pPr>
              <w:jc w:val="center"/>
              <w:rPr>
                <w:sz w:val="20"/>
                <w:szCs w:val="20"/>
              </w:rPr>
            </w:pPr>
            <w:r w:rsidRPr="00744B4D">
              <w:rPr>
                <w:sz w:val="20"/>
                <w:szCs w:val="20"/>
              </w:rPr>
              <w:t>1,50</w:t>
            </w:r>
          </w:p>
        </w:tc>
        <w:tc>
          <w:tcPr>
            <w:tcW w:w="998" w:type="dxa"/>
            <w:shd w:val="clear" w:color="auto" w:fill="FFFFFF" w:themeFill="background1"/>
            <w:tcMar>
              <w:top w:w="15" w:type="dxa"/>
              <w:left w:w="68" w:type="dxa"/>
              <w:bottom w:w="0" w:type="dxa"/>
              <w:right w:w="68" w:type="dxa"/>
            </w:tcMar>
            <w:vAlign w:val="center"/>
            <w:hideMark/>
          </w:tcPr>
          <w:p w14:paraId="200196E8" w14:textId="77777777" w:rsidR="00811CF9" w:rsidRPr="00744B4D" w:rsidRDefault="00811CF9" w:rsidP="00811CF9">
            <w:pPr>
              <w:jc w:val="center"/>
              <w:rPr>
                <w:sz w:val="20"/>
                <w:szCs w:val="20"/>
              </w:rPr>
            </w:pPr>
            <w:r w:rsidRPr="00744B4D">
              <w:rPr>
                <w:sz w:val="20"/>
                <w:szCs w:val="20"/>
              </w:rPr>
              <w:t>1,50</w:t>
            </w:r>
          </w:p>
        </w:tc>
        <w:tc>
          <w:tcPr>
            <w:tcW w:w="820" w:type="dxa"/>
            <w:shd w:val="clear" w:color="auto" w:fill="FFFFFF" w:themeFill="background1"/>
            <w:tcMar>
              <w:top w:w="15" w:type="dxa"/>
              <w:left w:w="68" w:type="dxa"/>
              <w:bottom w:w="0" w:type="dxa"/>
              <w:right w:w="68" w:type="dxa"/>
            </w:tcMar>
            <w:vAlign w:val="center"/>
            <w:hideMark/>
          </w:tcPr>
          <w:p w14:paraId="78071659" w14:textId="77777777" w:rsidR="00811CF9" w:rsidRPr="00744B4D" w:rsidRDefault="00811CF9" w:rsidP="00811CF9">
            <w:pPr>
              <w:jc w:val="center"/>
              <w:rPr>
                <w:sz w:val="20"/>
                <w:szCs w:val="20"/>
              </w:rPr>
            </w:pPr>
            <w:r w:rsidRPr="00744B4D">
              <w:rPr>
                <w:sz w:val="20"/>
                <w:szCs w:val="20"/>
              </w:rPr>
              <w:t>nėra</w:t>
            </w:r>
          </w:p>
        </w:tc>
      </w:tr>
      <w:tr w:rsidR="004D0A97" w:rsidRPr="00744B4D" w14:paraId="538E3338" w14:textId="77777777" w:rsidTr="003959DF">
        <w:trPr>
          <w:trHeight w:val="362"/>
        </w:trPr>
        <w:tc>
          <w:tcPr>
            <w:tcW w:w="1838" w:type="dxa"/>
            <w:shd w:val="clear" w:color="auto" w:fill="FFFFFF" w:themeFill="background1"/>
            <w:tcMar>
              <w:top w:w="15" w:type="dxa"/>
              <w:left w:w="68" w:type="dxa"/>
              <w:bottom w:w="0" w:type="dxa"/>
              <w:right w:w="68" w:type="dxa"/>
            </w:tcMar>
            <w:vAlign w:val="center"/>
          </w:tcPr>
          <w:p w14:paraId="3E1FAAB5" w14:textId="77777777" w:rsidR="004D0A97" w:rsidRPr="00744B4D" w:rsidRDefault="004D0A97" w:rsidP="004D0A97">
            <w:pPr>
              <w:rPr>
                <w:b/>
                <w:bCs/>
                <w:sz w:val="20"/>
                <w:szCs w:val="20"/>
              </w:rPr>
            </w:pPr>
            <w:r w:rsidRPr="00744B4D">
              <w:rPr>
                <w:b/>
                <w:bCs/>
                <w:sz w:val="20"/>
                <w:szCs w:val="20"/>
              </w:rPr>
              <w:t>Dienos elektroninis bilietas</w:t>
            </w:r>
          </w:p>
        </w:tc>
        <w:tc>
          <w:tcPr>
            <w:tcW w:w="567" w:type="dxa"/>
            <w:shd w:val="clear" w:color="auto" w:fill="FFFFFF" w:themeFill="background1"/>
            <w:tcMar>
              <w:top w:w="15" w:type="dxa"/>
              <w:left w:w="68" w:type="dxa"/>
              <w:bottom w:w="0" w:type="dxa"/>
              <w:right w:w="68" w:type="dxa"/>
            </w:tcMar>
            <w:vAlign w:val="center"/>
          </w:tcPr>
          <w:p w14:paraId="5FE4C076" w14:textId="77777777" w:rsidR="004D0A97" w:rsidRPr="00744B4D" w:rsidRDefault="004D0A97" w:rsidP="004D0A97">
            <w:pPr>
              <w:jc w:val="center"/>
              <w:rPr>
                <w:sz w:val="20"/>
                <w:szCs w:val="20"/>
              </w:rPr>
            </w:pPr>
            <w:r>
              <w:rPr>
                <w:sz w:val="20"/>
                <w:szCs w:val="20"/>
              </w:rPr>
              <w:t>8</w:t>
            </w:r>
            <w:r w:rsidRPr="00744B4D">
              <w:rPr>
                <w:sz w:val="20"/>
                <w:szCs w:val="20"/>
              </w:rPr>
              <w:t>0%</w:t>
            </w:r>
          </w:p>
        </w:tc>
        <w:tc>
          <w:tcPr>
            <w:tcW w:w="620" w:type="dxa"/>
            <w:shd w:val="clear" w:color="auto" w:fill="FFFFFF" w:themeFill="background1"/>
            <w:tcMar>
              <w:top w:w="15" w:type="dxa"/>
              <w:left w:w="68" w:type="dxa"/>
              <w:bottom w:w="0" w:type="dxa"/>
              <w:right w:w="68" w:type="dxa"/>
            </w:tcMar>
            <w:vAlign w:val="center"/>
          </w:tcPr>
          <w:p w14:paraId="65B85F7C" w14:textId="77777777" w:rsidR="004D0A97" w:rsidRPr="00744B4D" w:rsidRDefault="004D0A97" w:rsidP="004D0A97">
            <w:pPr>
              <w:jc w:val="center"/>
              <w:rPr>
                <w:b/>
                <w:bCs/>
                <w:sz w:val="20"/>
                <w:szCs w:val="20"/>
              </w:rPr>
            </w:pPr>
            <w:r w:rsidRPr="00744B4D">
              <w:rPr>
                <w:b/>
                <w:bCs/>
                <w:sz w:val="20"/>
                <w:szCs w:val="20"/>
              </w:rPr>
              <w:t>0,</w:t>
            </w:r>
            <w:r>
              <w:rPr>
                <w:b/>
                <w:bCs/>
                <w:sz w:val="20"/>
                <w:szCs w:val="20"/>
              </w:rPr>
              <w:t>28</w:t>
            </w:r>
          </w:p>
        </w:tc>
        <w:tc>
          <w:tcPr>
            <w:tcW w:w="1565" w:type="dxa"/>
            <w:shd w:val="clear" w:color="auto" w:fill="FFFFFF" w:themeFill="background1"/>
            <w:tcMar>
              <w:top w:w="15" w:type="dxa"/>
              <w:left w:w="68" w:type="dxa"/>
              <w:bottom w:w="0" w:type="dxa"/>
              <w:right w:w="68" w:type="dxa"/>
            </w:tcMar>
            <w:vAlign w:val="center"/>
          </w:tcPr>
          <w:p w14:paraId="6D33F21C" w14:textId="77777777" w:rsidR="004D0A97" w:rsidRPr="00744B4D" w:rsidRDefault="004D0A97" w:rsidP="004D0A97">
            <w:pPr>
              <w:jc w:val="center"/>
              <w:rPr>
                <w:b/>
                <w:bCs/>
                <w:sz w:val="20"/>
                <w:szCs w:val="20"/>
              </w:rPr>
            </w:pPr>
            <w:r>
              <w:rPr>
                <w:b/>
                <w:bCs/>
                <w:sz w:val="20"/>
                <w:szCs w:val="20"/>
              </w:rPr>
              <w:t>0,40</w:t>
            </w:r>
          </w:p>
        </w:tc>
        <w:tc>
          <w:tcPr>
            <w:tcW w:w="928" w:type="dxa"/>
            <w:shd w:val="clear" w:color="auto" w:fill="FFFFFF" w:themeFill="background1"/>
            <w:tcMar>
              <w:top w:w="15" w:type="dxa"/>
              <w:left w:w="68" w:type="dxa"/>
              <w:bottom w:w="0" w:type="dxa"/>
              <w:right w:w="68" w:type="dxa"/>
            </w:tcMar>
            <w:vAlign w:val="center"/>
          </w:tcPr>
          <w:p w14:paraId="7CDC02BF" w14:textId="77777777" w:rsidR="004D0A97" w:rsidRPr="00744B4D" w:rsidRDefault="004D0A97" w:rsidP="004D0A97">
            <w:pPr>
              <w:jc w:val="center"/>
              <w:rPr>
                <w:sz w:val="20"/>
                <w:szCs w:val="20"/>
              </w:rPr>
            </w:pPr>
            <w:r>
              <w:rPr>
                <w:sz w:val="20"/>
                <w:szCs w:val="20"/>
              </w:rPr>
              <w:t>42,9</w:t>
            </w:r>
            <w:r w:rsidRPr="00744B4D">
              <w:rPr>
                <w:sz w:val="20"/>
                <w:szCs w:val="20"/>
              </w:rPr>
              <w:t>%</w:t>
            </w:r>
          </w:p>
        </w:tc>
        <w:tc>
          <w:tcPr>
            <w:tcW w:w="680" w:type="dxa"/>
            <w:shd w:val="clear" w:color="auto" w:fill="FFFFFF" w:themeFill="background1"/>
            <w:tcMar>
              <w:top w:w="15" w:type="dxa"/>
              <w:left w:w="68" w:type="dxa"/>
              <w:bottom w:w="0" w:type="dxa"/>
              <w:right w:w="68" w:type="dxa"/>
            </w:tcMar>
            <w:vAlign w:val="center"/>
          </w:tcPr>
          <w:p w14:paraId="1F624CDB" w14:textId="77777777" w:rsidR="004D0A97" w:rsidRPr="00744B4D" w:rsidRDefault="004D0A97" w:rsidP="004D0A97">
            <w:pPr>
              <w:jc w:val="center"/>
              <w:rPr>
                <w:sz w:val="20"/>
                <w:szCs w:val="20"/>
              </w:rPr>
            </w:pPr>
            <w:r>
              <w:rPr>
                <w:sz w:val="20"/>
                <w:szCs w:val="20"/>
              </w:rPr>
              <w:t>1,50</w:t>
            </w:r>
          </w:p>
        </w:tc>
        <w:tc>
          <w:tcPr>
            <w:tcW w:w="998" w:type="dxa"/>
            <w:shd w:val="clear" w:color="auto" w:fill="FFFFFF" w:themeFill="background1"/>
            <w:tcMar>
              <w:top w:w="15" w:type="dxa"/>
              <w:left w:w="68" w:type="dxa"/>
              <w:bottom w:w="0" w:type="dxa"/>
              <w:right w:w="68" w:type="dxa"/>
            </w:tcMar>
            <w:vAlign w:val="center"/>
          </w:tcPr>
          <w:p w14:paraId="192B1D97" w14:textId="77777777" w:rsidR="004D0A97" w:rsidRPr="00744B4D" w:rsidRDefault="004D0A97" w:rsidP="004D0A97">
            <w:pPr>
              <w:jc w:val="center"/>
              <w:rPr>
                <w:sz w:val="20"/>
                <w:szCs w:val="20"/>
              </w:rPr>
            </w:pPr>
            <w:r w:rsidRPr="00744B4D">
              <w:rPr>
                <w:sz w:val="20"/>
                <w:szCs w:val="20"/>
              </w:rPr>
              <w:t>nėra</w:t>
            </w:r>
          </w:p>
        </w:tc>
        <w:tc>
          <w:tcPr>
            <w:tcW w:w="904" w:type="dxa"/>
            <w:shd w:val="clear" w:color="auto" w:fill="FFFFFF" w:themeFill="background1"/>
            <w:tcMar>
              <w:top w:w="15" w:type="dxa"/>
              <w:left w:w="68" w:type="dxa"/>
              <w:bottom w:w="0" w:type="dxa"/>
              <w:right w:w="68" w:type="dxa"/>
            </w:tcMar>
            <w:vAlign w:val="center"/>
          </w:tcPr>
          <w:p w14:paraId="261AEDE4" w14:textId="77777777" w:rsidR="004D0A97" w:rsidRPr="00744B4D" w:rsidRDefault="004D0A97" w:rsidP="004D0A97">
            <w:pPr>
              <w:jc w:val="center"/>
              <w:rPr>
                <w:sz w:val="20"/>
                <w:szCs w:val="20"/>
              </w:rPr>
            </w:pPr>
            <w:r>
              <w:rPr>
                <w:sz w:val="20"/>
                <w:szCs w:val="20"/>
              </w:rPr>
              <w:t>0,60</w:t>
            </w:r>
          </w:p>
        </w:tc>
        <w:tc>
          <w:tcPr>
            <w:tcW w:w="998" w:type="dxa"/>
            <w:shd w:val="clear" w:color="auto" w:fill="FFFFFF" w:themeFill="background1"/>
            <w:tcMar>
              <w:top w:w="15" w:type="dxa"/>
              <w:left w:w="68" w:type="dxa"/>
              <w:bottom w:w="0" w:type="dxa"/>
              <w:right w:w="68" w:type="dxa"/>
            </w:tcMar>
            <w:vAlign w:val="center"/>
          </w:tcPr>
          <w:p w14:paraId="72251AF8" w14:textId="77777777" w:rsidR="004D0A97" w:rsidRPr="00744B4D" w:rsidRDefault="004D0A97" w:rsidP="004D0A97">
            <w:pPr>
              <w:jc w:val="center"/>
              <w:rPr>
                <w:sz w:val="20"/>
                <w:szCs w:val="20"/>
              </w:rPr>
            </w:pPr>
            <w:r>
              <w:rPr>
                <w:sz w:val="20"/>
                <w:szCs w:val="20"/>
              </w:rPr>
              <w:t>0,60</w:t>
            </w:r>
          </w:p>
        </w:tc>
        <w:tc>
          <w:tcPr>
            <w:tcW w:w="820" w:type="dxa"/>
            <w:shd w:val="clear" w:color="auto" w:fill="FFFFFF" w:themeFill="background1"/>
            <w:tcMar>
              <w:top w:w="15" w:type="dxa"/>
              <w:left w:w="68" w:type="dxa"/>
              <w:bottom w:w="0" w:type="dxa"/>
              <w:right w:w="68" w:type="dxa"/>
            </w:tcMar>
            <w:vAlign w:val="center"/>
          </w:tcPr>
          <w:p w14:paraId="14887F74" w14:textId="77777777" w:rsidR="004D0A97" w:rsidRPr="00744B4D" w:rsidRDefault="004D0A97" w:rsidP="004D0A97">
            <w:pPr>
              <w:jc w:val="center"/>
              <w:rPr>
                <w:sz w:val="20"/>
                <w:szCs w:val="20"/>
              </w:rPr>
            </w:pPr>
            <w:r w:rsidRPr="00744B4D">
              <w:rPr>
                <w:sz w:val="20"/>
                <w:szCs w:val="20"/>
              </w:rPr>
              <w:t>nėra</w:t>
            </w:r>
          </w:p>
        </w:tc>
      </w:tr>
    </w:tbl>
    <w:p w14:paraId="114FE063" w14:textId="77777777" w:rsidR="009556C3" w:rsidRDefault="009556C3" w:rsidP="00CB2375">
      <w:pPr>
        <w:spacing w:line="276" w:lineRule="auto"/>
        <w:rPr>
          <w:color w:val="000000"/>
        </w:rPr>
      </w:pPr>
    </w:p>
    <w:p w14:paraId="405FDECD" w14:textId="77777777" w:rsidR="00CB2375" w:rsidRPr="00CB2375" w:rsidRDefault="00CB2375" w:rsidP="00CB2375">
      <w:pPr>
        <w:spacing w:line="276" w:lineRule="auto"/>
        <w:rPr>
          <w:color w:val="000000"/>
        </w:rPr>
      </w:pPr>
      <w:r w:rsidRPr="00535FA1">
        <w:rPr>
          <w:color w:val="000000"/>
        </w:rPr>
        <w:t>*</w:t>
      </w:r>
      <w:r w:rsidRPr="00535FA1">
        <w:rPr>
          <w:bCs/>
          <w:color w:val="000000"/>
        </w:rPr>
        <w:t>bilieto kainos optimizatorius</w:t>
      </w:r>
      <w:r w:rsidR="00F86C17">
        <w:rPr>
          <w:bCs/>
          <w:color w:val="000000"/>
        </w:rPr>
        <w:t xml:space="preserve"> –</w:t>
      </w:r>
      <w:r w:rsidRPr="00535FA1">
        <w:rPr>
          <w:color w:val="000000"/>
        </w:rPr>
        <w:t xml:space="preserve"> keleiviui tą pačią dieną atsiskaitant iš e. bilieto el. piniginės už 3 keliones, kitos kelionės tą pačią dieną yra nemokamos.</w:t>
      </w:r>
    </w:p>
    <w:p w14:paraId="7F0CE687" w14:textId="38728790" w:rsidR="00423AA2" w:rsidRPr="001B1736" w:rsidRDefault="00CB2375" w:rsidP="00CB2375">
      <w:pPr>
        <w:spacing w:line="276" w:lineRule="auto"/>
        <w:rPr>
          <w:bCs/>
        </w:rPr>
      </w:pPr>
      <w:r w:rsidRPr="00CB2375">
        <w:rPr>
          <w:b/>
          <w:bCs/>
        </w:rPr>
        <w:t xml:space="preserve">** </w:t>
      </w:r>
      <w:r w:rsidRPr="00CB2375">
        <w:rPr>
          <w:bCs/>
        </w:rPr>
        <w:t>pažymėtuose langeliuose nurodytos kainos įsigaliotų tik po 3 mėn. nuo visų bilietų kainų patvirtinimo dienos.</w:t>
      </w:r>
    </w:p>
    <w:p w14:paraId="65BB871F" w14:textId="77777777" w:rsidR="00810180" w:rsidRPr="009E2FF0" w:rsidRDefault="009E2FF0" w:rsidP="00B340BF">
      <w:pPr>
        <w:jc w:val="both"/>
        <w:rPr>
          <w:b/>
        </w:rPr>
      </w:pPr>
      <w:r w:rsidRPr="009E2FF0">
        <w:t xml:space="preserve">      </w:t>
      </w:r>
    </w:p>
    <w:p w14:paraId="663B9603" w14:textId="77777777" w:rsidR="00434584" w:rsidRPr="007B2C2A" w:rsidRDefault="00AA299B" w:rsidP="00C858EE">
      <w:pPr>
        <w:tabs>
          <w:tab w:val="left" w:pos="0"/>
        </w:tabs>
        <w:ind w:firstLine="720"/>
        <w:jc w:val="both"/>
      </w:pPr>
      <w:r w:rsidRPr="007B2C2A">
        <w:rPr>
          <w:b/>
        </w:rPr>
        <w:t>5</w:t>
      </w:r>
      <w:r w:rsidR="00D83A57" w:rsidRPr="007B2C2A">
        <w:rPr>
          <w:b/>
        </w:rPr>
        <w:t>.</w:t>
      </w:r>
      <w:r w:rsidR="008F7A51" w:rsidRPr="007B2C2A">
        <w:rPr>
          <w:b/>
        </w:rPr>
        <w:t xml:space="preserve"> </w:t>
      </w:r>
      <w:r w:rsidR="00D83A57" w:rsidRPr="007B2C2A">
        <w:rPr>
          <w:b/>
        </w:rPr>
        <w:t>Kieno iniciatyva parengtas sprendimo projektas:</w:t>
      </w:r>
      <w:r w:rsidR="00D83A57" w:rsidRPr="007B2C2A">
        <w:t xml:space="preserve"> </w:t>
      </w:r>
    </w:p>
    <w:p w14:paraId="16F6E48F" w14:textId="77777777" w:rsidR="00C858EE" w:rsidRPr="007B2C2A" w:rsidRDefault="00B97197" w:rsidP="00C858EE">
      <w:pPr>
        <w:tabs>
          <w:tab w:val="left" w:pos="0"/>
        </w:tabs>
        <w:ind w:firstLine="720"/>
        <w:jc w:val="both"/>
      </w:pPr>
      <w:r w:rsidRPr="007B2C2A">
        <w:t>Sprendimo projektas parengtas Savivaldybės administracijos iniciatyva.</w:t>
      </w:r>
    </w:p>
    <w:p w14:paraId="18AAF1E8" w14:textId="77777777" w:rsidR="00805FD1" w:rsidRDefault="00805FD1" w:rsidP="003075AE">
      <w:pPr>
        <w:tabs>
          <w:tab w:val="left" w:pos="0"/>
        </w:tabs>
        <w:jc w:val="both"/>
      </w:pPr>
    </w:p>
    <w:p w14:paraId="41FBD416" w14:textId="77777777" w:rsidR="00423AA2" w:rsidRDefault="00423AA2" w:rsidP="003075AE">
      <w:pPr>
        <w:tabs>
          <w:tab w:val="left" w:pos="0"/>
        </w:tabs>
        <w:jc w:val="both"/>
      </w:pPr>
    </w:p>
    <w:p w14:paraId="7FE7C0DB" w14:textId="77777777" w:rsidR="00423AA2" w:rsidRDefault="00423AA2" w:rsidP="003075AE">
      <w:pPr>
        <w:tabs>
          <w:tab w:val="left" w:pos="0"/>
        </w:tabs>
        <w:jc w:val="both"/>
      </w:pPr>
    </w:p>
    <w:p w14:paraId="710F0E58" w14:textId="77777777" w:rsidR="00851674" w:rsidRDefault="00A62203" w:rsidP="00484159">
      <w:pPr>
        <w:jc w:val="both"/>
      </w:pPr>
      <w:r w:rsidRPr="007B2C2A">
        <w:t>Miesto plėtros skyriaus vyriausioji specialistė</w:t>
      </w:r>
      <w:r w:rsidR="00B97197" w:rsidRPr="007B2C2A">
        <w:tab/>
      </w:r>
      <w:r w:rsidR="00B97197" w:rsidRPr="007B2C2A">
        <w:tab/>
      </w:r>
      <w:r w:rsidR="00AA299B" w:rsidRPr="007B2C2A">
        <w:tab/>
      </w:r>
      <w:r w:rsidRPr="007B2C2A">
        <w:t>Rita Servienė</w:t>
      </w:r>
    </w:p>
    <w:p w14:paraId="69A64798" w14:textId="77777777" w:rsidR="00992306" w:rsidRDefault="00992306" w:rsidP="00484159">
      <w:pPr>
        <w:jc w:val="both"/>
      </w:pPr>
    </w:p>
    <w:p w14:paraId="2B15755A" w14:textId="77777777" w:rsidR="00F86C17" w:rsidRPr="007B2C2A" w:rsidRDefault="00851674">
      <w:pPr>
        <w:spacing w:line="276" w:lineRule="auto"/>
        <w:jc w:val="both"/>
      </w:pPr>
      <w:r w:rsidRPr="007B2C2A">
        <w:t xml:space="preserve">Miesto </w:t>
      </w:r>
      <w:r>
        <w:t>infrastruktū</w:t>
      </w:r>
      <w:r w:rsidRPr="007B2C2A">
        <w:t>ros skyriaus vyriausioji specialistė</w:t>
      </w:r>
      <w:r w:rsidRPr="007B2C2A">
        <w:tab/>
      </w:r>
      <w:r w:rsidRPr="007B2C2A">
        <w:tab/>
      </w:r>
      <w:r w:rsidRPr="007B2C2A">
        <w:tab/>
      </w:r>
      <w:r w:rsidRPr="00851674">
        <w:t>In</w:t>
      </w:r>
      <w:r w:rsidRPr="007B2C2A">
        <w:t xml:space="preserve">a </w:t>
      </w:r>
      <w:r>
        <w:t>Urbonavič</w:t>
      </w:r>
      <w:r w:rsidRPr="007B2C2A">
        <w:t>i</w:t>
      </w:r>
      <w:r w:rsidR="00AD4E12">
        <w:t>enė</w:t>
      </w:r>
    </w:p>
    <w:sectPr w:rsidR="00F86C17" w:rsidRPr="007B2C2A" w:rsidSect="001B1736">
      <w:headerReference w:type="default" r:id="rId9"/>
      <w:pgSz w:w="11906" w:h="16838"/>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970FB" w14:textId="77777777" w:rsidR="00E4148A" w:rsidRDefault="00E4148A" w:rsidP="00A52524">
      <w:r>
        <w:separator/>
      </w:r>
    </w:p>
  </w:endnote>
  <w:endnote w:type="continuationSeparator" w:id="0">
    <w:p w14:paraId="393F6498" w14:textId="77777777" w:rsidR="00E4148A" w:rsidRDefault="00E4148A"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G Mincho Light J">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E2A0E" w14:textId="77777777" w:rsidR="00E4148A" w:rsidRDefault="00E4148A" w:rsidP="00A52524">
      <w:r>
        <w:separator/>
      </w:r>
    </w:p>
  </w:footnote>
  <w:footnote w:type="continuationSeparator" w:id="0">
    <w:p w14:paraId="686DB3F7" w14:textId="77777777" w:rsidR="00E4148A" w:rsidRDefault="00E4148A"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81BF9"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6865E417"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6190A"/>
    <w:multiLevelType w:val="hybridMultilevel"/>
    <w:tmpl w:val="366AFD5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D20D1B"/>
    <w:multiLevelType w:val="hybridMultilevel"/>
    <w:tmpl w:val="CC1CF37E"/>
    <w:lvl w:ilvl="0" w:tplc="EAA427B0">
      <w:start w:val="1"/>
      <w:numFmt w:val="decimal"/>
      <w:lvlText w:val="%1."/>
      <w:lvlJc w:val="left"/>
      <w:pPr>
        <w:ind w:left="927" w:hanging="360"/>
      </w:pPr>
      <w:rPr>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29A5520E"/>
    <w:multiLevelType w:val="hybridMultilevel"/>
    <w:tmpl w:val="52865B10"/>
    <w:lvl w:ilvl="0" w:tplc="1C36A2A6">
      <w:start w:val="4"/>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4"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5" w15:restartNumberingAfterBreak="0">
    <w:nsid w:val="36B33506"/>
    <w:multiLevelType w:val="hybridMultilevel"/>
    <w:tmpl w:val="A69A11C8"/>
    <w:lvl w:ilvl="0" w:tplc="AA60954C">
      <w:start w:val="1"/>
      <w:numFmt w:val="bullet"/>
      <w:lvlText w:val="•"/>
      <w:lvlJc w:val="left"/>
      <w:pPr>
        <w:tabs>
          <w:tab w:val="num" w:pos="720"/>
        </w:tabs>
        <w:ind w:left="720" w:hanging="360"/>
      </w:pPr>
      <w:rPr>
        <w:rFonts w:ascii="Arial" w:hAnsi="Arial" w:hint="default"/>
      </w:rPr>
    </w:lvl>
    <w:lvl w:ilvl="1" w:tplc="0FDE0240" w:tentative="1">
      <w:start w:val="1"/>
      <w:numFmt w:val="bullet"/>
      <w:lvlText w:val="•"/>
      <w:lvlJc w:val="left"/>
      <w:pPr>
        <w:tabs>
          <w:tab w:val="num" w:pos="1440"/>
        </w:tabs>
        <w:ind w:left="1440" w:hanging="360"/>
      </w:pPr>
      <w:rPr>
        <w:rFonts w:ascii="Arial" w:hAnsi="Arial" w:hint="default"/>
      </w:rPr>
    </w:lvl>
    <w:lvl w:ilvl="2" w:tplc="8B641BB2" w:tentative="1">
      <w:start w:val="1"/>
      <w:numFmt w:val="bullet"/>
      <w:lvlText w:val="•"/>
      <w:lvlJc w:val="left"/>
      <w:pPr>
        <w:tabs>
          <w:tab w:val="num" w:pos="2160"/>
        </w:tabs>
        <w:ind w:left="2160" w:hanging="360"/>
      </w:pPr>
      <w:rPr>
        <w:rFonts w:ascii="Arial" w:hAnsi="Arial" w:hint="default"/>
      </w:rPr>
    </w:lvl>
    <w:lvl w:ilvl="3" w:tplc="F57A074A" w:tentative="1">
      <w:start w:val="1"/>
      <w:numFmt w:val="bullet"/>
      <w:lvlText w:val="•"/>
      <w:lvlJc w:val="left"/>
      <w:pPr>
        <w:tabs>
          <w:tab w:val="num" w:pos="2880"/>
        </w:tabs>
        <w:ind w:left="2880" w:hanging="360"/>
      </w:pPr>
      <w:rPr>
        <w:rFonts w:ascii="Arial" w:hAnsi="Arial" w:hint="default"/>
      </w:rPr>
    </w:lvl>
    <w:lvl w:ilvl="4" w:tplc="232A7C6E" w:tentative="1">
      <w:start w:val="1"/>
      <w:numFmt w:val="bullet"/>
      <w:lvlText w:val="•"/>
      <w:lvlJc w:val="left"/>
      <w:pPr>
        <w:tabs>
          <w:tab w:val="num" w:pos="3600"/>
        </w:tabs>
        <w:ind w:left="3600" w:hanging="360"/>
      </w:pPr>
      <w:rPr>
        <w:rFonts w:ascii="Arial" w:hAnsi="Arial" w:hint="default"/>
      </w:rPr>
    </w:lvl>
    <w:lvl w:ilvl="5" w:tplc="10CE33E6" w:tentative="1">
      <w:start w:val="1"/>
      <w:numFmt w:val="bullet"/>
      <w:lvlText w:val="•"/>
      <w:lvlJc w:val="left"/>
      <w:pPr>
        <w:tabs>
          <w:tab w:val="num" w:pos="4320"/>
        </w:tabs>
        <w:ind w:left="4320" w:hanging="360"/>
      </w:pPr>
      <w:rPr>
        <w:rFonts w:ascii="Arial" w:hAnsi="Arial" w:hint="default"/>
      </w:rPr>
    </w:lvl>
    <w:lvl w:ilvl="6" w:tplc="73923944" w:tentative="1">
      <w:start w:val="1"/>
      <w:numFmt w:val="bullet"/>
      <w:lvlText w:val="•"/>
      <w:lvlJc w:val="left"/>
      <w:pPr>
        <w:tabs>
          <w:tab w:val="num" w:pos="5040"/>
        </w:tabs>
        <w:ind w:left="5040" w:hanging="360"/>
      </w:pPr>
      <w:rPr>
        <w:rFonts w:ascii="Arial" w:hAnsi="Arial" w:hint="default"/>
      </w:rPr>
    </w:lvl>
    <w:lvl w:ilvl="7" w:tplc="5EC04618" w:tentative="1">
      <w:start w:val="1"/>
      <w:numFmt w:val="bullet"/>
      <w:lvlText w:val="•"/>
      <w:lvlJc w:val="left"/>
      <w:pPr>
        <w:tabs>
          <w:tab w:val="num" w:pos="5760"/>
        </w:tabs>
        <w:ind w:left="5760" w:hanging="360"/>
      </w:pPr>
      <w:rPr>
        <w:rFonts w:ascii="Arial" w:hAnsi="Arial" w:hint="default"/>
      </w:rPr>
    </w:lvl>
    <w:lvl w:ilvl="8" w:tplc="9C3AC8D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EF86D50"/>
    <w:multiLevelType w:val="hybridMultilevel"/>
    <w:tmpl w:val="680AB9B4"/>
    <w:lvl w:ilvl="0" w:tplc="BC46745E">
      <w:start w:val="1"/>
      <w:numFmt w:val="decimal"/>
      <w:lvlText w:val="%1."/>
      <w:lvlJc w:val="left"/>
      <w:pPr>
        <w:ind w:left="927" w:hanging="360"/>
      </w:pPr>
      <w:rPr>
        <w:rFonts w:ascii="Times New Roman" w:eastAsia="Times New Roman" w:hAnsi="Times New Roman" w:cs="Times New Roman"/>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8" w15:restartNumberingAfterBreak="0">
    <w:nsid w:val="5A164684"/>
    <w:multiLevelType w:val="hybridMultilevel"/>
    <w:tmpl w:val="91E0DB16"/>
    <w:lvl w:ilvl="0" w:tplc="8934287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0293E11"/>
    <w:multiLevelType w:val="hybridMultilevel"/>
    <w:tmpl w:val="29BEE332"/>
    <w:lvl w:ilvl="0" w:tplc="EDE2BA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D8F3639"/>
    <w:multiLevelType w:val="hybridMultilevel"/>
    <w:tmpl w:val="0B88B326"/>
    <w:lvl w:ilvl="0" w:tplc="D5E67586">
      <w:start w:val="1"/>
      <w:numFmt w:val="decimal"/>
      <w:lvlText w:val="%1."/>
      <w:lvlJc w:val="left"/>
      <w:pPr>
        <w:ind w:left="928"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97594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8221888">
    <w:abstractNumId w:val="4"/>
  </w:num>
  <w:num w:numId="3" w16cid:durableId="801339529">
    <w:abstractNumId w:val="7"/>
  </w:num>
  <w:num w:numId="4" w16cid:durableId="268436803">
    <w:abstractNumId w:val="8"/>
  </w:num>
  <w:num w:numId="5" w16cid:durableId="2146123723">
    <w:abstractNumId w:val="10"/>
  </w:num>
  <w:num w:numId="6" w16cid:durableId="445465236">
    <w:abstractNumId w:val="3"/>
  </w:num>
  <w:num w:numId="7" w16cid:durableId="2107769503">
    <w:abstractNumId w:val="0"/>
  </w:num>
  <w:num w:numId="8" w16cid:durableId="226766943">
    <w:abstractNumId w:val="1"/>
  </w:num>
  <w:num w:numId="9" w16cid:durableId="883103478">
    <w:abstractNumId w:val="9"/>
  </w:num>
  <w:num w:numId="10" w16cid:durableId="1107576745">
    <w:abstractNumId w:val="6"/>
  </w:num>
  <w:num w:numId="11" w16cid:durableId="5437543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3A91"/>
    <w:rsid w:val="0001413A"/>
    <w:rsid w:val="00014C86"/>
    <w:rsid w:val="00027E03"/>
    <w:rsid w:val="0003001F"/>
    <w:rsid w:val="00037DBC"/>
    <w:rsid w:val="0004567B"/>
    <w:rsid w:val="00047414"/>
    <w:rsid w:val="0006183E"/>
    <w:rsid w:val="00066E6B"/>
    <w:rsid w:val="00066EF6"/>
    <w:rsid w:val="00070FD7"/>
    <w:rsid w:val="00081D67"/>
    <w:rsid w:val="000913B9"/>
    <w:rsid w:val="000A311F"/>
    <w:rsid w:val="000B1518"/>
    <w:rsid w:val="000C0B62"/>
    <w:rsid w:val="000C3941"/>
    <w:rsid w:val="000D4A32"/>
    <w:rsid w:val="000E2F3E"/>
    <w:rsid w:val="000F47FD"/>
    <w:rsid w:val="00104049"/>
    <w:rsid w:val="0010561C"/>
    <w:rsid w:val="00114AEB"/>
    <w:rsid w:val="00117E43"/>
    <w:rsid w:val="0013112F"/>
    <w:rsid w:val="00133661"/>
    <w:rsid w:val="001352EF"/>
    <w:rsid w:val="001453E9"/>
    <w:rsid w:val="0014744F"/>
    <w:rsid w:val="00155035"/>
    <w:rsid w:val="00155DE4"/>
    <w:rsid w:val="00163CB6"/>
    <w:rsid w:val="00165F4C"/>
    <w:rsid w:val="0016775E"/>
    <w:rsid w:val="00167865"/>
    <w:rsid w:val="0017148A"/>
    <w:rsid w:val="001744F5"/>
    <w:rsid w:val="00185F27"/>
    <w:rsid w:val="001868E5"/>
    <w:rsid w:val="00192CD8"/>
    <w:rsid w:val="001A3516"/>
    <w:rsid w:val="001B1736"/>
    <w:rsid w:val="001B1B5A"/>
    <w:rsid w:val="001B7CE4"/>
    <w:rsid w:val="001C4A37"/>
    <w:rsid w:val="001C5331"/>
    <w:rsid w:val="001C7E22"/>
    <w:rsid w:val="001D0CFA"/>
    <w:rsid w:val="001D2243"/>
    <w:rsid w:val="001D340A"/>
    <w:rsid w:val="001D610D"/>
    <w:rsid w:val="001D7D66"/>
    <w:rsid w:val="001E2E0C"/>
    <w:rsid w:val="001E5C8A"/>
    <w:rsid w:val="001F6739"/>
    <w:rsid w:val="00201025"/>
    <w:rsid w:val="00207563"/>
    <w:rsid w:val="002078F7"/>
    <w:rsid w:val="00210927"/>
    <w:rsid w:val="0021258E"/>
    <w:rsid w:val="00213AB9"/>
    <w:rsid w:val="002225AF"/>
    <w:rsid w:val="00224D53"/>
    <w:rsid w:val="002265FB"/>
    <w:rsid w:val="00247905"/>
    <w:rsid w:val="00250B20"/>
    <w:rsid w:val="00252546"/>
    <w:rsid w:val="00265C97"/>
    <w:rsid w:val="0026732C"/>
    <w:rsid w:val="00267684"/>
    <w:rsid w:val="00270237"/>
    <w:rsid w:val="00272359"/>
    <w:rsid w:val="00276951"/>
    <w:rsid w:val="00283C28"/>
    <w:rsid w:val="002872EB"/>
    <w:rsid w:val="002914C2"/>
    <w:rsid w:val="0029446D"/>
    <w:rsid w:val="00294868"/>
    <w:rsid w:val="002A2304"/>
    <w:rsid w:val="002A3891"/>
    <w:rsid w:val="002A73A9"/>
    <w:rsid w:val="002B3A6A"/>
    <w:rsid w:val="002B4464"/>
    <w:rsid w:val="002B502F"/>
    <w:rsid w:val="002B772E"/>
    <w:rsid w:val="002D6B47"/>
    <w:rsid w:val="002D7495"/>
    <w:rsid w:val="002E1C63"/>
    <w:rsid w:val="002F02BD"/>
    <w:rsid w:val="002F294E"/>
    <w:rsid w:val="002F2C0A"/>
    <w:rsid w:val="003049F1"/>
    <w:rsid w:val="003075AE"/>
    <w:rsid w:val="003167E2"/>
    <w:rsid w:val="00321F26"/>
    <w:rsid w:val="003227EF"/>
    <w:rsid w:val="003237ED"/>
    <w:rsid w:val="003301AE"/>
    <w:rsid w:val="00333EB6"/>
    <w:rsid w:val="00341B04"/>
    <w:rsid w:val="0034440A"/>
    <w:rsid w:val="003609A6"/>
    <w:rsid w:val="0037426A"/>
    <w:rsid w:val="00374C82"/>
    <w:rsid w:val="003762B9"/>
    <w:rsid w:val="003854E9"/>
    <w:rsid w:val="003864F9"/>
    <w:rsid w:val="003959DF"/>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220DD"/>
    <w:rsid w:val="00423AA2"/>
    <w:rsid w:val="00434584"/>
    <w:rsid w:val="00441287"/>
    <w:rsid w:val="00450256"/>
    <w:rsid w:val="00462829"/>
    <w:rsid w:val="00484159"/>
    <w:rsid w:val="004917D4"/>
    <w:rsid w:val="004A42B2"/>
    <w:rsid w:val="004A5AF0"/>
    <w:rsid w:val="004B1BA5"/>
    <w:rsid w:val="004B4495"/>
    <w:rsid w:val="004B451E"/>
    <w:rsid w:val="004B7BC3"/>
    <w:rsid w:val="004C20A3"/>
    <w:rsid w:val="004D0A97"/>
    <w:rsid w:val="004D3C2F"/>
    <w:rsid w:val="004E2C63"/>
    <w:rsid w:val="004E51DD"/>
    <w:rsid w:val="004E5674"/>
    <w:rsid w:val="004E5D2B"/>
    <w:rsid w:val="004F24E2"/>
    <w:rsid w:val="00520C5A"/>
    <w:rsid w:val="005235F4"/>
    <w:rsid w:val="00531FD1"/>
    <w:rsid w:val="005336FE"/>
    <w:rsid w:val="00536F4F"/>
    <w:rsid w:val="00542B6D"/>
    <w:rsid w:val="005461AA"/>
    <w:rsid w:val="00552A9E"/>
    <w:rsid w:val="00555586"/>
    <w:rsid w:val="00573BD9"/>
    <w:rsid w:val="00576615"/>
    <w:rsid w:val="0059465A"/>
    <w:rsid w:val="005A2B5B"/>
    <w:rsid w:val="005B0280"/>
    <w:rsid w:val="005B5240"/>
    <w:rsid w:val="005B707F"/>
    <w:rsid w:val="005B7DF0"/>
    <w:rsid w:val="005C0E53"/>
    <w:rsid w:val="005C414B"/>
    <w:rsid w:val="005C4A05"/>
    <w:rsid w:val="005D1C9C"/>
    <w:rsid w:val="005E3704"/>
    <w:rsid w:val="00606258"/>
    <w:rsid w:val="0061607E"/>
    <w:rsid w:val="00616B3D"/>
    <w:rsid w:val="0061776C"/>
    <w:rsid w:val="00624480"/>
    <w:rsid w:val="00626CE6"/>
    <w:rsid w:val="006308B9"/>
    <w:rsid w:val="006371CA"/>
    <w:rsid w:val="00644363"/>
    <w:rsid w:val="00647385"/>
    <w:rsid w:val="006539FD"/>
    <w:rsid w:val="00670701"/>
    <w:rsid w:val="00683C22"/>
    <w:rsid w:val="006961FD"/>
    <w:rsid w:val="006A041A"/>
    <w:rsid w:val="006A112F"/>
    <w:rsid w:val="006A3B79"/>
    <w:rsid w:val="006A4B0A"/>
    <w:rsid w:val="006A5BC0"/>
    <w:rsid w:val="006A5E1F"/>
    <w:rsid w:val="006A7494"/>
    <w:rsid w:val="006B18C5"/>
    <w:rsid w:val="006C52D9"/>
    <w:rsid w:val="006D3591"/>
    <w:rsid w:val="006D4D71"/>
    <w:rsid w:val="006D5667"/>
    <w:rsid w:val="006D5BC6"/>
    <w:rsid w:val="006D71EB"/>
    <w:rsid w:val="006E21BC"/>
    <w:rsid w:val="00712ADB"/>
    <w:rsid w:val="00714A6C"/>
    <w:rsid w:val="00722BA8"/>
    <w:rsid w:val="00740A90"/>
    <w:rsid w:val="00741BFD"/>
    <w:rsid w:val="0074446C"/>
    <w:rsid w:val="0074484D"/>
    <w:rsid w:val="0075269D"/>
    <w:rsid w:val="0075365D"/>
    <w:rsid w:val="0076133F"/>
    <w:rsid w:val="00761E17"/>
    <w:rsid w:val="0076256E"/>
    <w:rsid w:val="007700EF"/>
    <w:rsid w:val="00771CC1"/>
    <w:rsid w:val="00782050"/>
    <w:rsid w:val="0078280A"/>
    <w:rsid w:val="00783235"/>
    <w:rsid w:val="00783F03"/>
    <w:rsid w:val="00786E45"/>
    <w:rsid w:val="0079663E"/>
    <w:rsid w:val="007A163E"/>
    <w:rsid w:val="007A3BDE"/>
    <w:rsid w:val="007B2C2A"/>
    <w:rsid w:val="007B7315"/>
    <w:rsid w:val="007C3248"/>
    <w:rsid w:val="007C601B"/>
    <w:rsid w:val="007D0623"/>
    <w:rsid w:val="007D0BE7"/>
    <w:rsid w:val="007D7B8A"/>
    <w:rsid w:val="007E755E"/>
    <w:rsid w:val="007F60AF"/>
    <w:rsid w:val="00803374"/>
    <w:rsid w:val="00805FD1"/>
    <w:rsid w:val="00807B2C"/>
    <w:rsid w:val="00810180"/>
    <w:rsid w:val="00811CF9"/>
    <w:rsid w:val="00812E50"/>
    <w:rsid w:val="00814576"/>
    <w:rsid w:val="00817123"/>
    <w:rsid w:val="008201B6"/>
    <w:rsid w:val="00821D84"/>
    <w:rsid w:val="0083069B"/>
    <w:rsid w:val="008310AE"/>
    <w:rsid w:val="00831B04"/>
    <w:rsid w:val="008449A7"/>
    <w:rsid w:val="00845E4A"/>
    <w:rsid w:val="00845F06"/>
    <w:rsid w:val="00851674"/>
    <w:rsid w:val="008674C1"/>
    <w:rsid w:val="00874265"/>
    <w:rsid w:val="00874356"/>
    <w:rsid w:val="008801C6"/>
    <w:rsid w:val="00883E7D"/>
    <w:rsid w:val="0089215A"/>
    <w:rsid w:val="008B2B7C"/>
    <w:rsid w:val="008C6757"/>
    <w:rsid w:val="008D23DF"/>
    <w:rsid w:val="008D37D2"/>
    <w:rsid w:val="008D6C97"/>
    <w:rsid w:val="008D6E4D"/>
    <w:rsid w:val="008E2D89"/>
    <w:rsid w:val="008F3CEE"/>
    <w:rsid w:val="008F6B3D"/>
    <w:rsid w:val="008F7A51"/>
    <w:rsid w:val="009022A5"/>
    <w:rsid w:val="009129F1"/>
    <w:rsid w:val="009177AB"/>
    <w:rsid w:val="00920F8A"/>
    <w:rsid w:val="0092588B"/>
    <w:rsid w:val="00930750"/>
    <w:rsid w:val="00931AEB"/>
    <w:rsid w:val="00931EE1"/>
    <w:rsid w:val="00934407"/>
    <w:rsid w:val="009407FC"/>
    <w:rsid w:val="00945F50"/>
    <w:rsid w:val="00946628"/>
    <w:rsid w:val="009556C3"/>
    <w:rsid w:val="00964813"/>
    <w:rsid w:val="00965126"/>
    <w:rsid w:val="0097074B"/>
    <w:rsid w:val="00973151"/>
    <w:rsid w:val="00992306"/>
    <w:rsid w:val="009925A2"/>
    <w:rsid w:val="009931DF"/>
    <w:rsid w:val="00994919"/>
    <w:rsid w:val="009A020D"/>
    <w:rsid w:val="009A23CF"/>
    <w:rsid w:val="009A5FF0"/>
    <w:rsid w:val="009B0538"/>
    <w:rsid w:val="009B0664"/>
    <w:rsid w:val="009B4236"/>
    <w:rsid w:val="009C07F3"/>
    <w:rsid w:val="009C41D2"/>
    <w:rsid w:val="009D143C"/>
    <w:rsid w:val="009D3CD5"/>
    <w:rsid w:val="009E2FF0"/>
    <w:rsid w:val="009E54C7"/>
    <w:rsid w:val="009E6D9A"/>
    <w:rsid w:val="009F21B3"/>
    <w:rsid w:val="009F21F7"/>
    <w:rsid w:val="009F60C0"/>
    <w:rsid w:val="00A00395"/>
    <w:rsid w:val="00A11261"/>
    <w:rsid w:val="00A202DC"/>
    <w:rsid w:val="00A266CE"/>
    <w:rsid w:val="00A26F16"/>
    <w:rsid w:val="00A279E9"/>
    <w:rsid w:val="00A30713"/>
    <w:rsid w:val="00A32CC5"/>
    <w:rsid w:val="00A356DE"/>
    <w:rsid w:val="00A37688"/>
    <w:rsid w:val="00A454F2"/>
    <w:rsid w:val="00A52524"/>
    <w:rsid w:val="00A62203"/>
    <w:rsid w:val="00A712F3"/>
    <w:rsid w:val="00A719D0"/>
    <w:rsid w:val="00A7228B"/>
    <w:rsid w:val="00A7365B"/>
    <w:rsid w:val="00A84525"/>
    <w:rsid w:val="00A8785C"/>
    <w:rsid w:val="00A87C7C"/>
    <w:rsid w:val="00A901A7"/>
    <w:rsid w:val="00A94900"/>
    <w:rsid w:val="00A968CB"/>
    <w:rsid w:val="00AA18CF"/>
    <w:rsid w:val="00AA299B"/>
    <w:rsid w:val="00AA781A"/>
    <w:rsid w:val="00AB4EDA"/>
    <w:rsid w:val="00AB796F"/>
    <w:rsid w:val="00AC1F11"/>
    <w:rsid w:val="00AC2FFA"/>
    <w:rsid w:val="00AD4E12"/>
    <w:rsid w:val="00AD5374"/>
    <w:rsid w:val="00AE703E"/>
    <w:rsid w:val="00AF58BA"/>
    <w:rsid w:val="00B0021B"/>
    <w:rsid w:val="00B011F2"/>
    <w:rsid w:val="00B03B39"/>
    <w:rsid w:val="00B068B5"/>
    <w:rsid w:val="00B06BEE"/>
    <w:rsid w:val="00B1257F"/>
    <w:rsid w:val="00B15200"/>
    <w:rsid w:val="00B2037E"/>
    <w:rsid w:val="00B2101D"/>
    <w:rsid w:val="00B332F8"/>
    <w:rsid w:val="00B340BF"/>
    <w:rsid w:val="00B3422D"/>
    <w:rsid w:val="00B42A26"/>
    <w:rsid w:val="00B503AA"/>
    <w:rsid w:val="00B53FEA"/>
    <w:rsid w:val="00B547A4"/>
    <w:rsid w:val="00B670DB"/>
    <w:rsid w:val="00B72FC6"/>
    <w:rsid w:val="00B7349A"/>
    <w:rsid w:val="00B750BF"/>
    <w:rsid w:val="00B7601F"/>
    <w:rsid w:val="00B813E5"/>
    <w:rsid w:val="00B820DB"/>
    <w:rsid w:val="00B854C6"/>
    <w:rsid w:val="00B86A53"/>
    <w:rsid w:val="00B93135"/>
    <w:rsid w:val="00B97197"/>
    <w:rsid w:val="00BA059D"/>
    <w:rsid w:val="00BA1BE5"/>
    <w:rsid w:val="00BA5C6D"/>
    <w:rsid w:val="00BB1560"/>
    <w:rsid w:val="00BB3575"/>
    <w:rsid w:val="00BB7453"/>
    <w:rsid w:val="00BB7698"/>
    <w:rsid w:val="00BD1257"/>
    <w:rsid w:val="00BD74AC"/>
    <w:rsid w:val="00BE1570"/>
    <w:rsid w:val="00BF2481"/>
    <w:rsid w:val="00BF268C"/>
    <w:rsid w:val="00BF739D"/>
    <w:rsid w:val="00C000DF"/>
    <w:rsid w:val="00C04247"/>
    <w:rsid w:val="00C06F03"/>
    <w:rsid w:val="00C11539"/>
    <w:rsid w:val="00C20FBB"/>
    <w:rsid w:val="00C21D88"/>
    <w:rsid w:val="00C220F9"/>
    <w:rsid w:val="00C23689"/>
    <w:rsid w:val="00C24897"/>
    <w:rsid w:val="00C25760"/>
    <w:rsid w:val="00C300D9"/>
    <w:rsid w:val="00C40355"/>
    <w:rsid w:val="00C41AA1"/>
    <w:rsid w:val="00C5176B"/>
    <w:rsid w:val="00C6045F"/>
    <w:rsid w:val="00C661EB"/>
    <w:rsid w:val="00C67DE5"/>
    <w:rsid w:val="00C71D11"/>
    <w:rsid w:val="00C76A01"/>
    <w:rsid w:val="00C80BA6"/>
    <w:rsid w:val="00C81CCD"/>
    <w:rsid w:val="00C83D58"/>
    <w:rsid w:val="00C840B7"/>
    <w:rsid w:val="00C854D3"/>
    <w:rsid w:val="00C858EE"/>
    <w:rsid w:val="00C906DE"/>
    <w:rsid w:val="00C91229"/>
    <w:rsid w:val="00C95C74"/>
    <w:rsid w:val="00CA0399"/>
    <w:rsid w:val="00CA09B4"/>
    <w:rsid w:val="00CA0EF1"/>
    <w:rsid w:val="00CA47D8"/>
    <w:rsid w:val="00CA5474"/>
    <w:rsid w:val="00CB02C9"/>
    <w:rsid w:val="00CB2375"/>
    <w:rsid w:val="00CC0DF0"/>
    <w:rsid w:val="00CC27E2"/>
    <w:rsid w:val="00CC3385"/>
    <w:rsid w:val="00CE0993"/>
    <w:rsid w:val="00CE217C"/>
    <w:rsid w:val="00CE7152"/>
    <w:rsid w:val="00CE7CE2"/>
    <w:rsid w:val="00CF451D"/>
    <w:rsid w:val="00D051C4"/>
    <w:rsid w:val="00D05263"/>
    <w:rsid w:val="00D174C7"/>
    <w:rsid w:val="00D21554"/>
    <w:rsid w:val="00D25E94"/>
    <w:rsid w:val="00D26D28"/>
    <w:rsid w:val="00D27DAE"/>
    <w:rsid w:val="00D432A9"/>
    <w:rsid w:val="00D536E3"/>
    <w:rsid w:val="00D56D4E"/>
    <w:rsid w:val="00D627C1"/>
    <w:rsid w:val="00D709F3"/>
    <w:rsid w:val="00D736F0"/>
    <w:rsid w:val="00D767EA"/>
    <w:rsid w:val="00D82483"/>
    <w:rsid w:val="00D83A57"/>
    <w:rsid w:val="00D86013"/>
    <w:rsid w:val="00D872F8"/>
    <w:rsid w:val="00D93128"/>
    <w:rsid w:val="00D96B8F"/>
    <w:rsid w:val="00D97B52"/>
    <w:rsid w:val="00DA31DC"/>
    <w:rsid w:val="00DA4550"/>
    <w:rsid w:val="00DA651C"/>
    <w:rsid w:val="00DB1804"/>
    <w:rsid w:val="00DB390A"/>
    <w:rsid w:val="00DB3C73"/>
    <w:rsid w:val="00DC1E3B"/>
    <w:rsid w:val="00DC38C9"/>
    <w:rsid w:val="00DD4D5E"/>
    <w:rsid w:val="00DE33BB"/>
    <w:rsid w:val="00DE6688"/>
    <w:rsid w:val="00DE6F9B"/>
    <w:rsid w:val="00DF6192"/>
    <w:rsid w:val="00E01918"/>
    <w:rsid w:val="00E129C4"/>
    <w:rsid w:val="00E34311"/>
    <w:rsid w:val="00E350BE"/>
    <w:rsid w:val="00E4148A"/>
    <w:rsid w:val="00E53864"/>
    <w:rsid w:val="00E53CC3"/>
    <w:rsid w:val="00E54BAF"/>
    <w:rsid w:val="00E57C7E"/>
    <w:rsid w:val="00E61173"/>
    <w:rsid w:val="00E66B7D"/>
    <w:rsid w:val="00E74C4A"/>
    <w:rsid w:val="00E75F87"/>
    <w:rsid w:val="00E86C4C"/>
    <w:rsid w:val="00E909FE"/>
    <w:rsid w:val="00E90E21"/>
    <w:rsid w:val="00E936DD"/>
    <w:rsid w:val="00E93E2B"/>
    <w:rsid w:val="00EA2E59"/>
    <w:rsid w:val="00EA6E14"/>
    <w:rsid w:val="00EB3D70"/>
    <w:rsid w:val="00EC1D0F"/>
    <w:rsid w:val="00ED0D98"/>
    <w:rsid w:val="00ED441B"/>
    <w:rsid w:val="00ED54EC"/>
    <w:rsid w:val="00ED7CF4"/>
    <w:rsid w:val="00EE06A7"/>
    <w:rsid w:val="00EF3B04"/>
    <w:rsid w:val="00F11907"/>
    <w:rsid w:val="00F3496E"/>
    <w:rsid w:val="00F36311"/>
    <w:rsid w:val="00F56BB8"/>
    <w:rsid w:val="00F723AA"/>
    <w:rsid w:val="00F83433"/>
    <w:rsid w:val="00F86497"/>
    <w:rsid w:val="00F86A79"/>
    <w:rsid w:val="00F86A89"/>
    <w:rsid w:val="00F86C17"/>
    <w:rsid w:val="00F903A6"/>
    <w:rsid w:val="00FA082B"/>
    <w:rsid w:val="00FA6480"/>
    <w:rsid w:val="00FA67D5"/>
    <w:rsid w:val="00FA7A31"/>
    <w:rsid w:val="00FB0925"/>
    <w:rsid w:val="00FB0D87"/>
    <w:rsid w:val="00FC05CD"/>
    <w:rsid w:val="00FC2218"/>
    <w:rsid w:val="00FC3D61"/>
    <w:rsid w:val="00FD0A75"/>
    <w:rsid w:val="00FD2DEC"/>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45451"/>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A62203"/>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bold Diagrama"/>
    <w:basedOn w:val="Numatytasispastraiposriftas"/>
    <w:link w:val="Antrat1"/>
    <w:uiPriority w:val="99"/>
    <w:rsid w:val="00A62203"/>
    <w:rPr>
      <w:b/>
      <w:sz w:val="24"/>
      <w:lang w:eastAsia="en-US"/>
    </w:rPr>
  </w:style>
  <w:style w:type="paragraph" w:styleId="Pagrindiniotekstotrauka">
    <w:name w:val="Body Text Indent"/>
    <w:basedOn w:val="prastasis"/>
    <w:link w:val="PagrindiniotekstotraukaDiagrama"/>
    <w:uiPriority w:val="99"/>
    <w:unhideWhenUsed/>
    <w:rsid w:val="004A42B2"/>
    <w:pPr>
      <w:suppressAutoHyphens/>
      <w:spacing w:after="120"/>
      <w:ind w:left="283"/>
    </w:pPr>
    <w:rPr>
      <w:lang w:eastAsia="ar-SA"/>
    </w:rPr>
  </w:style>
  <w:style w:type="character" w:customStyle="1" w:styleId="PagrindiniotekstotraukaDiagrama">
    <w:name w:val="Pagrindinio teksto įtrauka Diagrama"/>
    <w:basedOn w:val="Numatytasispastraiposriftas"/>
    <w:link w:val="Pagrindiniotekstotrauka"/>
    <w:uiPriority w:val="99"/>
    <w:rsid w:val="004A42B2"/>
    <w:rPr>
      <w:sz w:val="24"/>
      <w:szCs w:val="24"/>
      <w:lang w:eastAsia="ar-SA"/>
    </w:rPr>
  </w:style>
  <w:style w:type="paragraph" w:styleId="Pataisymai">
    <w:name w:val="Revision"/>
    <w:hidden/>
    <w:uiPriority w:val="99"/>
    <w:semiHidden/>
    <w:rsid w:val="004E5674"/>
    <w:rPr>
      <w:sz w:val="24"/>
      <w:szCs w:val="24"/>
    </w:rPr>
  </w:style>
  <w:style w:type="paragraph" w:styleId="prastasiniatinklio">
    <w:name w:val="Normal (Web)"/>
    <w:basedOn w:val="prastasis"/>
    <w:uiPriority w:val="99"/>
    <w:semiHidden/>
    <w:unhideWhenUsed/>
    <w:rsid w:val="00946628"/>
    <w:pPr>
      <w:spacing w:before="100" w:beforeAutospacing="1" w:after="100" w:afterAutospacing="1"/>
    </w:pPr>
  </w:style>
  <w:style w:type="character" w:styleId="Neapdorotaspaminjimas">
    <w:name w:val="Unresolved Mention"/>
    <w:basedOn w:val="Numatytasispastraiposriftas"/>
    <w:uiPriority w:val="99"/>
    <w:semiHidden/>
    <w:unhideWhenUsed/>
    <w:rsid w:val="00FD0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690881244">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539049026">
      <w:bodyDiv w:val="1"/>
      <w:marLeft w:val="0"/>
      <w:marRight w:val="0"/>
      <w:marTop w:val="0"/>
      <w:marBottom w:val="0"/>
      <w:divBdr>
        <w:top w:val="none" w:sz="0" w:space="0" w:color="auto"/>
        <w:left w:val="none" w:sz="0" w:space="0" w:color="auto"/>
        <w:bottom w:val="none" w:sz="0" w:space="0" w:color="auto"/>
        <w:right w:val="none" w:sz="0" w:space="0" w:color="auto"/>
      </w:divBdr>
      <w:divsChild>
        <w:div w:id="250623015">
          <w:marLeft w:val="446"/>
          <w:marRight w:val="0"/>
          <w:marTop w:val="0"/>
          <w:marBottom w:val="0"/>
          <w:divBdr>
            <w:top w:val="none" w:sz="0" w:space="0" w:color="auto"/>
            <w:left w:val="none" w:sz="0" w:space="0" w:color="auto"/>
            <w:bottom w:val="none" w:sz="0" w:space="0" w:color="auto"/>
            <w:right w:val="none" w:sz="0" w:space="0" w:color="auto"/>
          </w:divBdr>
        </w:div>
      </w:divsChild>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 w:id="209443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f4e35e30118811ee9f7ec2ffce8b47bc/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E678C-C876-483A-986F-E85118DE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8403</Characters>
  <Application>Microsoft Office Word</Application>
  <DocSecurity>4</DocSecurity>
  <Lines>70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2025-08-06T12:42:00Z</cp:lastPrinted>
  <dcterms:created xsi:type="dcterms:W3CDTF">2025-08-07T11:29:00Z</dcterms:created>
  <dcterms:modified xsi:type="dcterms:W3CDTF">2025-08-07T11:29:00Z</dcterms:modified>
</cp:coreProperties>
</file>