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rugsėjo 18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TSP-371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65C86595" w14:textId="77777777" w:rsidR="00EC2E8F" w:rsidRDefault="00EC2E8F" w:rsidP="00EC2E8F">
      <w:pPr>
        <w:tabs>
          <w:tab w:val="left" w:pos="7655"/>
        </w:tabs>
      </w:pPr>
      <w:r>
        <w:t xml:space="preserve">Strateginio planavimo, finansų ir infrastruktūros </w:t>
      </w:r>
    </w:p>
    <w:p w14:paraId="2E057FFB" w14:textId="68E5BDB0" w:rsidR="0062551B" w:rsidRPr="00F10358" w:rsidRDefault="00EC2E8F" w:rsidP="00EC2E8F">
      <w:pPr>
        <w:tabs>
          <w:tab w:val="left" w:pos="7655"/>
        </w:tabs>
        <w:rPr>
          <w:rFonts w:eastAsia="Calibri"/>
          <w:szCs w:val="24"/>
        </w:rPr>
      </w:pPr>
      <w:r>
        <w:t>komiteto pirmininkas, vykdantis Savivaldybės mero įgaliojimus                             Valdas Staugaitis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E5F0" w14:textId="77777777" w:rsidR="006D6808" w:rsidRDefault="006D6808">
      <w:r>
        <w:separator/>
      </w:r>
    </w:p>
  </w:endnote>
  <w:endnote w:type="continuationSeparator" w:id="0">
    <w:p w14:paraId="02AACF0E" w14:textId="77777777" w:rsidR="006D6808" w:rsidRDefault="006D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3346" w14:textId="77777777" w:rsidR="006D6808" w:rsidRDefault="006D6808">
      <w:r>
        <w:separator/>
      </w:r>
    </w:p>
  </w:footnote>
  <w:footnote w:type="continuationSeparator" w:id="0">
    <w:p w14:paraId="159E3353" w14:textId="77777777" w:rsidR="006D6808" w:rsidRDefault="006D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56434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0560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65FF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2E8F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263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2025-09-18T07:24:00Z</dcterms:created>
  <dcterms:modified xsi:type="dcterms:W3CDTF">2025-09-18T07:24:00Z</dcterms:modified>
</cp:coreProperties>
</file>