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8812CF4"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146434">
        <w:rPr>
          <w:rFonts w:eastAsia="Calibri"/>
          <w:b/>
          <w:szCs w:val="24"/>
        </w:rPr>
        <w:t>2025</w:t>
      </w:r>
      <w:r w:rsidRPr="00847369">
        <w:rPr>
          <w:rFonts w:eastAsia="Calibri"/>
          <w:b/>
          <w:szCs w:val="24"/>
        </w:rPr>
        <w:t xml:space="preserve"> M. </w:t>
      </w:r>
      <w:r w:rsidR="00146434">
        <w:rPr>
          <w:rFonts w:eastAsia="Calibri"/>
          <w:b/>
          <w:szCs w:val="24"/>
        </w:rPr>
        <w:t>GEGUŽĖS 29</w:t>
      </w:r>
      <w:r w:rsidRPr="00847369">
        <w:rPr>
          <w:rFonts w:eastAsia="Calibri"/>
          <w:b/>
          <w:szCs w:val="24"/>
        </w:rPr>
        <w:t xml:space="preserve"> D. SPRENDIMO NR. 1-</w:t>
      </w:r>
      <w:r w:rsidR="00146434">
        <w:rPr>
          <w:rFonts w:eastAsia="Calibri"/>
          <w:b/>
          <w:szCs w:val="24"/>
        </w:rPr>
        <w:t>152</w:t>
      </w:r>
      <w:r w:rsidRPr="00847369">
        <w:rPr>
          <w:rFonts w:eastAsia="Calibri"/>
          <w:b/>
          <w:szCs w:val="24"/>
        </w:rPr>
        <w:t xml:space="preserve"> „</w:t>
      </w:r>
      <w:r w:rsidR="004557A6" w:rsidRPr="0080315E">
        <w:rPr>
          <w:b/>
        </w:rPr>
        <w:t xml:space="preserve">DĖL </w:t>
      </w:r>
      <w:r w:rsidR="00146434">
        <w:rPr>
          <w:b/>
        </w:rPr>
        <w:t>ILGALAIKIO MATERIALIOJO IR TRUMPALAIKIO TURTO PERĖMIMO PANEVĖŽIO MIESTO SAVIVALDYBĖS NUOSAVYBĖN IR JO PERDAVIMO BENDROJO UGDYMO MOKYKLOMS VALDYTI, NAUDOTI IR DISPONUOTI JUO PATIKĖJIMO TEISE</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24125FBA" w14:textId="0DB4BC67"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C21BCD" w:rsidRPr="003B2119">
        <w:rPr>
          <w:rFonts w:eastAsia="Calibri"/>
          <w:szCs w:val="24"/>
        </w:rPr>
        <w:t>Lietuvos Respublikos valstybės ir savivaldybių turto valdymo, naudojimo ir disponavimo juo įstatymo 16 straipsnio 3 dalimi</w:t>
      </w:r>
      <w:r w:rsidR="00C21BCD">
        <w:rPr>
          <w:rFonts w:eastAsia="Calibri"/>
          <w:szCs w:val="24"/>
        </w:rPr>
        <w:t xml:space="preserve">,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6721416B" w14:textId="265B0B4F" w:rsidR="004557A6" w:rsidRPr="00406384"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146434">
        <w:rPr>
          <w:rFonts w:eastAsia="Calibri"/>
          <w:sz w:val="24"/>
          <w:szCs w:val="24"/>
        </w:rPr>
        <w:t>2025</w:t>
      </w:r>
      <w:r w:rsidR="00237022" w:rsidRPr="00406384">
        <w:rPr>
          <w:rFonts w:eastAsia="Calibri"/>
          <w:sz w:val="24"/>
          <w:szCs w:val="24"/>
        </w:rPr>
        <w:t xml:space="preserve"> m. </w:t>
      </w:r>
      <w:r w:rsidR="00146434">
        <w:rPr>
          <w:rFonts w:eastAsia="Calibri"/>
          <w:sz w:val="24"/>
          <w:szCs w:val="24"/>
        </w:rPr>
        <w:t>gegužės 29</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146434">
        <w:rPr>
          <w:rFonts w:eastAsia="Calibri"/>
          <w:sz w:val="24"/>
          <w:szCs w:val="24"/>
        </w:rPr>
        <w:t>152</w:t>
      </w:r>
      <w:r w:rsidR="00237022" w:rsidRPr="00406384">
        <w:rPr>
          <w:rFonts w:eastAsia="Calibri"/>
          <w:sz w:val="24"/>
          <w:szCs w:val="24"/>
        </w:rPr>
        <w:t xml:space="preserve"> „Dėl </w:t>
      </w:r>
      <w:r w:rsidR="00146434">
        <w:rPr>
          <w:rFonts w:eastAsia="Calibri"/>
          <w:sz w:val="24"/>
          <w:szCs w:val="24"/>
        </w:rPr>
        <w:t>ilgalaikio materialiojo ir trumpalaikio turto perėmimo Panevėžio miesto savivaldybės nuosavybėn ir jo perdavimo bendrojo ugdymo mokykloms valdyti, naudoti ir disponuoti juo patikėjimo teise</w:t>
      </w:r>
      <w:r w:rsidR="00237022" w:rsidRPr="00406384">
        <w:rPr>
          <w:rFonts w:eastAsia="Calibri"/>
          <w:sz w:val="24"/>
          <w:szCs w:val="24"/>
        </w:rPr>
        <w:t>“</w:t>
      </w:r>
      <w:r w:rsidR="00146434">
        <w:rPr>
          <w:rFonts w:eastAsia="Calibri"/>
          <w:sz w:val="24"/>
          <w:szCs w:val="24"/>
        </w:rPr>
        <w:t xml:space="preserve"> </w:t>
      </w:r>
      <w:r w:rsidR="00784964">
        <w:rPr>
          <w:rFonts w:eastAsia="Calibri"/>
          <w:sz w:val="24"/>
          <w:szCs w:val="24"/>
        </w:rPr>
        <w:t>2</w:t>
      </w:r>
      <w:r w:rsidR="00146434">
        <w:rPr>
          <w:rFonts w:eastAsia="Calibri"/>
          <w:sz w:val="24"/>
          <w:szCs w:val="24"/>
        </w:rPr>
        <w:t xml:space="preserve"> priedą ir </w:t>
      </w:r>
      <w:r w:rsidR="00527BBD">
        <w:rPr>
          <w:rFonts w:eastAsia="Calibri"/>
          <w:sz w:val="24"/>
          <w:szCs w:val="24"/>
        </w:rPr>
        <w:t xml:space="preserve">jį </w:t>
      </w:r>
      <w:r w:rsidR="00146434">
        <w:rPr>
          <w:rFonts w:eastAsia="Calibri"/>
          <w:sz w:val="24"/>
          <w:szCs w:val="24"/>
        </w:rPr>
        <w:t>išdėstyti</w:t>
      </w:r>
      <w:r w:rsidR="00675917">
        <w:rPr>
          <w:rFonts w:eastAsia="Calibri"/>
          <w:sz w:val="24"/>
          <w:szCs w:val="24"/>
        </w:rPr>
        <w:t xml:space="preserve"> nauja redakcija</w:t>
      </w:r>
      <w:r w:rsidR="00146434">
        <w:rPr>
          <w:rFonts w:eastAsia="Calibri"/>
          <w:sz w:val="24"/>
          <w:szCs w:val="24"/>
        </w:rPr>
        <w:t xml:space="preserve"> (pri</w:t>
      </w:r>
      <w:r w:rsidR="00675917">
        <w:rPr>
          <w:rFonts w:eastAsia="Calibri"/>
          <w:sz w:val="24"/>
          <w:szCs w:val="24"/>
        </w:rPr>
        <w:t>dedama</w:t>
      </w:r>
      <w:r w:rsidR="00146434">
        <w:rPr>
          <w:rFonts w:eastAsia="Calibri"/>
          <w:sz w:val="24"/>
          <w:szCs w:val="24"/>
        </w:rPr>
        <w:t>).</w:t>
      </w:r>
    </w:p>
    <w:p w14:paraId="7A6294AF" w14:textId="3D8EE817" w:rsidR="00237022" w:rsidRPr="00406384" w:rsidRDefault="00237022"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3A45B7B2" w14:textId="67E0D584" w:rsidR="006A58D5" w:rsidRDefault="006A58D5" w:rsidP="006A58D5">
      <w:pPr>
        <w:jc w:val="both"/>
        <w:rPr>
          <w:rFonts w:eastAsia="Calibri"/>
          <w:szCs w:val="24"/>
        </w:rPr>
      </w:pPr>
      <w:r w:rsidRPr="00402E3E">
        <w:rPr>
          <w:rFonts w:eastAsia="Calibri"/>
          <w:szCs w:val="24"/>
        </w:rPr>
        <w:t>Savivaldybės mer</w:t>
      </w:r>
      <w:r w:rsidR="00146434">
        <w:rPr>
          <w:rFonts w:eastAsia="Calibri"/>
          <w:szCs w:val="24"/>
        </w:rPr>
        <w:t>ė</w:t>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t xml:space="preserve">      Loreta Masiliūnienė</w:t>
      </w:r>
    </w:p>
    <w:p w14:paraId="376C1560" w14:textId="785E3224" w:rsidR="00146434" w:rsidRDefault="00146434" w:rsidP="006A58D5">
      <w:pPr>
        <w:jc w:val="both"/>
        <w:rPr>
          <w:rFonts w:eastAsia="Calibri"/>
          <w:szCs w:val="24"/>
        </w:rPr>
      </w:pPr>
      <w:r>
        <w:rPr>
          <w:rFonts w:eastAsia="Calibri"/>
          <w:szCs w:val="24"/>
        </w:rPr>
        <w:br w:type="page"/>
      </w:r>
    </w:p>
    <w:p w14:paraId="41F228EF" w14:textId="77777777" w:rsidR="00146434" w:rsidRPr="00271AF5" w:rsidRDefault="00146434" w:rsidP="00146434">
      <w:pPr>
        <w:tabs>
          <w:tab w:val="left" w:pos="7371"/>
        </w:tabs>
        <w:ind w:firstLine="5245"/>
        <w:rPr>
          <w:szCs w:val="24"/>
        </w:rPr>
      </w:pPr>
      <w:r w:rsidRPr="00271AF5">
        <w:rPr>
          <w:szCs w:val="24"/>
        </w:rPr>
        <w:lastRenderedPageBreak/>
        <w:t xml:space="preserve">Panevėžio miesto savivaldybės tarybos </w:t>
      </w:r>
    </w:p>
    <w:p w14:paraId="4BD0C922" w14:textId="77777777" w:rsidR="00675917" w:rsidRDefault="00675917" w:rsidP="00146434">
      <w:pPr>
        <w:ind w:firstLine="5245"/>
        <w:jc w:val="both"/>
        <w:rPr>
          <w:rFonts w:eastAsia="Calibri"/>
          <w:szCs w:val="24"/>
        </w:rPr>
      </w:pPr>
      <w:r>
        <w:rPr>
          <w:rFonts w:eastAsia="Calibri"/>
          <w:szCs w:val="24"/>
        </w:rPr>
        <w:t>2025</w:t>
      </w:r>
      <w:r w:rsidRPr="00406384">
        <w:rPr>
          <w:rFonts w:eastAsia="Calibri"/>
          <w:szCs w:val="24"/>
        </w:rPr>
        <w:t xml:space="preserve"> m. </w:t>
      </w:r>
      <w:r>
        <w:rPr>
          <w:rFonts w:eastAsia="Calibri"/>
          <w:szCs w:val="24"/>
        </w:rPr>
        <w:t>gegužės 29</w:t>
      </w:r>
      <w:r w:rsidRPr="00406384">
        <w:rPr>
          <w:rFonts w:eastAsia="Calibri"/>
          <w:szCs w:val="24"/>
        </w:rPr>
        <w:t xml:space="preserve"> d. sprendimo Nr. 1-</w:t>
      </w:r>
      <w:r>
        <w:rPr>
          <w:rFonts w:eastAsia="Calibri"/>
          <w:szCs w:val="24"/>
        </w:rPr>
        <w:t>152</w:t>
      </w:r>
    </w:p>
    <w:p w14:paraId="5A758BA0" w14:textId="77777777" w:rsidR="00675917" w:rsidRPr="00271AF5" w:rsidRDefault="00675917" w:rsidP="00675917">
      <w:pPr>
        <w:tabs>
          <w:tab w:val="left" w:pos="7371"/>
        </w:tabs>
        <w:ind w:firstLine="5245"/>
        <w:rPr>
          <w:szCs w:val="24"/>
        </w:rPr>
      </w:pPr>
      <w:r>
        <w:rPr>
          <w:rFonts w:eastAsia="Calibri"/>
          <w:szCs w:val="24"/>
        </w:rPr>
        <w:t>(</w:t>
      </w:r>
      <w:r w:rsidRPr="00271AF5">
        <w:rPr>
          <w:szCs w:val="24"/>
        </w:rPr>
        <w:t xml:space="preserve">Panevėžio miesto savivaldybės tarybos </w:t>
      </w:r>
    </w:p>
    <w:p w14:paraId="6A7A677E" w14:textId="6F54AC2E" w:rsidR="00675917" w:rsidRPr="00271AF5" w:rsidRDefault="00675917" w:rsidP="00675917">
      <w:pPr>
        <w:tabs>
          <w:tab w:val="left" w:pos="7371"/>
        </w:tabs>
        <w:ind w:firstLine="5245"/>
        <w:rPr>
          <w:szCs w:val="24"/>
        </w:rPr>
      </w:pPr>
      <w:r>
        <w:rPr>
          <w:szCs w:val="24"/>
        </w:rPr>
        <w:t xml:space="preserve">                                 </w:t>
      </w:r>
      <w:r w:rsidRPr="00271AF5">
        <w:rPr>
          <w:szCs w:val="24"/>
        </w:rPr>
        <w:t xml:space="preserve"> </w:t>
      </w:r>
      <w:r w:rsidR="001B75C7">
        <w:rPr>
          <w:szCs w:val="24"/>
        </w:rPr>
        <w:t xml:space="preserve">   </w:t>
      </w:r>
      <w:r w:rsidRPr="00271AF5">
        <w:rPr>
          <w:szCs w:val="24"/>
        </w:rPr>
        <w:t xml:space="preserve">sprendimo Nr. </w:t>
      </w:r>
    </w:p>
    <w:p w14:paraId="3C67C984" w14:textId="7CB7BACF" w:rsidR="00675917" w:rsidRDefault="00675917" w:rsidP="00146434">
      <w:pPr>
        <w:ind w:firstLine="5245"/>
        <w:jc w:val="both"/>
        <w:rPr>
          <w:rFonts w:eastAsia="Calibri"/>
          <w:szCs w:val="24"/>
        </w:rPr>
      </w:pPr>
      <w:r>
        <w:rPr>
          <w:rFonts w:eastAsia="Calibri"/>
          <w:szCs w:val="24"/>
        </w:rPr>
        <w:t>redakcija)</w:t>
      </w:r>
    </w:p>
    <w:p w14:paraId="195DD097" w14:textId="29010A42" w:rsidR="00146434" w:rsidRPr="00271AF5" w:rsidRDefault="00784964" w:rsidP="00146434">
      <w:pPr>
        <w:ind w:firstLine="5245"/>
        <w:jc w:val="both"/>
        <w:rPr>
          <w:szCs w:val="24"/>
        </w:rPr>
      </w:pPr>
      <w:r>
        <w:rPr>
          <w:szCs w:val="24"/>
        </w:rPr>
        <w:t>2</w:t>
      </w:r>
      <w:r w:rsidR="00146434" w:rsidRPr="00271AF5">
        <w:rPr>
          <w:szCs w:val="24"/>
        </w:rPr>
        <w:t xml:space="preserve"> priedas</w:t>
      </w:r>
    </w:p>
    <w:p w14:paraId="3F17F950" w14:textId="77777777" w:rsidR="00146434" w:rsidRPr="00271AF5" w:rsidRDefault="00146434" w:rsidP="00146434">
      <w:pPr>
        <w:ind w:firstLine="5245"/>
        <w:jc w:val="both"/>
        <w:rPr>
          <w:szCs w:val="24"/>
        </w:rPr>
      </w:pPr>
    </w:p>
    <w:p w14:paraId="3A2152FE" w14:textId="77777777" w:rsidR="00784964" w:rsidRPr="005C7D8F" w:rsidRDefault="00784964" w:rsidP="00784964">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2B79AF05" w14:textId="77777777" w:rsidR="00784964" w:rsidRPr="00914FBF" w:rsidRDefault="00784964" w:rsidP="00784964">
      <w:pPr>
        <w:tabs>
          <w:tab w:val="left" w:pos="5245"/>
        </w:tabs>
        <w:jc w:val="center"/>
      </w:pPr>
      <w:r>
        <w:rPr>
          <w:b/>
          <w:bCs/>
        </w:rPr>
        <w:t>TRUMPALAIKIO</w:t>
      </w:r>
      <w:r w:rsidRPr="005C7D8F">
        <w:rPr>
          <w:b/>
          <w:bCs/>
        </w:rPr>
        <w:t xml:space="preserve"> TURTO SĄRAŠAS</w:t>
      </w:r>
    </w:p>
    <w:p w14:paraId="763C1700" w14:textId="77777777" w:rsidR="00784964" w:rsidRDefault="00784964" w:rsidP="00784964">
      <w:pPr>
        <w:jc w:val="both"/>
        <w:rPr>
          <w:rFonts w:eastAsia="Calibri"/>
          <w:szCs w:val="24"/>
        </w:rPr>
      </w:pPr>
    </w:p>
    <w:tbl>
      <w:tblPr>
        <w:tblStyle w:val="Lentelstinklelis"/>
        <w:tblW w:w="0" w:type="auto"/>
        <w:tblInd w:w="-714" w:type="dxa"/>
        <w:tblLook w:val="04A0" w:firstRow="1" w:lastRow="0" w:firstColumn="1" w:lastColumn="0" w:noHBand="0" w:noVBand="1"/>
      </w:tblPr>
      <w:tblGrid>
        <w:gridCol w:w="710"/>
        <w:gridCol w:w="5242"/>
        <w:gridCol w:w="1275"/>
        <w:gridCol w:w="1416"/>
        <w:gridCol w:w="1559"/>
      </w:tblGrid>
      <w:tr w:rsidR="00784964" w:rsidRPr="00914FBF" w14:paraId="46C41FA9" w14:textId="77777777" w:rsidTr="00021699">
        <w:trPr>
          <w:trHeight w:val="1230"/>
        </w:trPr>
        <w:tc>
          <w:tcPr>
            <w:tcW w:w="709" w:type="dxa"/>
            <w:noWrap/>
            <w:vAlign w:val="center"/>
          </w:tcPr>
          <w:p w14:paraId="7A4B4013" w14:textId="77777777" w:rsidR="00784964" w:rsidRPr="00914FBF" w:rsidRDefault="00784964" w:rsidP="00021699">
            <w:pPr>
              <w:jc w:val="center"/>
              <w:rPr>
                <w:b/>
                <w:bCs/>
              </w:rPr>
            </w:pPr>
            <w:r>
              <w:rPr>
                <w:b/>
                <w:bCs/>
              </w:rPr>
              <w:t>Eil. Nr.</w:t>
            </w:r>
          </w:p>
        </w:tc>
        <w:tc>
          <w:tcPr>
            <w:tcW w:w="5245" w:type="dxa"/>
            <w:vAlign w:val="center"/>
          </w:tcPr>
          <w:p w14:paraId="33E61A74" w14:textId="77777777" w:rsidR="00784964" w:rsidRPr="00914FBF" w:rsidRDefault="00784964" w:rsidP="00021699">
            <w:pPr>
              <w:jc w:val="center"/>
              <w:rPr>
                <w:b/>
                <w:bCs/>
              </w:rPr>
            </w:pPr>
            <w:r>
              <w:rPr>
                <w:b/>
                <w:bCs/>
              </w:rPr>
              <w:t>Turto</w:t>
            </w:r>
            <w:r w:rsidRPr="00914FBF">
              <w:rPr>
                <w:b/>
                <w:bCs/>
              </w:rPr>
              <w:t xml:space="preserve"> pavadinimas</w:t>
            </w:r>
          </w:p>
        </w:tc>
        <w:tc>
          <w:tcPr>
            <w:tcW w:w="1276" w:type="dxa"/>
            <w:vAlign w:val="center"/>
          </w:tcPr>
          <w:p w14:paraId="1D91B03B" w14:textId="77777777" w:rsidR="00784964" w:rsidRPr="00914FBF" w:rsidRDefault="00784964" w:rsidP="00021699">
            <w:pPr>
              <w:jc w:val="center"/>
              <w:rPr>
                <w:b/>
                <w:bCs/>
              </w:rPr>
            </w:pPr>
            <w:r w:rsidRPr="00914FBF">
              <w:rPr>
                <w:b/>
                <w:bCs/>
              </w:rPr>
              <w:t>Kiekis vnt.</w:t>
            </w:r>
          </w:p>
        </w:tc>
        <w:tc>
          <w:tcPr>
            <w:tcW w:w="1417" w:type="dxa"/>
            <w:vAlign w:val="center"/>
          </w:tcPr>
          <w:p w14:paraId="792283F9" w14:textId="77777777" w:rsidR="00784964" w:rsidRPr="00914FBF" w:rsidRDefault="00784964" w:rsidP="00021699">
            <w:pPr>
              <w:jc w:val="center"/>
              <w:rPr>
                <w:b/>
                <w:bCs/>
              </w:rPr>
            </w:pPr>
            <w:r w:rsidRPr="00914FBF">
              <w:rPr>
                <w:b/>
                <w:bCs/>
              </w:rPr>
              <w:t xml:space="preserve">Vieneto </w:t>
            </w:r>
            <w:r>
              <w:rPr>
                <w:b/>
                <w:bCs/>
              </w:rPr>
              <w:t>įsigijimo savikaina</w:t>
            </w:r>
            <w:r w:rsidRPr="00914FBF">
              <w:rPr>
                <w:b/>
                <w:bCs/>
              </w:rPr>
              <w:t xml:space="preserve"> Eur</w:t>
            </w:r>
          </w:p>
        </w:tc>
        <w:tc>
          <w:tcPr>
            <w:tcW w:w="1560" w:type="dxa"/>
            <w:noWrap/>
            <w:vAlign w:val="center"/>
          </w:tcPr>
          <w:p w14:paraId="3C2DDEAB" w14:textId="77777777" w:rsidR="00784964" w:rsidRPr="00914FBF" w:rsidRDefault="00784964" w:rsidP="00021699">
            <w:pPr>
              <w:jc w:val="center"/>
              <w:rPr>
                <w:b/>
                <w:bCs/>
              </w:rPr>
            </w:pPr>
            <w:r>
              <w:rPr>
                <w:b/>
                <w:bCs/>
              </w:rPr>
              <w:t>Bendra įsigijimo vertė</w:t>
            </w:r>
            <w:r w:rsidRPr="00914FBF">
              <w:rPr>
                <w:b/>
                <w:bCs/>
              </w:rPr>
              <w:t xml:space="preserve"> Eur</w:t>
            </w:r>
          </w:p>
        </w:tc>
      </w:tr>
      <w:tr w:rsidR="00784964" w:rsidRPr="001C60E6" w14:paraId="28B956DB" w14:textId="77777777" w:rsidTr="00021699">
        <w:trPr>
          <w:trHeight w:val="384"/>
        </w:trPr>
        <w:tc>
          <w:tcPr>
            <w:tcW w:w="709" w:type="dxa"/>
            <w:noWrap/>
            <w:vAlign w:val="center"/>
            <w:hideMark/>
          </w:tcPr>
          <w:p w14:paraId="6CFF728E" w14:textId="77777777" w:rsidR="00784964" w:rsidRPr="001C60E6" w:rsidRDefault="00784964" w:rsidP="00021699">
            <w:r>
              <w:rPr>
                <w:color w:val="000000"/>
                <w:szCs w:val="24"/>
                <w:lang w:eastAsia="lt-LT"/>
              </w:rPr>
              <w:t>1.</w:t>
            </w:r>
          </w:p>
        </w:tc>
        <w:tc>
          <w:tcPr>
            <w:tcW w:w="5245" w:type="dxa"/>
          </w:tcPr>
          <w:p w14:paraId="1EDA9B76" w14:textId="77777777" w:rsidR="00784964" w:rsidRPr="001C60E6" w:rsidRDefault="00784964" w:rsidP="00021699">
            <w:pPr>
              <w:jc w:val="both"/>
            </w:pPr>
            <w:r w:rsidRPr="00061986">
              <w:rPr>
                <w:rFonts w:ascii="TimesNewRomanPSMT" w:hAnsi="TimesNewRomanPSMT" w:cs="TimesNewRomanPSMT"/>
                <w:szCs w:val="24"/>
                <w:lang w:eastAsia="lt-LT"/>
              </w:rPr>
              <w:t xml:space="preserve">Nešiojamasis kompiuteris „ASUS </w:t>
            </w:r>
            <w:proofErr w:type="spellStart"/>
            <w:r w:rsidRPr="00061986">
              <w:rPr>
                <w:rFonts w:ascii="TimesNewRomanPSMT" w:hAnsi="TimesNewRomanPSMT" w:cs="TimesNewRomanPSMT"/>
                <w:szCs w:val="24"/>
                <w:lang w:eastAsia="lt-LT"/>
              </w:rPr>
              <w:t>Exper</w:t>
            </w:r>
            <w:r>
              <w:rPr>
                <w:rFonts w:ascii="TimesNewRomanPSMT" w:hAnsi="TimesNewRomanPSMT" w:cs="TimesNewRomanPSMT"/>
                <w:szCs w:val="24"/>
                <w:lang w:eastAsia="lt-LT"/>
              </w:rPr>
              <w:t>t</w:t>
            </w:r>
            <w:r w:rsidRPr="00061986">
              <w:rPr>
                <w:rFonts w:ascii="TimesNewRomanPSMT" w:hAnsi="TimesNewRomanPSMT" w:cs="TimesNewRomanPSMT"/>
                <w:szCs w:val="24"/>
                <w:lang w:eastAsia="lt-LT"/>
              </w:rPr>
              <w:t>Book</w:t>
            </w:r>
            <w:proofErr w:type="spellEnd"/>
            <w:r w:rsidRPr="00061986">
              <w:rPr>
                <w:rFonts w:ascii="TimesNewRomanPSMT" w:hAnsi="TimesNewRomanPSMT" w:cs="TimesNewRomanPSMT"/>
                <w:szCs w:val="24"/>
                <w:lang w:eastAsia="lt-LT"/>
              </w:rPr>
              <w:t xml:space="preserve"> B1B1502“, kompiuteriui tinkantis</w:t>
            </w:r>
            <w:r>
              <w:rPr>
                <w:rFonts w:ascii="TimesNewRomanPSMT" w:hAnsi="TimesNewRomanPSMT" w:cs="TimesNewRomanPSMT"/>
                <w:szCs w:val="24"/>
                <w:lang w:eastAsia="lt-LT"/>
              </w:rPr>
              <w:t xml:space="preserve"> plačiaekranis</w:t>
            </w:r>
            <w:r w:rsidRPr="003874C4">
              <w:rPr>
                <w:rFonts w:ascii="TimesNewRomanPSMT" w:hAnsi="TimesNewRomanPSMT" w:cs="TimesNewRomanPSMT"/>
                <w:szCs w:val="24"/>
                <w:lang w:eastAsia="lt-LT"/>
              </w:rPr>
              <w:t xml:space="preserve"> 58,4–62,2 cm</w:t>
            </w:r>
            <w:r>
              <w:rPr>
                <w:rFonts w:ascii="TimesNewRomanPSMT" w:hAnsi="TimesNewRomanPSMT" w:cs="TimesNewRomanPSMT"/>
                <w:szCs w:val="24"/>
                <w:lang w:eastAsia="lt-LT"/>
              </w:rPr>
              <w:t xml:space="preserve"> </w:t>
            </w:r>
            <w:r w:rsidRPr="003874C4">
              <w:rPr>
                <w:rFonts w:ascii="TimesNewRomanPSMT" w:hAnsi="TimesNewRomanPSMT" w:cs="TimesNewRomanPSMT"/>
                <w:szCs w:val="24"/>
                <w:lang w:eastAsia="lt-LT"/>
              </w:rPr>
              <w:t>įstrižainė</w:t>
            </w:r>
            <w:r>
              <w:rPr>
                <w:rFonts w:ascii="TimesNewRomanPSMT" w:hAnsi="TimesNewRomanPSMT" w:cs="TimesNewRomanPSMT"/>
                <w:szCs w:val="24"/>
                <w:lang w:eastAsia="lt-LT"/>
              </w:rPr>
              <w:t>s</w:t>
            </w:r>
            <w:r w:rsidRPr="00061986">
              <w:rPr>
                <w:rFonts w:ascii="TimesNewRomanPSMT" w:hAnsi="TimesNewRomanPSMT" w:cs="TimesNewRomanPSMT"/>
                <w:szCs w:val="24"/>
                <w:lang w:eastAsia="lt-LT"/>
              </w:rPr>
              <w:t xml:space="preserve"> LCD monitorius </w:t>
            </w:r>
            <w:r>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1276" w:type="dxa"/>
            <w:vAlign w:val="center"/>
          </w:tcPr>
          <w:p w14:paraId="438ACAAB" w14:textId="77777777" w:rsidR="00784964" w:rsidRPr="001C60E6" w:rsidRDefault="00784964" w:rsidP="00021699">
            <w:pPr>
              <w:jc w:val="center"/>
            </w:pPr>
            <w:r>
              <w:t>3</w:t>
            </w:r>
          </w:p>
        </w:tc>
        <w:tc>
          <w:tcPr>
            <w:tcW w:w="1417" w:type="dxa"/>
            <w:vAlign w:val="center"/>
          </w:tcPr>
          <w:p w14:paraId="3E8DE2EE" w14:textId="2FCB47C2" w:rsidR="00784964" w:rsidRPr="001C60E6" w:rsidRDefault="00784964" w:rsidP="00021699">
            <w:pPr>
              <w:jc w:val="center"/>
            </w:pPr>
            <w:r w:rsidRPr="00325259">
              <w:rPr>
                <w:bCs/>
                <w:color w:val="000000"/>
                <w:szCs w:val="24"/>
                <w:lang w:eastAsia="lt-LT"/>
              </w:rPr>
              <w:t>663,</w:t>
            </w:r>
            <w:r>
              <w:rPr>
                <w:bCs/>
                <w:color w:val="000000"/>
                <w:szCs w:val="24"/>
                <w:lang w:eastAsia="lt-LT"/>
              </w:rPr>
              <w:t>69</w:t>
            </w:r>
          </w:p>
        </w:tc>
        <w:tc>
          <w:tcPr>
            <w:tcW w:w="1560" w:type="dxa"/>
            <w:noWrap/>
            <w:vAlign w:val="center"/>
          </w:tcPr>
          <w:p w14:paraId="64479203" w14:textId="77777777" w:rsidR="00784964" w:rsidRPr="001C60E6" w:rsidRDefault="00784964" w:rsidP="00021699">
            <w:pPr>
              <w:jc w:val="center"/>
            </w:pPr>
            <w:r w:rsidRPr="00325259">
              <w:rPr>
                <w:bCs/>
                <w:color w:val="000000"/>
                <w:szCs w:val="24"/>
                <w:lang w:eastAsia="lt-LT"/>
              </w:rPr>
              <w:t>1 991,07</w:t>
            </w:r>
          </w:p>
        </w:tc>
      </w:tr>
      <w:tr w:rsidR="00784964" w:rsidRPr="001C60E6" w14:paraId="131F2556" w14:textId="77777777" w:rsidTr="00021699">
        <w:trPr>
          <w:trHeight w:val="384"/>
        </w:trPr>
        <w:tc>
          <w:tcPr>
            <w:tcW w:w="709" w:type="dxa"/>
            <w:noWrap/>
            <w:vAlign w:val="center"/>
          </w:tcPr>
          <w:p w14:paraId="6945DA43" w14:textId="77777777" w:rsidR="00784964" w:rsidRDefault="00784964" w:rsidP="00021699">
            <w:pPr>
              <w:rPr>
                <w:color w:val="000000"/>
                <w:szCs w:val="24"/>
                <w:lang w:eastAsia="lt-LT"/>
              </w:rPr>
            </w:pPr>
            <w:r>
              <w:rPr>
                <w:color w:val="000000"/>
                <w:szCs w:val="24"/>
                <w:lang w:eastAsia="lt-LT"/>
              </w:rPr>
              <w:t>2.</w:t>
            </w:r>
          </w:p>
        </w:tc>
        <w:tc>
          <w:tcPr>
            <w:tcW w:w="5245" w:type="dxa"/>
          </w:tcPr>
          <w:p w14:paraId="37D319DA" w14:textId="77777777" w:rsidR="00784964" w:rsidRPr="0086210B" w:rsidRDefault="00784964" w:rsidP="00021699">
            <w:pPr>
              <w:jc w:val="both"/>
              <w:rPr>
                <w:lang w:eastAsia="lt-LT"/>
              </w:rPr>
            </w:pPr>
            <w:r w:rsidRPr="00061986">
              <w:rPr>
                <w:rFonts w:ascii="TimesNewRomanPSMT" w:hAnsi="TimesNewRomanPSMT" w:cs="TimesNewRomanPSMT"/>
                <w:szCs w:val="24"/>
              </w:rPr>
              <w:t xml:space="preserve">Nešiojamasis kompiuteris „HP </w:t>
            </w:r>
            <w:proofErr w:type="spellStart"/>
            <w:r w:rsidRPr="00061986">
              <w:rPr>
                <w:rFonts w:ascii="TimesNewRomanPSMT" w:hAnsi="TimesNewRomanPSMT" w:cs="TimesNewRomanPSMT"/>
                <w:szCs w:val="24"/>
              </w:rPr>
              <w:t>Probook</w:t>
            </w:r>
            <w:proofErr w:type="spellEnd"/>
            <w:r w:rsidRPr="00061986">
              <w:rPr>
                <w:rFonts w:ascii="TimesNewRomanPSMT" w:hAnsi="TimesNewRomanPSMT" w:cs="TimesNewRomanPSMT"/>
                <w:szCs w:val="24"/>
              </w:rPr>
              <w:t xml:space="preserve"> 455 G10“, kompiuteriui tinkantis </w:t>
            </w:r>
            <w:r>
              <w:rPr>
                <w:rFonts w:ascii="TimesNewRomanPSMT" w:hAnsi="TimesNewRomanPSMT" w:cs="TimesNewRomanPSMT"/>
                <w:szCs w:val="24"/>
                <w:lang w:eastAsia="lt-LT"/>
              </w:rPr>
              <w:t>plačiaekranis</w:t>
            </w:r>
            <w:r w:rsidRPr="003874C4">
              <w:rPr>
                <w:rFonts w:ascii="TimesNewRomanPSMT" w:hAnsi="TimesNewRomanPSMT" w:cs="TimesNewRomanPSMT"/>
                <w:szCs w:val="24"/>
                <w:lang w:eastAsia="lt-LT"/>
              </w:rPr>
              <w:t xml:space="preserve"> 58,4–62,2 cm</w:t>
            </w:r>
            <w:r>
              <w:rPr>
                <w:rFonts w:ascii="TimesNewRomanPSMT" w:hAnsi="TimesNewRomanPSMT" w:cs="TimesNewRomanPSMT"/>
                <w:szCs w:val="24"/>
                <w:lang w:eastAsia="lt-LT"/>
              </w:rPr>
              <w:t xml:space="preserve"> </w:t>
            </w:r>
            <w:r w:rsidRPr="003874C4">
              <w:rPr>
                <w:rFonts w:ascii="TimesNewRomanPSMT" w:hAnsi="TimesNewRomanPSMT" w:cs="TimesNewRomanPSMT"/>
                <w:szCs w:val="24"/>
                <w:lang w:eastAsia="lt-LT"/>
              </w:rPr>
              <w:t>įstrižainė</w:t>
            </w:r>
            <w:r>
              <w:rPr>
                <w:rFonts w:ascii="TimesNewRomanPSMT" w:hAnsi="TimesNewRomanPSMT" w:cs="TimesNewRomanPSMT"/>
                <w:szCs w:val="24"/>
                <w:lang w:eastAsia="lt-LT"/>
              </w:rPr>
              <w:t>s</w:t>
            </w:r>
            <w:r w:rsidRPr="00061986">
              <w:rPr>
                <w:rFonts w:ascii="TimesNewRomanPSMT" w:hAnsi="TimesNewRomanPSMT" w:cs="TimesNewRomanPSMT"/>
                <w:szCs w:val="24"/>
                <w:lang w:eastAsia="lt-LT"/>
              </w:rPr>
              <w:t xml:space="preserve"> LCD monitorius </w:t>
            </w:r>
            <w:r>
              <w:rPr>
                <w:rFonts w:ascii="TimesNewRomanPSMT" w:hAnsi="TimesNewRomanPSMT" w:cs="TimesNewRomanPSMT"/>
                <w:szCs w:val="24"/>
                <w:lang w:eastAsia="lt-LT"/>
              </w:rPr>
              <w:t>„</w:t>
            </w:r>
            <w:r w:rsidRPr="00061986">
              <w:rPr>
                <w:rFonts w:ascii="TimesNewRomanPSMT" w:hAnsi="TimesNewRomanPSMT" w:cs="TimesNewRomanPSMT"/>
                <w:szCs w:val="24"/>
              </w:rPr>
              <w:t>Samsung F24T450F</w:t>
            </w:r>
            <w:r>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1276" w:type="dxa"/>
            <w:vAlign w:val="center"/>
          </w:tcPr>
          <w:p w14:paraId="38938E0C" w14:textId="77777777" w:rsidR="00784964" w:rsidRDefault="00784964" w:rsidP="00021699">
            <w:pPr>
              <w:jc w:val="center"/>
            </w:pPr>
            <w:r>
              <w:t>15</w:t>
            </w:r>
          </w:p>
        </w:tc>
        <w:tc>
          <w:tcPr>
            <w:tcW w:w="1417" w:type="dxa"/>
            <w:vAlign w:val="center"/>
          </w:tcPr>
          <w:p w14:paraId="0FBD31A3" w14:textId="77777777" w:rsidR="00784964" w:rsidRPr="0086210B" w:rsidRDefault="00784964" w:rsidP="00021699">
            <w:pPr>
              <w:jc w:val="center"/>
              <w:rPr>
                <w:lang w:eastAsia="lt-LT"/>
              </w:rPr>
            </w:pPr>
            <w:r w:rsidRPr="00325259">
              <w:rPr>
                <w:bCs/>
                <w:color w:val="000000"/>
                <w:szCs w:val="24"/>
                <w:lang w:eastAsia="lt-LT"/>
              </w:rPr>
              <w:t>650,98</w:t>
            </w:r>
          </w:p>
        </w:tc>
        <w:tc>
          <w:tcPr>
            <w:tcW w:w="1560" w:type="dxa"/>
            <w:noWrap/>
            <w:vAlign w:val="center"/>
          </w:tcPr>
          <w:p w14:paraId="6825F46F" w14:textId="77777777" w:rsidR="00784964" w:rsidRPr="0086210B" w:rsidRDefault="00784964" w:rsidP="00021699">
            <w:pPr>
              <w:jc w:val="center"/>
              <w:rPr>
                <w:bCs/>
                <w:lang w:eastAsia="lt-LT"/>
              </w:rPr>
            </w:pPr>
            <w:r w:rsidRPr="00325259">
              <w:rPr>
                <w:bCs/>
                <w:color w:val="000000"/>
                <w:szCs w:val="24"/>
                <w:lang w:eastAsia="lt-LT"/>
              </w:rPr>
              <w:t>9 764,70</w:t>
            </w:r>
          </w:p>
        </w:tc>
      </w:tr>
      <w:tr w:rsidR="00784964" w:rsidRPr="001C60E6" w14:paraId="2E691702" w14:textId="77777777" w:rsidTr="00021699">
        <w:trPr>
          <w:trHeight w:val="384"/>
        </w:trPr>
        <w:tc>
          <w:tcPr>
            <w:tcW w:w="709" w:type="dxa"/>
            <w:noWrap/>
            <w:vAlign w:val="center"/>
          </w:tcPr>
          <w:p w14:paraId="2CE81402" w14:textId="77777777" w:rsidR="00784964" w:rsidRDefault="00784964" w:rsidP="00021699">
            <w:pPr>
              <w:rPr>
                <w:color w:val="000000"/>
                <w:szCs w:val="24"/>
                <w:lang w:eastAsia="lt-LT"/>
              </w:rPr>
            </w:pPr>
            <w:r>
              <w:rPr>
                <w:color w:val="000000"/>
                <w:szCs w:val="24"/>
                <w:lang w:eastAsia="lt-LT"/>
              </w:rPr>
              <w:t>3.</w:t>
            </w:r>
          </w:p>
        </w:tc>
        <w:tc>
          <w:tcPr>
            <w:tcW w:w="5245" w:type="dxa"/>
          </w:tcPr>
          <w:p w14:paraId="5E545A4E" w14:textId="3B5A01B1" w:rsidR="00784964" w:rsidRPr="0086210B" w:rsidRDefault="00784964" w:rsidP="00021699">
            <w:pPr>
              <w:jc w:val="both"/>
              <w:rPr>
                <w:lang w:eastAsia="lt-LT"/>
              </w:rPr>
            </w:pPr>
            <w:r w:rsidRPr="00325259">
              <w:rPr>
                <w:bCs/>
                <w:color w:val="000000"/>
                <w:szCs w:val="24"/>
                <w:lang w:eastAsia="lt-LT"/>
              </w:rPr>
              <w:t xml:space="preserve">Kompiuterių jungčių išplėtimo stotelė </w:t>
            </w:r>
            <w:r>
              <w:rPr>
                <w:bCs/>
                <w:color w:val="000000"/>
                <w:szCs w:val="24"/>
                <w:lang w:eastAsia="lt-LT"/>
              </w:rPr>
              <w:t>„</w:t>
            </w:r>
            <w:r w:rsidRPr="00325259">
              <w:rPr>
                <w:bCs/>
                <w:color w:val="000000"/>
                <w:szCs w:val="24"/>
                <w:lang w:eastAsia="lt-LT"/>
              </w:rPr>
              <w:t>Digitus-DA-70868</w:t>
            </w:r>
            <w:r>
              <w:rPr>
                <w:bCs/>
                <w:color w:val="000000"/>
                <w:szCs w:val="24"/>
                <w:lang w:eastAsia="lt-LT"/>
              </w:rPr>
              <w:t>“</w:t>
            </w:r>
            <w:r w:rsidRPr="00325259">
              <w:rPr>
                <w:bCs/>
                <w:color w:val="000000"/>
                <w:szCs w:val="24"/>
                <w:lang w:eastAsia="lt-LT"/>
              </w:rPr>
              <w:t xml:space="preserve"> su įkrovikliu ir </w:t>
            </w:r>
            <w:r>
              <w:rPr>
                <w:bCs/>
                <w:color w:val="000000"/>
                <w:szCs w:val="24"/>
                <w:lang w:eastAsia="lt-LT"/>
              </w:rPr>
              <w:t>k</w:t>
            </w:r>
            <w:r w:rsidRPr="00E90F8F">
              <w:rPr>
                <w:bCs/>
                <w:color w:val="000000"/>
                <w:szCs w:val="24"/>
                <w:lang w:eastAsia="lt-LT"/>
              </w:rPr>
              <w:t>abeli</w:t>
            </w:r>
            <w:r>
              <w:rPr>
                <w:bCs/>
                <w:color w:val="000000"/>
                <w:szCs w:val="24"/>
                <w:lang w:eastAsia="lt-LT"/>
              </w:rPr>
              <w:t>u</w:t>
            </w:r>
            <w:r w:rsidRPr="00E90F8F">
              <w:rPr>
                <w:bCs/>
                <w:color w:val="000000"/>
                <w:szCs w:val="24"/>
                <w:lang w:eastAsia="lt-LT"/>
              </w:rPr>
              <w:t xml:space="preserve"> su </w:t>
            </w:r>
            <w:r w:rsidR="00527BBD">
              <w:rPr>
                <w:bCs/>
                <w:color w:val="000000"/>
                <w:szCs w:val="24"/>
                <w:lang w:eastAsia="lt-LT"/>
              </w:rPr>
              <w:t>„</w:t>
            </w:r>
            <w:proofErr w:type="spellStart"/>
            <w:r w:rsidRPr="00527BBD">
              <w:rPr>
                <w:bCs/>
                <w:color w:val="000000"/>
                <w:szCs w:val="24"/>
                <w:lang w:eastAsia="lt-LT"/>
              </w:rPr>
              <w:t>DisplayPort</w:t>
            </w:r>
            <w:proofErr w:type="spellEnd"/>
            <w:r w:rsidR="00527BBD">
              <w:rPr>
                <w:bCs/>
                <w:color w:val="000000"/>
                <w:szCs w:val="24"/>
                <w:lang w:eastAsia="lt-LT"/>
              </w:rPr>
              <w:t>“</w:t>
            </w:r>
            <w:r w:rsidRPr="00E90F8F">
              <w:rPr>
                <w:bCs/>
                <w:color w:val="000000"/>
                <w:szCs w:val="24"/>
                <w:lang w:eastAsia="lt-LT"/>
              </w:rPr>
              <w:t xml:space="preserve"> jungtimis</w:t>
            </w:r>
          </w:p>
        </w:tc>
        <w:tc>
          <w:tcPr>
            <w:tcW w:w="1276" w:type="dxa"/>
            <w:vAlign w:val="center"/>
          </w:tcPr>
          <w:p w14:paraId="65194A69" w14:textId="77777777" w:rsidR="00784964" w:rsidRDefault="00784964" w:rsidP="00021699">
            <w:pPr>
              <w:jc w:val="center"/>
            </w:pPr>
            <w:r>
              <w:t>18</w:t>
            </w:r>
          </w:p>
        </w:tc>
        <w:tc>
          <w:tcPr>
            <w:tcW w:w="1417" w:type="dxa"/>
            <w:vAlign w:val="center"/>
          </w:tcPr>
          <w:p w14:paraId="16488373" w14:textId="77777777" w:rsidR="00784964" w:rsidRPr="0086210B" w:rsidRDefault="00784964" w:rsidP="00021699">
            <w:pPr>
              <w:jc w:val="center"/>
              <w:rPr>
                <w:lang w:eastAsia="lt-LT"/>
              </w:rPr>
            </w:pPr>
            <w:r w:rsidRPr="00325259">
              <w:rPr>
                <w:bCs/>
                <w:color w:val="000000"/>
                <w:szCs w:val="24"/>
                <w:lang w:eastAsia="lt-LT"/>
              </w:rPr>
              <w:t>97,29</w:t>
            </w:r>
          </w:p>
        </w:tc>
        <w:tc>
          <w:tcPr>
            <w:tcW w:w="1560" w:type="dxa"/>
            <w:noWrap/>
            <w:vAlign w:val="center"/>
          </w:tcPr>
          <w:p w14:paraId="76E79C6E" w14:textId="77777777" w:rsidR="00784964" w:rsidRPr="0086210B" w:rsidRDefault="00784964" w:rsidP="00021699">
            <w:pPr>
              <w:jc w:val="center"/>
              <w:rPr>
                <w:bCs/>
                <w:lang w:eastAsia="lt-LT"/>
              </w:rPr>
            </w:pPr>
            <w:r w:rsidRPr="00325259">
              <w:rPr>
                <w:bCs/>
                <w:color w:val="000000"/>
                <w:szCs w:val="24"/>
                <w:lang w:eastAsia="lt-LT"/>
              </w:rPr>
              <w:t>1 751,22</w:t>
            </w:r>
          </w:p>
        </w:tc>
      </w:tr>
      <w:tr w:rsidR="00784964" w:rsidRPr="00A34063" w14:paraId="4E88D10D" w14:textId="77777777" w:rsidTr="00021699">
        <w:trPr>
          <w:trHeight w:val="529"/>
        </w:trPr>
        <w:tc>
          <w:tcPr>
            <w:tcW w:w="5954" w:type="dxa"/>
            <w:gridSpan w:val="2"/>
            <w:noWrap/>
            <w:vAlign w:val="center"/>
          </w:tcPr>
          <w:p w14:paraId="10A462B3" w14:textId="77777777" w:rsidR="00784964" w:rsidRDefault="00784964" w:rsidP="00021699">
            <w:pPr>
              <w:jc w:val="right"/>
              <w:rPr>
                <w:b/>
                <w:bCs/>
              </w:rPr>
            </w:pPr>
            <w:r>
              <w:rPr>
                <w:b/>
                <w:bCs/>
              </w:rPr>
              <w:t>Iš viso</w:t>
            </w:r>
            <w:r w:rsidRPr="00E90F8F">
              <w:t>:</w:t>
            </w:r>
          </w:p>
        </w:tc>
        <w:tc>
          <w:tcPr>
            <w:tcW w:w="1276" w:type="dxa"/>
            <w:noWrap/>
            <w:vAlign w:val="center"/>
          </w:tcPr>
          <w:p w14:paraId="0D6B1EA2" w14:textId="77777777" w:rsidR="00784964" w:rsidRPr="00497461" w:rsidRDefault="00784964" w:rsidP="00021699">
            <w:pPr>
              <w:jc w:val="center"/>
              <w:rPr>
                <w:b/>
                <w:bCs/>
              </w:rPr>
            </w:pPr>
            <w:r w:rsidRPr="00497461">
              <w:rPr>
                <w:b/>
                <w:bCs/>
                <w:color w:val="000000"/>
                <w:szCs w:val="24"/>
                <w:lang w:eastAsia="lt-LT"/>
              </w:rPr>
              <w:t>36</w:t>
            </w:r>
          </w:p>
        </w:tc>
        <w:tc>
          <w:tcPr>
            <w:tcW w:w="1417" w:type="dxa"/>
            <w:noWrap/>
            <w:vAlign w:val="center"/>
          </w:tcPr>
          <w:p w14:paraId="6182E9C4" w14:textId="77777777" w:rsidR="00784964" w:rsidRPr="00497461" w:rsidRDefault="00784964" w:rsidP="00021699">
            <w:pPr>
              <w:jc w:val="center"/>
              <w:rPr>
                <w:b/>
                <w:bCs/>
              </w:rPr>
            </w:pPr>
            <w:r w:rsidRPr="00497461">
              <w:rPr>
                <w:b/>
                <w:bCs/>
              </w:rPr>
              <w:t>–</w:t>
            </w:r>
          </w:p>
        </w:tc>
        <w:tc>
          <w:tcPr>
            <w:tcW w:w="1560" w:type="dxa"/>
            <w:noWrap/>
            <w:vAlign w:val="center"/>
          </w:tcPr>
          <w:p w14:paraId="764EF7E4" w14:textId="77777777" w:rsidR="00784964" w:rsidRPr="00497461" w:rsidRDefault="00784964" w:rsidP="00021699">
            <w:pPr>
              <w:jc w:val="center"/>
              <w:rPr>
                <w:b/>
                <w:bCs/>
              </w:rPr>
            </w:pPr>
            <w:r w:rsidRPr="00497461">
              <w:rPr>
                <w:b/>
                <w:bCs/>
                <w:color w:val="000000"/>
                <w:szCs w:val="24"/>
                <w:lang w:eastAsia="lt-LT"/>
              </w:rPr>
              <w:t>13 506,99</w:t>
            </w:r>
          </w:p>
        </w:tc>
      </w:tr>
    </w:tbl>
    <w:p w14:paraId="71C8B6DD" w14:textId="77777777" w:rsidR="00784964" w:rsidRDefault="00784964" w:rsidP="00784964">
      <w:pPr>
        <w:jc w:val="both"/>
        <w:rPr>
          <w:rFonts w:eastAsia="Calibri"/>
          <w:szCs w:val="24"/>
        </w:rPr>
      </w:pPr>
    </w:p>
    <w:p w14:paraId="15C45558" w14:textId="77777777" w:rsidR="00146434" w:rsidRDefault="00146434" w:rsidP="00146434">
      <w:pPr>
        <w:jc w:val="center"/>
        <w:rPr>
          <w:b/>
          <w:szCs w:val="22"/>
        </w:rPr>
      </w:pPr>
    </w:p>
    <w:sectPr w:rsidR="00146434"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1306A" w14:textId="77777777" w:rsidR="002A094D" w:rsidRDefault="002A094D">
      <w:r>
        <w:separator/>
      </w:r>
    </w:p>
  </w:endnote>
  <w:endnote w:type="continuationSeparator" w:id="0">
    <w:p w14:paraId="3DADE6F6" w14:textId="77777777" w:rsidR="002A094D" w:rsidRDefault="002A094D">
      <w:r>
        <w:continuationSeparator/>
      </w:r>
    </w:p>
  </w:endnote>
  <w:endnote w:type="continuationNotice" w:id="1">
    <w:p w14:paraId="4949810B" w14:textId="77777777" w:rsidR="002A094D" w:rsidRDefault="002A0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293DF" w14:textId="77777777" w:rsidR="002A094D" w:rsidRDefault="002A094D">
      <w:r>
        <w:separator/>
      </w:r>
    </w:p>
  </w:footnote>
  <w:footnote w:type="continuationSeparator" w:id="0">
    <w:p w14:paraId="12204F41" w14:textId="77777777" w:rsidR="002A094D" w:rsidRDefault="002A094D">
      <w:r>
        <w:continuationSeparator/>
      </w:r>
    </w:p>
  </w:footnote>
  <w:footnote w:type="continuationNotice" w:id="1">
    <w:p w14:paraId="4D43FCD0" w14:textId="77777777" w:rsidR="002A094D" w:rsidRDefault="002A0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136488928">
    <w:abstractNumId w:val="0"/>
  </w:num>
  <w:num w:numId="2" w16cid:durableId="1854301492">
    <w:abstractNumId w:val="1"/>
  </w:num>
  <w:num w:numId="3" w16cid:durableId="933585929">
    <w:abstractNumId w:val="16"/>
  </w:num>
  <w:num w:numId="4" w16cid:durableId="151916921">
    <w:abstractNumId w:val="14"/>
  </w:num>
  <w:num w:numId="5" w16cid:durableId="563756417">
    <w:abstractNumId w:val="7"/>
  </w:num>
  <w:num w:numId="6" w16cid:durableId="27993427">
    <w:abstractNumId w:val="10"/>
  </w:num>
  <w:num w:numId="7" w16cid:durableId="15544256">
    <w:abstractNumId w:val="8"/>
  </w:num>
  <w:num w:numId="8" w16cid:durableId="157157464">
    <w:abstractNumId w:val="17"/>
  </w:num>
  <w:num w:numId="9" w16cid:durableId="1559172439">
    <w:abstractNumId w:val="15"/>
  </w:num>
  <w:num w:numId="10" w16cid:durableId="1556433931">
    <w:abstractNumId w:val="12"/>
  </w:num>
  <w:num w:numId="11" w16cid:durableId="725298598">
    <w:abstractNumId w:val="6"/>
  </w:num>
  <w:num w:numId="12" w16cid:durableId="313993489">
    <w:abstractNumId w:val="4"/>
  </w:num>
  <w:num w:numId="13" w16cid:durableId="1107041045">
    <w:abstractNumId w:val="11"/>
  </w:num>
  <w:num w:numId="14" w16cid:durableId="2084403128">
    <w:abstractNumId w:val="2"/>
  </w:num>
  <w:num w:numId="15" w16cid:durableId="1660578382">
    <w:abstractNumId w:val="13"/>
  </w:num>
  <w:num w:numId="16" w16cid:durableId="2143301538">
    <w:abstractNumId w:val="3"/>
  </w:num>
  <w:num w:numId="17" w16cid:durableId="1597710642">
    <w:abstractNumId w:val="9"/>
  </w:num>
  <w:num w:numId="18" w16cid:durableId="848636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3278"/>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46434"/>
    <w:rsid w:val="00153241"/>
    <w:rsid w:val="00153B94"/>
    <w:rsid w:val="0015600E"/>
    <w:rsid w:val="00165F88"/>
    <w:rsid w:val="00173EF3"/>
    <w:rsid w:val="001801ED"/>
    <w:rsid w:val="00180221"/>
    <w:rsid w:val="001A0565"/>
    <w:rsid w:val="001A62D1"/>
    <w:rsid w:val="001A6DCC"/>
    <w:rsid w:val="001B1FE3"/>
    <w:rsid w:val="001B75C7"/>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27287"/>
    <w:rsid w:val="002302E5"/>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094D"/>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483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BBD"/>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75917"/>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4964"/>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053B"/>
    <w:rsid w:val="00A42A4C"/>
    <w:rsid w:val="00A562AA"/>
    <w:rsid w:val="00A57683"/>
    <w:rsid w:val="00A72D13"/>
    <w:rsid w:val="00A72F74"/>
    <w:rsid w:val="00A81759"/>
    <w:rsid w:val="00A83444"/>
    <w:rsid w:val="00A84DDD"/>
    <w:rsid w:val="00A90AC8"/>
    <w:rsid w:val="00A97838"/>
    <w:rsid w:val="00AA682E"/>
    <w:rsid w:val="00AA6FB2"/>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45B1E"/>
    <w:rsid w:val="00B52FFC"/>
    <w:rsid w:val="00B547AD"/>
    <w:rsid w:val="00B555F6"/>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1BCD"/>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00F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0709"/>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467C"/>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uiPriority w:val="39"/>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A2D3-0B04-421D-A1D3-C1981292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336</Words>
  <Characters>2323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2025-11-07T09:58:00Z</dcterms:created>
  <dcterms:modified xsi:type="dcterms:W3CDTF">2025-11-07T09:58:00Z</dcterms:modified>
</cp:coreProperties>
</file>