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2025 m. lapkričio 11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TSP-458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20740759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likutinė vertė </w:t>
      </w:r>
      <w:r w:rsidR="002A4838">
        <w:rPr>
          <w:szCs w:val="24"/>
        </w:rPr>
        <w:t>2025</w:t>
      </w:r>
      <w:r w:rsidRPr="00D17E70">
        <w:rPr>
          <w:szCs w:val="24"/>
        </w:rPr>
        <w:t xml:space="preserve"> m. </w:t>
      </w:r>
      <w:r w:rsidR="00CC61A7">
        <w:rPr>
          <w:szCs w:val="24"/>
        </w:rPr>
        <w:t xml:space="preserve">lapkričio 30 </w:t>
      </w:r>
      <w:r w:rsidRPr="00D17E70">
        <w:rPr>
          <w:szCs w:val="24"/>
        </w:rPr>
        <w:t>d.</w:t>
      </w:r>
      <w:r w:rsidR="00CC61A7">
        <w:rPr>
          <w:szCs w:val="24"/>
        </w:rPr>
        <w:t xml:space="preserve"> </w:t>
      </w:r>
      <w:r w:rsidRPr="00D17E70">
        <w:rPr>
          <w:szCs w:val="24"/>
        </w:rPr>
        <w:t>–</w:t>
      </w:r>
      <w:r w:rsidR="002A4838">
        <w:rPr>
          <w:szCs w:val="24"/>
        </w:rPr>
        <w:t xml:space="preserve"> </w:t>
      </w:r>
      <w:r w:rsidR="00CC61A7" w:rsidRPr="00CC61A7">
        <w:rPr>
          <w:szCs w:val="24"/>
        </w:rPr>
        <w:t>122</w:t>
      </w:r>
      <w:r w:rsidR="00A47F62">
        <w:rPr>
          <w:szCs w:val="24"/>
        </w:rPr>
        <w:t> </w:t>
      </w:r>
      <w:r w:rsidR="00CC61A7" w:rsidRPr="00CC61A7">
        <w:rPr>
          <w:szCs w:val="24"/>
        </w:rPr>
        <w:t>456,77</w:t>
      </w:r>
      <w:r w:rsidR="00CC61A7">
        <w:rPr>
          <w:szCs w:val="24"/>
        </w:rPr>
        <w:t xml:space="preserve"> </w:t>
      </w:r>
      <w:r w:rsidRPr="00094607">
        <w:rPr>
          <w:szCs w:val="24"/>
        </w:rPr>
        <w:t>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7F496886" w14:textId="4B52A16D" w:rsidR="006670DC" w:rsidRDefault="002A4838" w:rsidP="006670DC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Loreta Masiliūnienė</w:t>
      </w:r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6"/>
        <w:gridCol w:w="1330"/>
        <w:gridCol w:w="1403"/>
        <w:gridCol w:w="949"/>
        <w:gridCol w:w="1271"/>
      </w:tblGrid>
      <w:tr w:rsidR="002E4261" w:rsidRPr="00094607" w14:paraId="5153C482" w14:textId="77777777" w:rsidTr="00CC61A7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2" w:type="pct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1" w:type="pct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739" w:type="pct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00" w:type="pct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670" w:type="pct"/>
          </w:tcPr>
          <w:p w14:paraId="5A1E23E4" w14:textId="3C079EF3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 Eur</w:t>
            </w:r>
          </w:p>
        </w:tc>
      </w:tr>
      <w:tr w:rsidR="007A1338" w:rsidRPr="00094607" w14:paraId="6A031958" w14:textId="77777777" w:rsidTr="00CC61A7">
        <w:tc>
          <w:tcPr>
            <w:tcW w:w="335" w:type="pct"/>
          </w:tcPr>
          <w:p w14:paraId="05ED5034" w14:textId="0A0B8489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161.</w:t>
            </w:r>
          </w:p>
        </w:tc>
        <w:tc>
          <w:tcPr>
            <w:tcW w:w="803" w:type="pct"/>
          </w:tcPr>
          <w:p w14:paraId="7C2A9B8D" w14:textId="332704EC" w:rsidR="007A1338" w:rsidRPr="002A4838" w:rsidRDefault="007A1338" w:rsidP="007A1338">
            <w:pPr>
              <w:jc w:val="center"/>
            </w:pPr>
            <w:r>
              <w:t>1010404</w:t>
            </w:r>
          </w:p>
        </w:tc>
        <w:tc>
          <w:tcPr>
            <w:tcW w:w="1252" w:type="pct"/>
          </w:tcPr>
          <w:p w14:paraId="099E6710" w14:textId="137BC536" w:rsidR="007A1338" w:rsidRDefault="007A1338" w:rsidP="007A1338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</w:t>
            </w:r>
            <w:r>
              <w:rPr>
                <w:szCs w:val="24"/>
              </w:rPr>
              <w:t>įvairių socialinių grupių</w:t>
            </w:r>
            <w:r w:rsidRPr="00094607">
              <w:rPr>
                <w:szCs w:val="24"/>
              </w:rPr>
              <w:t xml:space="preserve"> paskirties vieno kambario butas</w:t>
            </w:r>
            <w:r>
              <w:rPr>
                <w:szCs w:val="24"/>
              </w:rPr>
              <w:t>, bendrabučio tipo pastate</w:t>
            </w:r>
            <w:r w:rsidRPr="00094607">
              <w:rPr>
                <w:szCs w:val="24"/>
              </w:rPr>
              <w:t xml:space="preserve">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trečiame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1961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6,12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01" w:type="pct"/>
          </w:tcPr>
          <w:p w14:paraId="1CE48796" w14:textId="3221F694" w:rsidR="007A1338" w:rsidRPr="003A549A" w:rsidRDefault="007A1338" w:rsidP="007A1338">
            <w:pPr>
              <w:jc w:val="center"/>
              <w:rPr>
                <w:bCs/>
                <w:szCs w:val="24"/>
                <w:lang w:eastAsia="lt-LT"/>
              </w:rPr>
            </w:pPr>
            <w:r w:rsidRPr="004C7AA7">
              <w:rPr>
                <w:bCs/>
                <w:szCs w:val="24"/>
                <w:lang w:eastAsia="lt-LT"/>
              </w:rPr>
              <w:t>4400-2204-8939:7261</w:t>
            </w:r>
          </w:p>
        </w:tc>
        <w:tc>
          <w:tcPr>
            <w:tcW w:w="739" w:type="pct"/>
          </w:tcPr>
          <w:p w14:paraId="063256DE" w14:textId="20ABD9F4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Liepų al. 7-60, Panevėžys</w:t>
            </w:r>
          </w:p>
        </w:tc>
        <w:tc>
          <w:tcPr>
            <w:tcW w:w="500" w:type="pct"/>
          </w:tcPr>
          <w:p w14:paraId="543B402A" w14:textId="397C2235" w:rsidR="007A1338" w:rsidRDefault="007A1338" w:rsidP="007A1338">
            <w:pPr>
              <w:jc w:val="center"/>
              <w:rPr>
                <w:szCs w:val="24"/>
              </w:rPr>
            </w:pPr>
            <w:r w:rsidRPr="00901100">
              <w:rPr>
                <w:szCs w:val="24"/>
                <w:lang w:eastAsia="lt-LT"/>
              </w:rPr>
              <w:t>12,86</w:t>
            </w:r>
          </w:p>
        </w:tc>
        <w:tc>
          <w:tcPr>
            <w:tcW w:w="670" w:type="pct"/>
          </w:tcPr>
          <w:p w14:paraId="001969F9" w14:textId="2E704E76" w:rsidR="007A1338" w:rsidRDefault="007A1338" w:rsidP="007A1338">
            <w:pPr>
              <w:jc w:val="center"/>
            </w:pPr>
            <w:r>
              <w:rPr>
                <w:szCs w:val="24"/>
              </w:rPr>
              <w:t>3,15</w:t>
            </w:r>
          </w:p>
        </w:tc>
      </w:tr>
      <w:tr w:rsidR="007A1338" w:rsidRPr="00094607" w14:paraId="79E34B50" w14:textId="77777777" w:rsidTr="00CC61A7">
        <w:tc>
          <w:tcPr>
            <w:tcW w:w="335" w:type="pct"/>
          </w:tcPr>
          <w:p w14:paraId="3DEF90F0" w14:textId="6DF263F3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162.</w:t>
            </w:r>
          </w:p>
        </w:tc>
        <w:tc>
          <w:tcPr>
            <w:tcW w:w="803" w:type="pct"/>
          </w:tcPr>
          <w:p w14:paraId="2A980E4C" w14:textId="11AB4FBE" w:rsidR="007A1338" w:rsidRDefault="007A1338" w:rsidP="007A1338">
            <w:pPr>
              <w:jc w:val="center"/>
            </w:pPr>
            <w:r>
              <w:t>1020175</w:t>
            </w:r>
          </w:p>
        </w:tc>
        <w:tc>
          <w:tcPr>
            <w:tcW w:w="1252" w:type="pct"/>
          </w:tcPr>
          <w:p w14:paraId="26693B8C" w14:textId="28A873E2" w:rsidR="007A1338" w:rsidRPr="00094607" w:rsidRDefault="00832CB6" w:rsidP="007A13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Pastatas – klubas (administracinės paskirties dviejų aukštų mūrinis pastatas, statybos pabaigos metai – 1972)</w:t>
            </w:r>
          </w:p>
        </w:tc>
        <w:tc>
          <w:tcPr>
            <w:tcW w:w="701" w:type="pct"/>
          </w:tcPr>
          <w:p w14:paraId="2E1E3DB5" w14:textId="61706DEB" w:rsidR="007A1338" w:rsidRPr="004C7AA7" w:rsidRDefault="00832CB6" w:rsidP="007A133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2797-2002-2018</w:t>
            </w:r>
          </w:p>
        </w:tc>
        <w:tc>
          <w:tcPr>
            <w:tcW w:w="739" w:type="pct"/>
          </w:tcPr>
          <w:p w14:paraId="5932060B" w14:textId="5B281CBC" w:rsidR="007A1338" w:rsidRDefault="00832CB6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Laisvės a. 25B, Panevėžys</w:t>
            </w:r>
          </w:p>
        </w:tc>
        <w:tc>
          <w:tcPr>
            <w:tcW w:w="500" w:type="pct"/>
          </w:tcPr>
          <w:p w14:paraId="6F1EC429" w14:textId="4D499C11" w:rsidR="007A1338" w:rsidRPr="00901100" w:rsidRDefault="00832CB6" w:rsidP="007A133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202,62</w:t>
            </w:r>
          </w:p>
        </w:tc>
        <w:tc>
          <w:tcPr>
            <w:tcW w:w="670" w:type="pct"/>
          </w:tcPr>
          <w:p w14:paraId="0A5855E1" w14:textId="0F56DFDB" w:rsidR="007A1338" w:rsidRDefault="00832CB6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832CB6" w:rsidRPr="00094607" w14:paraId="04F02D6C" w14:textId="77777777" w:rsidTr="00CC61A7">
        <w:tc>
          <w:tcPr>
            <w:tcW w:w="335" w:type="pct"/>
          </w:tcPr>
          <w:p w14:paraId="7BEA8BEB" w14:textId="12B3A64E" w:rsidR="00832CB6" w:rsidRDefault="00832CB6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163.</w:t>
            </w:r>
          </w:p>
        </w:tc>
        <w:tc>
          <w:tcPr>
            <w:tcW w:w="803" w:type="pct"/>
          </w:tcPr>
          <w:p w14:paraId="7006AA48" w14:textId="47BDD577" w:rsidR="00832CB6" w:rsidRDefault="00832CB6" w:rsidP="007A1338">
            <w:pPr>
              <w:jc w:val="center"/>
            </w:pPr>
            <w:r>
              <w:t>10018</w:t>
            </w:r>
          </w:p>
        </w:tc>
        <w:tc>
          <w:tcPr>
            <w:tcW w:w="1252" w:type="pct"/>
          </w:tcPr>
          <w:p w14:paraId="4ABF8C5C" w14:textId="0121A93F" w:rsidR="00832CB6" w:rsidRDefault="00832CB6" w:rsidP="007A13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Negyvenamoji patalpa</w:t>
            </w:r>
            <w:r w:rsidR="00A47F62">
              <w:rPr>
                <w:szCs w:val="24"/>
              </w:rPr>
              <w:t> </w:t>
            </w:r>
            <w:r w:rsidR="00CC61A7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CC61A7">
              <w:rPr>
                <w:szCs w:val="24"/>
              </w:rPr>
              <w:t>Lėlių vežimo teatras (kultūros paskirties patalpa, esanti mūrinio dviejų aukštų pastato pirmame ir antrame aukštuose, statybos pabaigos metai – 1993)</w:t>
            </w:r>
          </w:p>
        </w:tc>
        <w:tc>
          <w:tcPr>
            <w:tcW w:w="701" w:type="pct"/>
          </w:tcPr>
          <w:p w14:paraId="3178772B" w14:textId="2F781207" w:rsidR="00832CB6" w:rsidRDefault="00CC61A7" w:rsidP="007A133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2799-3004-9014:0001</w:t>
            </w:r>
          </w:p>
        </w:tc>
        <w:tc>
          <w:tcPr>
            <w:tcW w:w="739" w:type="pct"/>
          </w:tcPr>
          <w:p w14:paraId="75808CFA" w14:textId="4CF65910" w:rsidR="00832CB6" w:rsidRDefault="00CC61A7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Respublikos g. 30-1, Panevė</w:t>
            </w:r>
            <w:r w:rsidR="00A47F62">
              <w:rPr>
                <w:szCs w:val="24"/>
              </w:rPr>
              <w:t>ž</w:t>
            </w:r>
            <w:r>
              <w:rPr>
                <w:szCs w:val="24"/>
              </w:rPr>
              <w:t>y</w:t>
            </w:r>
            <w:r w:rsidR="00A47F62">
              <w:rPr>
                <w:szCs w:val="24"/>
              </w:rPr>
              <w:t>s</w:t>
            </w:r>
          </w:p>
        </w:tc>
        <w:tc>
          <w:tcPr>
            <w:tcW w:w="500" w:type="pct"/>
          </w:tcPr>
          <w:p w14:paraId="5FAD4349" w14:textId="371BB3D3" w:rsidR="00832CB6" w:rsidRDefault="00CC61A7" w:rsidP="007A133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373,38</w:t>
            </w:r>
          </w:p>
        </w:tc>
        <w:tc>
          <w:tcPr>
            <w:tcW w:w="670" w:type="pct"/>
          </w:tcPr>
          <w:p w14:paraId="14FB3A16" w14:textId="6F0B3304" w:rsidR="00832CB6" w:rsidRPr="00CC61A7" w:rsidRDefault="00CC61A7" w:rsidP="007A1338">
            <w:pPr>
              <w:jc w:val="center"/>
              <w:rPr>
                <w:szCs w:val="24"/>
              </w:rPr>
            </w:pPr>
            <w:r w:rsidRPr="00CC61A7">
              <w:rPr>
                <w:szCs w:val="24"/>
              </w:rPr>
              <w:t>122453,62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727"/>
        <w:gridCol w:w="2695"/>
        <w:gridCol w:w="1510"/>
        <w:gridCol w:w="1799"/>
        <w:gridCol w:w="1036"/>
      </w:tblGrid>
      <w:tr w:rsidR="007A1338" w:rsidRPr="00094607" w14:paraId="1DDB3003" w14:textId="77777777" w:rsidTr="007A1338">
        <w:trPr>
          <w:tblHeader/>
        </w:trPr>
        <w:tc>
          <w:tcPr>
            <w:tcW w:w="380" w:type="pct"/>
          </w:tcPr>
          <w:p w14:paraId="5AC381C1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10" w:type="pct"/>
          </w:tcPr>
          <w:p w14:paraId="1955C100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420" w:type="pct"/>
          </w:tcPr>
          <w:p w14:paraId="09D9E875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96" w:type="pct"/>
          </w:tcPr>
          <w:p w14:paraId="07B7809D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8" w:type="pct"/>
          </w:tcPr>
          <w:p w14:paraId="25CDABAD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46" w:type="pct"/>
          </w:tcPr>
          <w:p w14:paraId="5E3FDEDE" w14:textId="77777777" w:rsidR="007A1338" w:rsidRPr="00094607" w:rsidRDefault="007A1338" w:rsidP="00323C9F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7A1338" w:rsidRPr="00094607" w14:paraId="786BB0D2" w14:textId="77777777" w:rsidTr="007A1338">
        <w:tc>
          <w:tcPr>
            <w:tcW w:w="380" w:type="pct"/>
          </w:tcPr>
          <w:p w14:paraId="7CCDB595" w14:textId="77777777" w:rsidR="007A1338" w:rsidRDefault="007A1338" w:rsidP="00323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158.</w:t>
            </w:r>
          </w:p>
        </w:tc>
        <w:tc>
          <w:tcPr>
            <w:tcW w:w="910" w:type="pct"/>
          </w:tcPr>
          <w:p w14:paraId="7ABC14CE" w14:textId="77777777" w:rsidR="007A1338" w:rsidRPr="002A4838" w:rsidRDefault="007A1338" w:rsidP="00323C9F">
            <w:pPr>
              <w:jc w:val="center"/>
            </w:pPr>
            <w:r w:rsidRPr="002A4838">
              <w:rPr>
                <w:szCs w:val="24"/>
              </w:rPr>
              <w:t>1010415</w:t>
            </w:r>
          </w:p>
        </w:tc>
        <w:tc>
          <w:tcPr>
            <w:tcW w:w="1420" w:type="pct"/>
          </w:tcPr>
          <w:p w14:paraId="1C771075" w14:textId="77777777" w:rsidR="007A1338" w:rsidRDefault="007A1338" w:rsidP="00323C9F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</w:t>
            </w:r>
            <w:r>
              <w:rPr>
                <w:szCs w:val="24"/>
              </w:rPr>
              <w:t>įvairių socialinių grupių</w:t>
            </w:r>
            <w:r w:rsidRPr="00094607">
              <w:rPr>
                <w:szCs w:val="24"/>
              </w:rPr>
              <w:t xml:space="preserve"> paskirties vieno kambario butas, esantis </w:t>
            </w:r>
            <w:r>
              <w:rPr>
                <w:szCs w:val="24"/>
              </w:rPr>
              <w:t>penkių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1963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8,63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96" w:type="pct"/>
          </w:tcPr>
          <w:p w14:paraId="1EBF2874" w14:textId="77777777" w:rsidR="007A1338" w:rsidRPr="003A549A" w:rsidRDefault="007A1338" w:rsidP="00323C9F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4400-2062-5516:6225</w:t>
            </w:r>
          </w:p>
        </w:tc>
        <w:tc>
          <w:tcPr>
            <w:tcW w:w="948" w:type="pct"/>
          </w:tcPr>
          <w:p w14:paraId="267FBCB7" w14:textId="77777777" w:rsidR="007A1338" w:rsidRDefault="007A1338" w:rsidP="00323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Liepų al. </w:t>
            </w:r>
          </w:p>
          <w:p w14:paraId="0D777267" w14:textId="77777777" w:rsidR="007A1338" w:rsidRDefault="007A1338" w:rsidP="00323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10-19, Panevėžys</w:t>
            </w:r>
          </w:p>
        </w:tc>
        <w:tc>
          <w:tcPr>
            <w:tcW w:w="546" w:type="pct"/>
          </w:tcPr>
          <w:p w14:paraId="3A6C9C8E" w14:textId="77777777" w:rsidR="007A1338" w:rsidRDefault="007A1338" w:rsidP="00323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17,70</w:t>
            </w:r>
          </w:p>
        </w:tc>
      </w:tr>
      <w:tr w:rsidR="007A1338" w:rsidRPr="00094607" w14:paraId="2D92E7FE" w14:textId="77777777" w:rsidTr="007A1338">
        <w:tc>
          <w:tcPr>
            <w:tcW w:w="380" w:type="pct"/>
          </w:tcPr>
          <w:p w14:paraId="573FE6C9" w14:textId="3AA0EE64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159.</w:t>
            </w:r>
          </w:p>
        </w:tc>
        <w:tc>
          <w:tcPr>
            <w:tcW w:w="910" w:type="pct"/>
          </w:tcPr>
          <w:p w14:paraId="4985812A" w14:textId="4AE65695" w:rsidR="007A1338" w:rsidRPr="002A4838" w:rsidRDefault="007A1338" w:rsidP="007A1338">
            <w:pPr>
              <w:jc w:val="center"/>
              <w:rPr>
                <w:szCs w:val="24"/>
              </w:rPr>
            </w:pPr>
            <w:r w:rsidRPr="004C094F">
              <w:rPr>
                <w:color w:val="000000" w:themeColor="text1"/>
              </w:rPr>
              <w:t>1010412</w:t>
            </w:r>
          </w:p>
        </w:tc>
        <w:tc>
          <w:tcPr>
            <w:tcW w:w="1420" w:type="pct"/>
          </w:tcPr>
          <w:p w14:paraId="21B9016D" w14:textId="66A5AA56" w:rsidR="007A1338" w:rsidRPr="00094607" w:rsidRDefault="007A1338" w:rsidP="00A47F62">
            <w:pPr>
              <w:jc w:val="both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Butas (įvairių socialinių grupių paskirties vieno kambario butas, bendrabučio tipo pastate, esantis penkių aukštų mūrinio pastato pirmame aukšte, su bendrojo naudojimo patalpomis,</w:t>
            </w:r>
            <w:r w:rsidRPr="004C094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4C094F">
              <w:rPr>
                <w:color w:val="000000" w:themeColor="text1"/>
                <w:szCs w:val="24"/>
              </w:rPr>
              <w:t xml:space="preserve">statybos </w:t>
            </w:r>
            <w:r w:rsidRPr="004C094F">
              <w:rPr>
                <w:color w:val="000000" w:themeColor="text1"/>
                <w:szCs w:val="24"/>
                <w:lang w:eastAsia="lt-LT"/>
              </w:rPr>
              <w:t>pabaigos metai – 1963, bendrojo naudojimo patalpų plotas</w:t>
            </w:r>
            <w:r w:rsidR="00A47F62">
              <w:rPr>
                <w:color w:val="000000" w:themeColor="text1"/>
                <w:szCs w:val="24"/>
                <w:lang w:eastAsia="lt-LT"/>
              </w:rPr>
              <w:t> </w:t>
            </w:r>
            <w:r w:rsidRPr="004C094F">
              <w:rPr>
                <w:color w:val="000000" w:themeColor="text1"/>
                <w:szCs w:val="24"/>
                <w:lang w:eastAsia="lt-LT"/>
              </w:rPr>
              <w:t>– 9,09 kv. m)</w:t>
            </w:r>
          </w:p>
        </w:tc>
        <w:tc>
          <w:tcPr>
            <w:tcW w:w="796" w:type="pct"/>
          </w:tcPr>
          <w:p w14:paraId="51786BEB" w14:textId="36329870" w:rsidR="007A1338" w:rsidRDefault="007A1338" w:rsidP="007A1338">
            <w:pPr>
              <w:jc w:val="center"/>
              <w:rPr>
                <w:bCs/>
                <w:szCs w:val="24"/>
                <w:lang w:eastAsia="lt-LT"/>
              </w:rPr>
            </w:pPr>
            <w:r w:rsidRPr="004C094F">
              <w:rPr>
                <w:bCs/>
                <w:color w:val="000000" w:themeColor="text1"/>
                <w:szCs w:val="24"/>
                <w:lang w:eastAsia="lt-LT"/>
              </w:rPr>
              <w:t>4400-2204-9136:7268</w:t>
            </w:r>
          </w:p>
        </w:tc>
        <w:tc>
          <w:tcPr>
            <w:tcW w:w="948" w:type="pct"/>
          </w:tcPr>
          <w:p w14:paraId="13D0EE7D" w14:textId="4E0EDCA0" w:rsidR="007A1338" w:rsidRDefault="007A1338" w:rsidP="007A1338">
            <w:pPr>
              <w:jc w:val="center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Liepų al. 10-11, Panevėžys</w:t>
            </w:r>
          </w:p>
        </w:tc>
        <w:tc>
          <w:tcPr>
            <w:tcW w:w="546" w:type="pct"/>
          </w:tcPr>
          <w:p w14:paraId="5159FC43" w14:textId="2B32C68F" w:rsidR="007A1338" w:rsidRDefault="007A1338" w:rsidP="007A1338">
            <w:pPr>
              <w:jc w:val="center"/>
              <w:rPr>
                <w:szCs w:val="24"/>
              </w:rPr>
            </w:pPr>
            <w:r w:rsidRPr="004C094F">
              <w:rPr>
                <w:color w:val="000000" w:themeColor="text1"/>
                <w:szCs w:val="24"/>
              </w:rPr>
              <w:t>17,58</w:t>
            </w:r>
          </w:p>
        </w:tc>
      </w:tr>
      <w:tr w:rsidR="007A1338" w:rsidRPr="00094607" w14:paraId="5654D743" w14:textId="77777777" w:rsidTr="007A1338">
        <w:tc>
          <w:tcPr>
            <w:tcW w:w="380" w:type="pct"/>
          </w:tcPr>
          <w:p w14:paraId="37D1AB87" w14:textId="55F82D05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160.</w:t>
            </w:r>
          </w:p>
        </w:tc>
        <w:tc>
          <w:tcPr>
            <w:tcW w:w="910" w:type="pct"/>
          </w:tcPr>
          <w:p w14:paraId="01AE2666" w14:textId="2CE40730" w:rsidR="007A1338" w:rsidRPr="002A4838" w:rsidRDefault="007A1338" w:rsidP="007A1338">
            <w:pPr>
              <w:jc w:val="center"/>
              <w:rPr>
                <w:szCs w:val="24"/>
              </w:rPr>
            </w:pPr>
            <w:r>
              <w:t>1010364</w:t>
            </w:r>
          </w:p>
        </w:tc>
        <w:tc>
          <w:tcPr>
            <w:tcW w:w="1420" w:type="pct"/>
          </w:tcPr>
          <w:p w14:paraId="1103CE0E" w14:textId="07CEB7F6" w:rsidR="007A1338" w:rsidRPr="00094607" w:rsidRDefault="007A1338" w:rsidP="007A1338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</w:t>
            </w:r>
            <w:r>
              <w:rPr>
                <w:szCs w:val="24"/>
              </w:rPr>
              <w:t xml:space="preserve">(gyvenamosios </w:t>
            </w:r>
            <w:r w:rsidRPr="00094607">
              <w:rPr>
                <w:szCs w:val="24"/>
              </w:rPr>
              <w:t>paskirties</w:t>
            </w:r>
            <w:r>
              <w:rPr>
                <w:szCs w:val="24"/>
              </w:rPr>
              <w:t xml:space="preserve"> </w:t>
            </w:r>
            <w:r w:rsidRPr="00094607">
              <w:rPr>
                <w:szCs w:val="24"/>
              </w:rPr>
              <w:t>vieno kambario butas</w:t>
            </w:r>
            <w:r>
              <w:rPr>
                <w:szCs w:val="24"/>
              </w:rPr>
              <w:t>, bendrabučio tipo pastate</w:t>
            </w:r>
            <w:r w:rsidRPr="00094607">
              <w:rPr>
                <w:szCs w:val="24"/>
              </w:rPr>
              <w:t xml:space="preserve">, esantis </w:t>
            </w:r>
            <w:r>
              <w:rPr>
                <w:szCs w:val="24"/>
              </w:rPr>
              <w:t>penkių</w:t>
            </w:r>
            <w:r w:rsidRPr="00094607">
              <w:rPr>
                <w:szCs w:val="24"/>
              </w:rPr>
              <w:t xml:space="preserve"> aukštų </w:t>
            </w:r>
            <w:r>
              <w:rPr>
                <w:szCs w:val="24"/>
              </w:rPr>
              <w:t>pastato 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1968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</w:t>
            </w:r>
            <w:r w:rsidR="00A47F62">
              <w:rPr>
                <w:szCs w:val="24"/>
                <w:lang w:eastAsia="lt-LT"/>
              </w:rPr>
              <w:t> </w:t>
            </w:r>
            <w:r w:rsidRPr="00094607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8,85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96" w:type="pct"/>
          </w:tcPr>
          <w:p w14:paraId="5A04AF00" w14:textId="39A970D3" w:rsidR="007A1338" w:rsidRDefault="007A1338" w:rsidP="007A133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2796-8000-3013:0115</w:t>
            </w:r>
          </w:p>
        </w:tc>
        <w:tc>
          <w:tcPr>
            <w:tcW w:w="948" w:type="pct"/>
          </w:tcPr>
          <w:p w14:paraId="00BA8186" w14:textId="345A1071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Aldonos g. 5-6, Panevėžys</w:t>
            </w:r>
          </w:p>
        </w:tc>
        <w:tc>
          <w:tcPr>
            <w:tcW w:w="546" w:type="pct"/>
          </w:tcPr>
          <w:p w14:paraId="0E07A216" w14:textId="7E3584F5" w:rsidR="007A1338" w:rsidRDefault="007A1338" w:rsidP="007A13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18,30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7132D" w14:textId="77777777" w:rsidR="00254213" w:rsidRDefault="00254213">
      <w:r>
        <w:separator/>
      </w:r>
    </w:p>
  </w:endnote>
  <w:endnote w:type="continuationSeparator" w:id="0">
    <w:p w14:paraId="3187326A" w14:textId="77777777" w:rsidR="00254213" w:rsidRDefault="002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15A1" w14:textId="77777777" w:rsidR="00254213" w:rsidRDefault="00254213">
      <w:r>
        <w:separator/>
      </w:r>
    </w:p>
  </w:footnote>
  <w:footnote w:type="continuationSeparator" w:id="0">
    <w:p w14:paraId="5D29167C" w14:textId="77777777" w:rsidR="00254213" w:rsidRDefault="0025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590729">
    <w:abstractNumId w:val="0"/>
  </w:num>
  <w:num w:numId="2" w16cid:durableId="196739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54213"/>
    <w:rsid w:val="002630A9"/>
    <w:rsid w:val="002658A0"/>
    <w:rsid w:val="00275342"/>
    <w:rsid w:val="00276412"/>
    <w:rsid w:val="002915B5"/>
    <w:rsid w:val="00291649"/>
    <w:rsid w:val="00293059"/>
    <w:rsid w:val="00295274"/>
    <w:rsid w:val="002A2097"/>
    <w:rsid w:val="002A4838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1531"/>
    <w:rsid w:val="004564CD"/>
    <w:rsid w:val="00463B44"/>
    <w:rsid w:val="00464BB1"/>
    <w:rsid w:val="004669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834E5"/>
    <w:rsid w:val="00695130"/>
    <w:rsid w:val="006B0BC0"/>
    <w:rsid w:val="006B3B67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1338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32CB6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B7A67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472DF"/>
    <w:rsid w:val="00956EFA"/>
    <w:rsid w:val="00976276"/>
    <w:rsid w:val="0097797D"/>
    <w:rsid w:val="0098220E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9DD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47F62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1A7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0AB7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1500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65E9-6285-4A27-8FD4-413FEC9B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599</Words>
  <Characters>4306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2025-11-11T13:13:00Z</dcterms:created>
  <dcterms:modified xsi:type="dcterms:W3CDTF">2025-11-11T13:13:00Z</dcterms:modified>
</cp:coreProperties>
</file>