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B33B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6120CC">
        <w:rPr>
          <w:b/>
        </w:rPr>
        <w:t>AIŠKINAMASIS RAŠTAS</w:t>
      </w:r>
    </w:p>
    <w:p w14:paraId="4AC9A7CA" w14:textId="77777777" w:rsidR="0000602D" w:rsidRPr="006120CC" w:rsidRDefault="0000602D" w:rsidP="0000602D">
      <w:pPr>
        <w:jc w:val="center"/>
        <w:rPr>
          <w:b/>
          <w:bCs/>
          <w:shd w:val="clear" w:color="auto" w:fill="FFFFFF"/>
        </w:rPr>
      </w:pPr>
      <w:r w:rsidRPr="006120CC">
        <w:rPr>
          <w:b/>
          <w:bCs/>
          <w:shd w:val="clear" w:color="auto" w:fill="FFFFFF"/>
        </w:rPr>
        <w:t xml:space="preserve">DĖL </w:t>
      </w:r>
      <w:r w:rsidR="00185565">
        <w:rPr>
          <w:b/>
          <w:bCs/>
          <w:shd w:val="clear" w:color="auto" w:fill="FFFFFF"/>
        </w:rPr>
        <w:t>NEKILNOJAMOJO TURTO MOKESČIO TARIFŲ 2026 METAMS NUSTATYMO</w:t>
      </w:r>
    </w:p>
    <w:p w14:paraId="3536C38E" w14:textId="77777777" w:rsidR="00B42A26" w:rsidRPr="006120CC" w:rsidRDefault="00D736F0" w:rsidP="00B42A26">
      <w:pPr>
        <w:jc w:val="center"/>
        <w:rPr>
          <w:b/>
          <w:shd w:val="clear" w:color="auto" w:fill="FFFFFF"/>
        </w:rPr>
      </w:pPr>
      <w:r w:rsidRPr="006120CC">
        <w:rPr>
          <w:b/>
          <w:shd w:val="clear" w:color="auto" w:fill="FFFFFF"/>
        </w:rPr>
        <w:t xml:space="preserve">       </w:t>
      </w:r>
    </w:p>
    <w:p w14:paraId="10F8E9E4" w14:textId="77777777" w:rsidR="006539FD" w:rsidRPr="006120CC" w:rsidRDefault="00F56BB8" w:rsidP="001352EF">
      <w:pPr>
        <w:tabs>
          <w:tab w:val="left" w:pos="0"/>
        </w:tabs>
        <w:jc w:val="center"/>
      </w:pPr>
      <w:r w:rsidRPr="006120CC">
        <w:t>20</w:t>
      </w:r>
      <w:r w:rsidR="0078280A" w:rsidRPr="006120CC">
        <w:t>2</w:t>
      </w:r>
      <w:r w:rsidR="0041698E" w:rsidRPr="006120CC">
        <w:t>5</w:t>
      </w:r>
      <w:r w:rsidRPr="006120CC">
        <w:t xml:space="preserve"> m. </w:t>
      </w:r>
      <w:r w:rsidR="00076542">
        <w:t>lapkrič</w:t>
      </w:r>
      <w:r w:rsidR="00742E95">
        <w:t>io</w:t>
      </w:r>
      <w:r w:rsidR="00BA7040" w:rsidRPr="006120CC">
        <w:t xml:space="preserve"> </w:t>
      </w:r>
      <w:r w:rsidR="00076542">
        <w:t>7</w:t>
      </w:r>
      <w:r w:rsidR="0000602D" w:rsidRPr="006120CC">
        <w:t xml:space="preserve"> </w:t>
      </w:r>
      <w:r w:rsidRPr="006120CC">
        <w:t>d.</w:t>
      </w:r>
    </w:p>
    <w:p w14:paraId="3831985C" w14:textId="77777777" w:rsidR="00AA299B" w:rsidRPr="006120CC" w:rsidRDefault="006539FD" w:rsidP="001352EF">
      <w:pPr>
        <w:tabs>
          <w:tab w:val="left" w:pos="0"/>
        </w:tabs>
        <w:jc w:val="center"/>
      </w:pPr>
      <w:r w:rsidRPr="006120CC">
        <w:t>Panevėžys</w:t>
      </w:r>
    </w:p>
    <w:p w14:paraId="61AED4AA" w14:textId="77777777" w:rsidR="00BE6A58" w:rsidRPr="006120CC" w:rsidRDefault="00BE6A58" w:rsidP="001352EF">
      <w:pPr>
        <w:tabs>
          <w:tab w:val="left" w:pos="0"/>
        </w:tabs>
        <w:jc w:val="center"/>
      </w:pPr>
    </w:p>
    <w:p w14:paraId="0B217665" w14:textId="77777777" w:rsidR="0059465A" w:rsidRDefault="00D736F0" w:rsidP="006B1DEF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44D93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44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C51A" w14:textId="77777777" w:rsidR="00E80F75" w:rsidRPr="00E80F75" w:rsidRDefault="00E80F75" w:rsidP="00E80F75">
      <w:pPr>
        <w:tabs>
          <w:tab w:val="left" w:pos="0"/>
        </w:tabs>
        <w:ind w:firstLine="720"/>
        <w:jc w:val="both"/>
      </w:pPr>
      <w:r>
        <w:t xml:space="preserve">Lietuvos Respublikos vietos savivaldos įstatymo 15 straipsnio 2 dalies 29 punkte numatyta išimtinė Savivaldybės tarybos kompetencija ˂ ... , vietinių rinkliavų, įmokų ir mokesčių nustatymas įstatymų nustatyta tvarka ˃. </w:t>
      </w:r>
    </w:p>
    <w:p w14:paraId="13E14A11" w14:textId="77777777" w:rsidR="006B1DEF" w:rsidRDefault="00644D93" w:rsidP="00644D93">
      <w:pPr>
        <w:tabs>
          <w:tab w:val="left" w:pos="0"/>
        </w:tabs>
        <w:ind w:firstLine="720"/>
        <w:jc w:val="both"/>
      </w:pPr>
      <w:r>
        <w:t xml:space="preserve">Lietuvos Respublikos Seimas 2025 m. birželio 26 d. priėmė </w:t>
      </w:r>
      <w:r w:rsidR="000A7AAB">
        <w:t>Lietuvos Respublikos nekilnojamojo turto mokesčio įstaty</w:t>
      </w:r>
      <w:r>
        <w:t>mo Nr. X-233 pakeitimo įstatymą Nr. XV-344, kuriuo pakeitė Lietuvos Respublikos nekilnojamojo turto mokesčio įstatymą ir jį išdėstė nauja redakcija. Nauja nekilnojamojo turto mokesčio redakcija (toliau – Įstatymas) įsigalios 2026 m. sausio 1 d.</w:t>
      </w:r>
    </w:p>
    <w:p w14:paraId="44E33CED" w14:textId="77777777" w:rsidR="00EF1969" w:rsidRPr="00E075D5" w:rsidRDefault="00AF1FE2" w:rsidP="00E80F75">
      <w:pPr>
        <w:tabs>
          <w:tab w:val="left" w:pos="0"/>
        </w:tabs>
        <w:ind w:firstLine="720"/>
        <w:jc w:val="both"/>
        <w:rPr>
          <w:bCs/>
        </w:rPr>
      </w:pPr>
      <w:r>
        <w:t>Vadovaujantis Įstatymo 6 straipsnio 2 dalimi</w:t>
      </w:r>
      <w:r w:rsidR="00231BD6">
        <w:t>. ku</w:t>
      </w:r>
      <w:r w:rsidR="00E80F75">
        <w:t>ri</w:t>
      </w:r>
      <w:r w:rsidR="00EF1969">
        <w:rPr>
          <w:bCs/>
        </w:rPr>
        <w:t xml:space="preserve"> numato, kad savivaldybių tarybos konkretų </w:t>
      </w:r>
      <w:r w:rsidR="00000D68" w:rsidRPr="00B37546">
        <w:rPr>
          <w:b/>
          <w:bCs/>
        </w:rPr>
        <w:t xml:space="preserve">nekilnojamojo turto </w:t>
      </w:r>
      <w:r w:rsidR="00000D68" w:rsidRPr="00B37546">
        <w:rPr>
          <w:bCs/>
        </w:rPr>
        <w:t>(toliau</w:t>
      </w:r>
      <w:r w:rsidR="00F65DAA">
        <w:rPr>
          <w:bCs/>
        </w:rPr>
        <w:t xml:space="preserve"> </w:t>
      </w:r>
      <w:r w:rsidR="00F65DAA">
        <w:t>–</w:t>
      </w:r>
      <w:r w:rsidR="00000D68" w:rsidRPr="00B37546">
        <w:rPr>
          <w:bCs/>
        </w:rPr>
        <w:t xml:space="preserve"> NT)</w:t>
      </w:r>
      <w:r w:rsidR="00000D68">
        <w:rPr>
          <w:bCs/>
        </w:rPr>
        <w:t xml:space="preserve"> </w:t>
      </w:r>
      <w:r w:rsidR="00EF1969">
        <w:rPr>
          <w:bCs/>
        </w:rPr>
        <w:t xml:space="preserve"> mokesčio tarifą, kuris galios tos savivaldybės teritorijoje nuo kito mokestinio laikotarpio pradžios, </w:t>
      </w:r>
      <w:r w:rsidR="00EF1969" w:rsidRPr="00E075D5">
        <w:rPr>
          <w:bCs/>
        </w:rPr>
        <w:t>turi nustatyti</w:t>
      </w:r>
      <w:r w:rsidR="00EF1969">
        <w:rPr>
          <w:bCs/>
        </w:rPr>
        <w:t xml:space="preserve"> </w:t>
      </w:r>
      <w:r w:rsidR="00EF1969" w:rsidRPr="00E075D5">
        <w:rPr>
          <w:bCs/>
        </w:rPr>
        <w:t xml:space="preserve">iki einamojo mokestinio laikotarpio </w:t>
      </w:r>
      <w:r w:rsidR="00FD696E">
        <w:rPr>
          <w:bCs/>
        </w:rPr>
        <w:t>liepos</w:t>
      </w:r>
      <w:r w:rsidR="00EF1969" w:rsidRPr="00E075D5">
        <w:rPr>
          <w:bCs/>
        </w:rPr>
        <w:t xml:space="preserve"> 1 d.</w:t>
      </w:r>
      <w:r w:rsidR="00EF1969">
        <w:rPr>
          <w:bCs/>
        </w:rPr>
        <w:t xml:space="preserve"> Jeigu nuo kito mokestinio laikotarpio mokestis už nekilnojamąjį turtą bus skaičiuojamas taikant naujai atlikto masinio </w:t>
      </w:r>
      <w:r w:rsidR="00657E89">
        <w:rPr>
          <w:bCs/>
        </w:rPr>
        <w:t xml:space="preserve">NT </w:t>
      </w:r>
      <w:r w:rsidR="00EF1969">
        <w:rPr>
          <w:bCs/>
        </w:rPr>
        <w:t xml:space="preserve">vertinimo metu nustatytą vertę, kitą mokestinį laikotarpį galiosiantį mokesčio tarifą savivaldybės taryba gali nustatyti iki einamojo mokestinio laikotarpio </w:t>
      </w:r>
      <w:r w:rsidR="00EF1969" w:rsidRPr="00E80F75">
        <w:rPr>
          <w:b/>
          <w:bCs/>
        </w:rPr>
        <w:t>gruodžio 1 dienos</w:t>
      </w:r>
      <w:r w:rsidR="00EF1969">
        <w:rPr>
          <w:bCs/>
        </w:rPr>
        <w:t>.</w:t>
      </w:r>
      <w:r w:rsidR="00657E89">
        <w:rPr>
          <w:bCs/>
        </w:rPr>
        <w:t xml:space="preserve"> Jeigu savivaldybės taryba iki numatytų terminų nenustato naujų konkrečių mokesčių tarifų, kitą mokestinį laikotarpį galioja paskutiniai nustatyti konkretūs mokesčio tarifai.</w:t>
      </w:r>
      <w:r>
        <w:rPr>
          <w:bCs/>
        </w:rPr>
        <w:t xml:space="preserve"> </w:t>
      </w:r>
    </w:p>
    <w:p w14:paraId="5CA52644" w14:textId="77777777" w:rsidR="00EF1969" w:rsidRDefault="00E427F4" w:rsidP="005C414B">
      <w:pPr>
        <w:ind w:firstLine="709"/>
        <w:jc w:val="both"/>
        <w:rPr>
          <w:b/>
        </w:rPr>
      </w:pPr>
      <w:r>
        <w:t>Tarybos sprendimo projekto tikslas – užtikrinti subalansuotą savivaldybės finansinę politiką, neprarandant konkurencingumo ir patrauklumo investuotojams bei gyventojams</w:t>
      </w:r>
      <w:r w:rsidR="003D7083">
        <w:t xml:space="preserve"> – </w:t>
      </w:r>
      <w:r w:rsidR="0072404A">
        <w:t>įgyvendinant</w:t>
      </w:r>
      <w:r w:rsidR="003D7083">
        <w:t xml:space="preserve"> Lietuvos Respublikos nekilnojamojo turto mokesčio įstatymo nuostatas.</w:t>
      </w:r>
    </w:p>
    <w:p w14:paraId="46B9D432" w14:textId="77777777" w:rsidR="00675C5D" w:rsidRDefault="00675C5D" w:rsidP="005C414B">
      <w:pPr>
        <w:ind w:firstLine="709"/>
        <w:jc w:val="both"/>
        <w:rPr>
          <w:b/>
        </w:rPr>
      </w:pPr>
    </w:p>
    <w:p w14:paraId="620E65AB" w14:textId="77777777" w:rsidR="00F222C9" w:rsidRPr="00F222C9" w:rsidRDefault="00D736F0" w:rsidP="00F222C9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2C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F222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BD6588" w14:textId="1981D500" w:rsidR="002C3067" w:rsidRDefault="002C3067" w:rsidP="002C3067">
      <w:pPr>
        <w:ind w:firstLine="709"/>
        <w:jc w:val="both"/>
      </w:pPr>
      <w:r>
        <w:t>Atsižvelgiant į įsigaliosiančio Įstatymo nuostatas, k</w:t>
      </w:r>
      <w:r w:rsidR="00110C52">
        <w:t>omercinio NT apmokestinim</w:t>
      </w:r>
      <w:r w:rsidR="00CD678D">
        <w:t>o tvarka nuo 2026 metų</w:t>
      </w:r>
      <w:r w:rsidR="00110C52">
        <w:t xml:space="preserve"> ne</w:t>
      </w:r>
      <w:r w:rsidR="00CD678D">
        <w:t>si</w:t>
      </w:r>
      <w:r w:rsidR="00110C52">
        <w:t xml:space="preserve">keičia </w:t>
      </w:r>
      <w:r>
        <w:t xml:space="preserve">ir gali būti taikomas </w:t>
      </w:r>
      <w:r w:rsidR="00110C52">
        <w:t xml:space="preserve">0,5–3 proc. tarifas, </w:t>
      </w:r>
      <w:r>
        <w:t xml:space="preserve">ir apleistam ar neprižiūrimam NT gali būti taikomas 1–5 proc. tarifas, </w:t>
      </w:r>
      <w:r w:rsidR="00110C52">
        <w:t>kur</w:t>
      </w:r>
      <w:r>
        <w:t>iuos</w:t>
      </w:r>
      <w:r w:rsidR="00110C52">
        <w:t xml:space="preserve"> turi nustatyti Savivaldybės taryba. </w:t>
      </w:r>
    </w:p>
    <w:p w14:paraId="5D5F335A" w14:textId="2A0D133C" w:rsidR="00110C52" w:rsidRPr="003F6143" w:rsidRDefault="00550AE9" w:rsidP="002C3067">
      <w:pPr>
        <w:ind w:firstLine="709"/>
        <w:jc w:val="both"/>
      </w:pPr>
      <w:r>
        <w:t>Papildomai</w:t>
      </w:r>
      <w:r w:rsidR="00CD678D">
        <w:t>, Į</w:t>
      </w:r>
      <w:r w:rsidR="00251F8C">
        <w:t xml:space="preserve">statymo pakeitimas numato </w:t>
      </w:r>
      <w:r w:rsidR="00CD678D">
        <w:t xml:space="preserve">papildomą </w:t>
      </w:r>
      <w:r>
        <w:t xml:space="preserve">NT </w:t>
      </w:r>
      <w:r w:rsidR="00F222C9">
        <w:t xml:space="preserve">apmokestinimą </w:t>
      </w:r>
      <w:r w:rsidR="00251F8C">
        <w:t xml:space="preserve">0,2 proc. </w:t>
      </w:r>
      <w:r w:rsidR="00F222C9">
        <w:t xml:space="preserve">tarifu, </w:t>
      </w:r>
      <w:r>
        <w:t>ir</w:t>
      </w:r>
      <w:r w:rsidR="00F222C9">
        <w:t xml:space="preserve"> </w:t>
      </w:r>
      <w:r>
        <w:t>šios</w:t>
      </w:r>
      <w:r w:rsidR="00F222C9">
        <w:t xml:space="preserve"> lėšos bus skirtos Gynybos fondui.</w:t>
      </w:r>
      <w:r w:rsidR="00251F8C">
        <w:t xml:space="preserve"> Tai reiškia, kad net </w:t>
      </w:r>
      <w:r>
        <w:t>savivaldybės tarybai nusprendus</w:t>
      </w:r>
      <w:r w:rsidR="00251F8C">
        <w:t xml:space="preserve"> nekeisti </w:t>
      </w:r>
      <w:r>
        <w:t xml:space="preserve">šiuo metu galiojančių NT mokesčio </w:t>
      </w:r>
      <w:r w:rsidR="00251F8C">
        <w:t>tarifų, mokestis vis tiek didėtų.</w:t>
      </w:r>
    </w:p>
    <w:p w14:paraId="2841E28E" w14:textId="470F25AD" w:rsidR="00675C5D" w:rsidRDefault="000D3B9A" w:rsidP="00675C5D">
      <w:pPr>
        <w:ind w:firstLine="709"/>
        <w:jc w:val="both"/>
      </w:pPr>
      <w:r>
        <w:t>Taip pat, n</w:t>
      </w:r>
      <w:r w:rsidR="00EE1F53">
        <w:t xml:space="preserve">uo 2026 m. įsigalioja </w:t>
      </w:r>
      <w:r w:rsidR="002A4CE8">
        <w:t xml:space="preserve">NT mokesčio </w:t>
      </w:r>
      <w:r>
        <w:t>pakeitimai</w:t>
      </w:r>
      <w:r w:rsidR="002A4CE8">
        <w:t>, kuri</w:t>
      </w:r>
      <w:r>
        <w:t>e</w:t>
      </w:r>
      <w:r w:rsidR="002A4CE8">
        <w:t xml:space="preserve"> įpareigoja visus gyventojus mokėti mokestį už NT viršijant neapmokestinamą vertę, atsižvelgiant į turto rūšį ir kiekį. Svarbiausi pokyčiai apima padidintą neapmokestinamą ribą – 450 000 </w:t>
      </w:r>
      <w:r w:rsidR="00671F3B">
        <w:t>Eur</w:t>
      </w:r>
      <w:r w:rsidR="002A4CE8">
        <w:t xml:space="preserve"> – pagrindiniam būstui ir žemesnę 50 000 </w:t>
      </w:r>
      <w:r w:rsidR="00671F3B">
        <w:t>Eur</w:t>
      </w:r>
      <w:r w:rsidR="002A4CE8">
        <w:t xml:space="preserve"> ribą kitiems NT objektams.</w:t>
      </w:r>
      <w:r w:rsidR="00BB4AE1">
        <w:t xml:space="preserve"> </w:t>
      </w:r>
      <w:r w:rsidR="00671F3B">
        <w:t>Pagrindinis būstas yra tas, kuriame savininkas yra deklaravęs gyvenamąją vietą. Pagrindinio būsto apmokestinimas paliktas spręsti savivaldybėms, tad Taryba</w:t>
      </w:r>
      <w:r w:rsidR="00671F3B" w:rsidRPr="00671F3B">
        <w:t xml:space="preserve"> </w:t>
      </w:r>
      <w:r w:rsidR="00671F3B">
        <w:t>turi nustatyti mokestinės vertės neapmokestinamąjį dydį, tačiau šis dydis negalės būti mažesnis kaip 450 000 Eur. Savivaldybėms taip pat palikta nustatyti ir mokesčio tarifą – nuo 0,1 proc. iki 1 proc., taikomą mokestinės vertės daliai, viršijančiai neapmokestinamąjį dydį.</w:t>
      </w:r>
      <w:r w:rsidR="003361C1">
        <w:t xml:space="preserve"> Kitam NT nei pagrindinis gyvenamasis būstas, t. y. viršijančiam 50 000 Eur, </w:t>
      </w:r>
      <w:r w:rsidR="00E40180">
        <w:t>Į</w:t>
      </w:r>
      <w:r w:rsidR="003361C1">
        <w:t>statymas imperatyviai įtvirtina progresinius tarifus, nepriklausomai nuo savivaldybės.</w:t>
      </w:r>
      <w:r w:rsidR="002765C8">
        <w:t xml:space="preserve"> Sodų, garažų, poilsio ir panašios paskirties NT, kai šis NT nėra laikomas pagrindiniu būstu, bus taikomi šie tarifai nuo bendros viso tokio NT vertės: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A44D7" w:rsidRPr="003F6143" w14:paraId="6D6D121E" w14:textId="77777777" w:rsidTr="003F6143">
        <w:tc>
          <w:tcPr>
            <w:tcW w:w="5665" w:type="dxa"/>
          </w:tcPr>
          <w:p w14:paraId="557DC4D9" w14:textId="0822A77F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143">
              <w:rPr>
                <w:rFonts w:ascii="Times New Roman" w:hAnsi="Times New Roman" w:cs="Times New Roman"/>
                <w:b/>
                <w:bCs/>
              </w:rPr>
              <w:t>Bendra (ne pagrindinio) būsto turto vertė  </w:t>
            </w:r>
          </w:p>
        </w:tc>
        <w:tc>
          <w:tcPr>
            <w:tcW w:w="3963" w:type="dxa"/>
          </w:tcPr>
          <w:p w14:paraId="54F59BF6" w14:textId="053B3BF0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143">
              <w:rPr>
                <w:rFonts w:ascii="Times New Roman" w:hAnsi="Times New Roman" w:cs="Times New Roman"/>
                <w:b/>
                <w:bCs/>
              </w:rPr>
              <w:t>Tarifas</w:t>
            </w:r>
          </w:p>
        </w:tc>
      </w:tr>
      <w:tr w:rsidR="00EA44D7" w:rsidRPr="003F6143" w14:paraId="4C3F72BF" w14:textId="77777777" w:rsidTr="003F6143">
        <w:tc>
          <w:tcPr>
            <w:tcW w:w="5665" w:type="dxa"/>
          </w:tcPr>
          <w:p w14:paraId="0C5CFC5E" w14:textId="2CC704A1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iki 50 000 Eur</w:t>
            </w:r>
          </w:p>
        </w:tc>
        <w:tc>
          <w:tcPr>
            <w:tcW w:w="3963" w:type="dxa"/>
          </w:tcPr>
          <w:p w14:paraId="664A522D" w14:textId="6A095C0B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0 %</w:t>
            </w:r>
          </w:p>
        </w:tc>
      </w:tr>
      <w:tr w:rsidR="00EA44D7" w:rsidRPr="003F6143" w14:paraId="5E90E359" w14:textId="77777777" w:rsidTr="003F6143">
        <w:tc>
          <w:tcPr>
            <w:tcW w:w="5665" w:type="dxa"/>
          </w:tcPr>
          <w:p w14:paraId="3921E087" w14:textId="325B5BE2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50 000 – 200 000 Eur</w:t>
            </w:r>
          </w:p>
        </w:tc>
        <w:tc>
          <w:tcPr>
            <w:tcW w:w="3963" w:type="dxa"/>
          </w:tcPr>
          <w:p w14:paraId="63AF7E65" w14:textId="75E0C284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0,2 %</w:t>
            </w:r>
          </w:p>
        </w:tc>
      </w:tr>
      <w:tr w:rsidR="00EA44D7" w:rsidRPr="003F6143" w14:paraId="21A48125" w14:textId="77777777" w:rsidTr="003F6143">
        <w:tc>
          <w:tcPr>
            <w:tcW w:w="5665" w:type="dxa"/>
          </w:tcPr>
          <w:p w14:paraId="776EB46E" w14:textId="0D3E63C0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200 000 – 400 000 Eur</w:t>
            </w:r>
          </w:p>
        </w:tc>
        <w:tc>
          <w:tcPr>
            <w:tcW w:w="3963" w:type="dxa"/>
          </w:tcPr>
          <w:p w14:paraId="6D0CDDC3" w14:textId="2D857420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0,4 %</w:t>
            </w:r>
          </w:p>
        </w:tc>
      </w:tr>
      <w:tr w:rsidR="00EA44D7" w:rsidRPr="003F6143" w14:paraId="7DC00545" w14:textId="77777777" w:rsidTr="003F6143">
        <w:tc>
          <w:tcPr>
            <w:tcW w:w="5665" w:type="dxa"/>
          </w:tcPr>
          <w:p w14:paraId="3EFB334C" w14:textId="73C4AC04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400 000 – 600 000 Eur</w:t>
            </w:r>
          </w:p>
        </w:tc>
        <w:tc>
          <w:tcPr>
            <w:tcW w:w="3963" w:type="dxa"/>
          </w:tcPr>
          <w:p w14:paraId="45EBAFB1" w14:textId="5B07FEBA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0,6 %</w:t>
            </w:r>
          </w:p>
        </w:tc>
      </w:tr>
      <w:tr w:rsidR="00EA44D7" w:rsidRPr="003F6143" w14:paraId="75B0EC5F" w14:textId="77777777" w:rsidTr="003F6143">
        <w:tc>
          <w:tcPr>
            <w:tcW w:w="5665" w:type="dxa"/>
          </w:tcPr>
          <w:p w14:paraId="4A971E74" w14:textId="5CC4075A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600 000 EUR – 1 000 000 Eur</w:t>
            </w:r>
          </w:p>
        </w:tc>
        <w:tc>
          <w:tcPr>
            <w:tcW w:w="3963" w:type="dxa"/>
          </w:tcPr>
          <w:p w14:paraId="227821AF" w14:textId="675AE31B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0,8 %</w:t>
            </w:r>
          </w:p>
        </w:tc>
      </w:tr>
      <w:tr w:rsidR="00EA44D7" w:rsidRPr="003F6143" w14:paraId="4EA0D9DF" w14:textId="77777777" w:rsidTr="003F6143">
        <w:tc>
          <w:tcPr>
            <w:tcW w:w="5665" w:type="dxa"/>
          </w:tcPr>
          <w:p w14:paraId="70543F88" w14:textId="0BD321F2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virš 1 000 000 Eur.</w:t>
            </w:r>
          </w:p>
        </w:tc>
        <w:tc>
          <w:tcPr>
            <w:tcW w:w="3963" w:type="dxa"/>
          </w:tcPr>
          <w:p w14:paraId="6B16394B" w14:textId="3DCA03E7" w:rsidR="00EA44D7" w:rsidRPr="003F6143" w:rsidRDefault="00EA44D7" w:rsidP="003F614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F6143">
              <w:rPr>
                <w:rFonts w:ascii="Times New Roman" w:hAnsi="Times New Roman" w:cs="Times New Roman"/>
              </w:rPr>
              <w:t>1 %</w:t>
            </w:r>
          </w:p>
        </w:tc>
      </w:tr>
    </w:tbl>
    <w:p w14:paraId="6E782AE2" w14:textId="77777777" w:rsidR="00057C80" w:rsidRPr="00057C80" w:rsidRDefault="00057C80" w:rsidP="00057C80">
      <w:r w:rsidRPr="00057C80">
        <w:lastRenderedPageBreak/>
        <w:t>Nekilnojamojo turto mokesčio skaičiavimo formulė:</w:t>
      </w:r>
    </w:p>
    <w:p w14:paraId="1312058F" w14:textId="77777777" w:rsidR="00057C80" w:rsidRDefault="00057C80" w:rsidP="00057C80">
      <w:pPr>
        <w:rPr>
          <w:i/>
        </w:rPr>
      </w:pPr>
      <w:r>
        <w:rPr>
          <w:i/>
        </w:rPr>
        <w:t>(</w:t>
      </w:r>
      <w:r w:rsidRPr="00316A19">
        <w:rPr>
          <w:i/>
        </w:rPr>
        <w:t xml:space="preserve">NT mokestinė vertė – Neapmokestinamasis dydis) * mokestinis tarifas. </w:t>
      </w:r>
    </w:p>
    <w:p w14:paraId="5171C9BE" w14:textId="77777777" w:rsidR="00861EEA" w:rsidRDefault="00861EEA" w:rsidP="00675C5D">
      <w:pPr>
        <w:ind w:firstLine="709"/>
        <w:jc w:val="both"/>
      </w:pPr>
    </w:p>
    <w:p w14:paraId="43ECDB45" w14:textId="2B253BBC" w:rsidR="000D3B9A" w:rsidRDefault="000D3B9A" w:rsidP="00675C5D">
      <w:pPr>
        <w:ind w:firstLine="709"/>
        <w:jc w:val="both"/>
      </w:pPr>
      <w:r>
        <w:t>Atsižvelgiant į Įstatyme numatytus pokyčius, p</w:t>
      </w:r>
      <w:r w:rsidR="00186B8B">
        <w:t>arengtas Tarybos s</w:t>
      </w:r>
      <w:r w:rsidR="0000602D" w:rsidRPr="006120CC">
        <w:t>prendimo projektas</w:t>
      </w:r>
      <w:r w:rsidR="00186B8B">
        <w:t>, kuriuo siūloma 2026 metams nustatyti</w:t>
      </w:r>
      <w:r w:rsidR="004003E2">
        <w:t>:</w:t>
      </w:r>
      <w:r w:rsidR="00186B8B">
        <w:t xml:space="preserve"> </w:t>
      </w:r>
    </w:p>
    <w:p w14:paraId="1E67D35B" w14:textId="0A3012C8" w:rsidR="000D3B9A" w:rsidRDefault="00186B8B" w:rsidP="00675C5D">
      <w:pPr>
        <w:ind w:firstLine="709"/>
        <w:jc w:val="both"/>
      </w:pPr>
      <w:r>
        <w:t>0,</w:t>
      </w:r>
      <w:r w:rsidR="00251F8C">
        <w:t>5</w:t>
      </w:r>
      <w:r>
        <w:t xml:space="preserve"> procento NT mokestinės vertės tarifą komerciniam turtui</w:t>
      </w:r>
      <w:r w:rsidR="000D3B9A">
        <w:t xml:space="preserve"> (</w:t>
      </w:r>
      <w:proofErr w:type="spellStart"/>
      <w:r w:rsidR="000D3B9A">
        <w:t>t.y</w:t>
      </w:r>
      <w:proofErr w:type="spellEnd"/>
      <w:r w:rsidR="000D3B9A">
        <w:t>. sumažinti nuo šiuo metu galiojančio 0,</w:t>
      </w:r>
      <w:r w:rsidR="000D3B9A">
        <w:rPr>
          <w:lang w:val="en-US"/>
        </w:rPr>
        <w:t xml:space="preserve">8% </w:t>
      </w:r>
      <w:proofErr w:type="spellStart"/>
      <w:r w:rsidR="000D3B9A">
        <w:rPr>
          <w:lang w:val="en-US"/>
        </w:rPr>
        <w:t>tarifo</w:t>
      </w:r>
      <w:proofErr w:type="spellEnd"/>
      <w:r w:rsidR="000D3B9A">
        <w:rPr>
          <w:lang w:val="en-US"/>
        </w:rPr>
        <w:t>)</w:t>
      </w:r>
      <w:r w:rsidR="004003E2">
        <w:t>;</w:t>
      </w:r>
      <w:r>
        <w:t xml:space="preserve"> </w:t>
      </w:r>
    </w:p>
    <w:p w14:paraId="50D23E18" w14:textId="3900657F" w:rsidR="000D3B9A" w:rsidRDefault="00186B8B" w:rsidP="00675C5D">
      <w:pPr>
        <w:ind w:firstLine="709"/>
        <w:jc w:val="both"/>
      </w:pPr>
      <w:r>
        <w:t>5</w:t>
      </w:r>
      <w:r w:rsidR="007E18AA">
        <w:t>,0</w:t>
      </w:r>
      <w:r>
        <w:t xml:space="preserve"> procent</w:t>
      </w:r>
      <w:r w:rsidR="004003E2">
        <w:t>us</w:t>
      </w:r>
      <w:r w:rsidR="007E18AA">
        <w:t xml:space="preserve"> apleistam ar neprižiūrimam NT</w:t>
      </w:r>
      <w:r w:rsidR="000D3B9A">
        <w:t xml:space="preserve"> (</w:t>
      </w:r>
      <w:proofErr w:type="spellStart"/>
      <w:r w:rsidR="000D3B9A">
        <w:t>t.y</w:t>
      </w:r>
      <w:proofErr w:type="spellEnd"/>
      <w:r w:rsidR="000D3B9A">
        <w:t xml:space="preserve">. padidinti nuo šiuo metu galiojančio </w:t>
      </w:r>
      <w:r w:rsidR="000D3B9A">
        <w:rPr>
          <w:lang w:val="en-US"/>
        </w:rPr>
        <w:t xml:space="preserve">3,0% </w:t>
      </w:r>
      <w:proofErr w:type="spellStart"/>
      <w:r w:rsidR="000D3B9A">
        <w:rPr>
          <w:lang w:val="en-US"/>
        </w:rPr>
        <w:t>tarifo</w:t>
      </w:r>
      <w:proofErr w:type="spellEnd"/>
      <w:r w:rsidR="000D3B9A">
        <w:rPr>
          <w:lang w:val="en-US"/>
        </w:rPr>
        <w:t>)</w:t>
      </w:r>
      <w:r w:rsidR="004003E2">
        <w:t xml:space="preserve">; </w:t>
      </w:r>
    </w:p>
    <w:p w14:paraId="356BF054" w14:textId="6F548C28" w:rsidR="0000602D" w:rsidRPr="006120CC" w:rsidRDefault="000D3B9A" w:rsidP="00675C5D">
      <w:pPr>
        <w:ind w:firstLine="709"/>
        <w:jc w:val="both"/>
      </w:pPr>
      <w:r>
        <w:t xml:space="preserve">taikyti 0,1 procento NT mokestinės vertės dydį </w:t>
      </w:r>
      <w:r w:rsidR="004003E2">
        <w:t>pagrindinio gyvenamojo būsto mokestinės vertės daliai, viršijančiai neapmokestinamąjį dydį 450 000 Eur</w:t>
      </w:r>
      <w:r w:rsidR="007E18AA">
        <w:t>.</w:t>
      </w:r>
      <w:r w:rsidR="0000602D" w:rsidRPr="006120CC">
        <w:t xml:space="preserve"> </w:t>
      </w:r>
    </w:p>
    <w:p w14:paraId="08EF94E5" w14:textId="77777777" w:rsidR="00BF65AD" w:rsidRPr="006120CC" w:rsidRDefault="00BF65AD" w:rsidP="0000602D">
      <w:pPr>
        <w:tabs>
          <w:tab w:val="left" w:pos="1296"/>
        </w:tabs>
        <w:ind w:firstLine="709"/>
        <w:jc w:val="both"/>
      </w:pPr>
    </w:p>
    <w:p w14:paraId="6A2FC884" w14:textId="77777777" w:rsidR="000F09AC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3.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Lėšų poreikis ir šaltiniai</w:t>
      </w:r>
      <w:r w:rsidRPr="006120CC">
        <w:rPr>
          <w:b/>
          <w:bCs/>
        </w:rPr>
        <w:t>:</w:t>
      </w:r>
      <w:r w:rsidRPr="006120CC">
        <w:t xml:space="preserve"> </w:t>
      </w:r>
    </w:p>
    <w:p w14:paraId="462C5A0D" w14:textId="77777777" w:rsidR="0004384C" w:rsidRDefault="00F93D95" w:rsidP="00F93D95">
      <w:pPr>
        <w:ind w:firstLine="720"/>
      </w:pPr>
      <w:r>
        <w:t xml:space="preserve">Papildomų išlaidų nenumatoma. </w:t>
      </w:r>
    </w:p>
    <w:p w14:paraId="2E87865B" w14:textId="77777777" w:rsidR="00675C5D" w:rsidRDefault="00675C5D" w:rsidP="005C414B">
      <w:pPr>
        <w:tabs>
          <w:tab w:val="left" w:pos="0"/>
        </w:tabs>
        <w:ind w:firstLine="720"/>
        <w:jc w:val="both"/>
        <w:rPr>
          <w:b/>
        </w:rPr>
      </w:pPr>
    </w:p>
    <w:p w14:paraId="203A1E89" w14:textId="77777777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6120CC">
        <w:rPr>
          <w:b/>
        </w:rPr>
        <w:t>4.</w:t>
      </w:r>
      <w:r w:rsidR="00E86C4C" w:rsidRPr="006120CC">
        <w:rPr>
          <w:b/>
        </w:rPr>
        <w:t xml:space="preserve"> </w:t>
      </w:r>
      <w:r w:rsidR="00D736F0" w:rsidRPr="006120CC">
        <w:rPr>
          <w:b/>
          <w:bCs/>
        </w:rPr>
        <w:t>Sprendimui priimti reikalingi pagrindimai, skaičiavimai ar paaiškinimai</w:t>
      </w:r>
      <w:r w:rsidRPr="006120CC">
        <w:rPr>
          <w:b/>
          <w:bCs/>
        </w:rPr>
        <w:t>:</w:t>
      </w:r>
      <w:r w:rsidRPr="006120CC">
        <w:rPr>
          <w:b/>
        </w:rPr>
        <w:t xml:space="preserve"> </w:t>
      </w:r>
    </w:p>
    <w:p w14:paraId="70B24090" w14:textId="070C0377" w:rsidR="00E64060" w:rsidRDefault="00861EEA" w:rsidP="001938F7">
      <w:pPr>
        <w:ind w:firstLine="720"/>
        <w:jc w:val="both"/>
        <w:rPr>
          <w:bCs/>
        </w:rPr>
      </w:pPr>
      <w:r>
        <w:rPr>
          <w:bCs/>
        </w:rPr>
        <w:t>Pažymėtina, kad š</w:t>
      </w:r>
      <w:r w:rsidR="001938F7">
        <w:rPr>
          <w:bCs/>
        </w:rPr>
        <w:t>iuo metu galioja NT mokestinės vertės, nustatytos 20</w:t>
      </w:r>
      <w:r w:rsidR="004D4FE7">
        <w:rPr>
          <w:bCs/>
        </w:rPr>
        <w:t>2</w:t>
      </w:r>
      <w:r w:rsidR="001938F7">
        <w:rPr>
          <w:bCs/>
        </w:rPr>
        <w:t>1 m.</w:t>
      </w:r>
      <w:r w:rsidR="001938F7" w:rsidRPr="00957F36">
        <w:rPr>
          <w:bCs/>
        </w:rPr>
        <w:t xml:space="preserve"> </w:t>
      </w:r>
      <w:r w:rsidR="001938F7">
        <w:rPr>
          <w:bCs/>
        </w:rPr>
        <w:t xml:space="preserve">atliekant masinį NT vertinimą. Nekilnojamojo turto vertinimas </w:t>
      </w:r>
      <w:r w:rsidR="00FE6036">
        <w:rPr>
          <w:bCs/>
        </w:rPr>
        <w:t xml:space="preserve">buvo </w:t>
      </w:r>
      <w:r w:rsidR="001938F7">
        <w:rPr>
          <w:bCs/>
        </w:rPr>
        <w:t xml:space="preserve">atliekamas Lietuvos Respublikos Vyriausybės nustatyta tvarka ne rečiau kaip kas 5 metai, </w:t>
      </w:r>
      <w:proofErr w:type="spellStart"/>
      <w:r w:rsidR="001938F7">
        <w:rPr>
          <w:bCs/>
        </w:rPr>
        <w:t>t.y</w:t>
      </w:r>
      <w:proofErr w:type="spellEnd"/>
      <w:r w:rsidR="001938F7">
        <w:rPr>
          <w:bCs/>
        </w:rPr>
        <w:t>. nuo 20</w:t>
      </w:r>
      <w:r w:rsidR="004D4FE7">
        <w:rPr>
          <w:bCs/>
        </w:rPr>
        <w:t>21</w:t>
      </w:r>
      <w:r w:rsidR="001938F7">
        <w:rPr>
          <w:bCs/>
        </w:rPr>
        <w:t xml:space="preserve"> m. sausio 1 d. (20</w:t>
      </w:r>
      <w:r w:rsidR="004D4FE7">
        <w:rPr>
          <w:bCs/>
        </w:rPr>
        <w:t>2</w:t>
      </w:r>
      <w:r w:rsidR="001938F7">
        <w:rPr>
          <w:bCs/>
        </w:rPr>
        <w:t>1-202</w:t>
      </w:r>
      <w:r w:rsidR="004D4FE7">
        <w:rPr>
          <w:bCs/>
        </w:rPr>
        <w:t>5</w:t>
      </w:r>
      <w:r w:rsidR="001938F7">
        <w:rPr>
          <w:bCs/>
        </w:rPr>
        <w:t xml:space="preserve"> metų laikotarpiui)</w:t>
      </w:r>
      <w:r w:rsidR="00FE6036">
        <w:rPr>
          <w:bCs/>
        </w:rPr>
        <w:t xml:space="preserve">. Nuo 2026 m. sausio 1 d. </w:t>
      </w:r>
      <w:r w:rsidR="001938F7">
        <w:rPr>
          <w:bCs/>
        </w:rPr>
        <w:t>vidutinės rinkos vertės bus nustatytos vadovaujantis 20</w:t>
      </w:r>
      <w:r w:rsidR="00FE6036">
        <w:rPr>
          <w:bCs/>
        </w:rPr>
        <w:t>2</w:t>
      </w:r>
      <w:r w:rsidR="001938F7">
        <w:rPr>
          <w:bCs/>
        </w:rPr>
        <w:t>5 metais atlikto masinio nekilnojamojo turto vertinimo rezultatais</w:t>
      </w:r>
      <w:r w:rsidR="00FE6036">
        <w:rPr>
          <w:bCs/>
        </w:rPr>
        <w:t xml:space="preserve"> ir vadovaujantis Įstatymo 9 straipsnio 4 dalimi </w:t>
      </w:r>
      <w:r w:rsidR="00FE6036">
        <w:t xml:space="preserve">˂ </w:t>
      </w:r>
      <w:r w:rsidR="00FE6036" w:rsidRPr="007E18AA">
        <w:rPr>
          <w:i/>
        </w:rPr>
        <w:t>Nekilnojamojo turto vertinimas atliekamas Vyriausybės nustatyta tvarka ne rečiau kaip kas 3 metai</w:t>
      </w:r>
      <w:r w:rsidR="00FE6036" w:rsidRPr="00FE6036">
        <w:t xml:space="preserve"> </w:t>
      </w:r>
      <w:r w:rsidR="00FE6036">
        <w:t>˃.</w:t>
      </w:r>
      <w:r w:rsidR="001938F7">
        <w:rPr>
          <w:bCs/>
        </w:rPr>
        <w:t xml:space="preserve"> </w:t>
      </w:r>
    </w:p>
    <w:p w14:paraId="0163C981" w14:textId="77777777" w:rsidR="00E64060" w:rsidRDefault="00FA7C59" w:rsidP="001938F7">
      <w:pPr>
        <w:ind w:firstLine="720"/>
        <w:jc w:val="both"/>
        <w:rPr>
          <w:bCs/>
        </w:rPr>
      </w:pPr>
      <w:r>
        <w:rPr>
          <w:bCs/>
        </w:rPr>
        <w:t xml:space="preserve">Gautas 2025 m. spalio 21 d. Lietuvos verslo konfederacijos raštas Nr. 25-150VK „Dėl nekilnojamojo turto mokestinių verčių perskaičiavimo poveikio verslui“, kuriuo atkreipiamas dėmesys, </w:t>
      </w:r>
      <w:r w:rsidRPr="00FA7C59">
        <w:rPr>
          <w:bCs/>
          <w:i/>
        </w:rPr>
        <w:t>kad NT mokesčio prievolė verslui visose savivaldybėse augs daugiau nei dvigubai, jei nebus imtasi veiksmų</w:t>
      </w:r>
      <w:r>
        <w:rPr>
          <w:bCs/>
        </w:rPr>
        <w:t>.</w:t>
      </w:r>
    </w:p>
    <w:p w14:paraId="6C3610A2" w14:textId="708DB83C" w:rsidR="001938F7" w:rsidRDefault="00FA7C59" w:rsidP="001938F7">
      <w:pPr>
        <w:ind w:firstLine="720"/>
        <w:jc w:val="both"/>
        <w:rPr>
          <w:bCs/>
        </w:rPr>
      </w:pPr>
      <w:r>
        <w:rPr>
          <w:bCs/>
        </w:rPr>
        <w:t xml:space="preserve">Įvertinant ženklų </w:t>
      </w:r>
      <w:r w:rsidR="002A4722">
        <w:rPr>
          <w:bCs/>
        </w:rPr>
        <w:t xml:space="preserve">pastatų (statinių) mokestinių verčių padidėjimą nuo 2026 m., </w:t>
      </w:r>
      <w:r w:rsidR="007F74E0">
        <w:rPr>
          <w:bCs/>
        </w:rPr>
        <w:t xml:space="preserve">taip pat </w:t>
      </w:r>
      <w:r w:rsidR="002A4722">
        <w:rPr>
          <w:bCs/>
        </w:rPr>
        <w:t>įvestą papildomą NT mokes</w:t>
      </w:r>
      <w:r w:rsidR="00E030EB">
        <w:rPr>
          <w:bCs/>
        </w:rPr>
        <w:t>tį</w:t>
      </w:r>
      <w:r w:rsidR="002A4722">
        <w:rPr>
          <w:bCs/>
        </w:rPr>
        <w:t xml:space="preserve"> </w:t>
      </w:r>
      <w:r w:rsidR="00E030EB">
        <w:rPr>
          <w:bCs/>
        </w:rPr>
        <w:t>„gynybos dedamoji“ komercinės paskirties NT (0,2 proc. nuo vertės), kuris bus pervedama</w:t>
      </w:r>
      <w:r w:rsidR="00861EEA">
        <w:rPr>
          <w:bCs/>
        </w:rPr>
        <w:t>s</w:t>
      </w:r>
      <w:r w:rsidR="00E030EB">
        <w:rPr>
          <w:bCs/>
        </w:rPr>
        <w:t xml:space="preserve"> </w:t>
      </w:r>
      <w:r w:rsidR="00861EEA">
        <w:rPr>
          <w:bCs/>
        </w:rPr>
        <w:t>tiesiogiai</w:t>
      </w:r>
      <w:r w:rsidR="00E030EB">
        <w:rPr>
          <w:bCs/>
        </w:rPr>
        <w:t xml:space="preserve"> į valstybės biudžetą, </w:t>
      </w:r>
      <w:r w:rsidR="001938F7">
        <w:rPr>
          <w:bCs/>
        </w:rPr>
        <w:t xml:space="preserve">siūlome </w:t>
      </w:r>
      <w:r w:rsidR="00861EEA">
        <w:rPr>
          <w:bCs/>
        </w:rPr>
        <w:t>verslui taikytiną NT mokesčio tarifą sumažinti nuo šiuo metu galiojančio 0,</w:t>
      </w:r>
      <w:r w:rsidR="00861EEA">
        <w:rPr>
          <w:bCs/>
          <w:lang w:val="en-US"/>
        </w:rPr>
        <w:t xml:space="preserve">8% </w:t>
      </w:r>
      <w:proofErr w:type="spellStart"/>
      <w:r w:rsidR="00861EEA">
        <w:rPr>
          <w:bCs/>
          <w:lang w:val="en-US"/>
        </w:rPr>
        <w:t>iki</w:t>
      </w:r>
      <w:proofErr w:type="spellEnd"/>
      <w:r w:rsidR="00861EEA">
        <w:rPr>
          <w:bCs/>
          <w:lang w:val="en-US"/>
        </w:rPr>
        <w:t xml:space="preserve"> 0,5%.</w:t>
      </w:r>
      <w:r w:rsidR="001938F7">
        <w:rPr>
          <w:bCs/>
        </w:rPr>
        <w:t xml:space="preserve"> </w:t>
      </w:r>
    </w:p>
    <w:p w14:paraId="77F117A7" w14:textId="6896182A" w:rsidR="00E40180" w:rsidRDefault="00E40180" w:rsidP="001938F7">
      <w:pPr>
        <w:ind w:firstLine="720"/>
        <w:jc w:val="both"/>
        <w:rPr>
          <w:lang w:val="en-US"/>
        </w:rPr>
      </w:pPr>
      <w:r>
        <w:rPr>
          <w:bCs/>
        </w:rPr>
        <w:t xml:space="preserve">Taip pat, siekiant griežtesnių priemonių siekiant priversti susitvarkyti </w:t>
      </w:r>
      <w:r>
        <w:t xml:space="preserve">apleistą ar neprižiūrimą NT, siūlome padidinti nuo šiuo metu galiojančio </w:t>
      </w:r>
      <w:r>
        <w:rPr>
          <w:lang w:val="en-US"/>
        </w:rPr>
        <w:t xml:space="preserve">3,0% </w:t>
      </w:r>
      <w:proofErr w:type="spellStart"/>
      <w:r>
        <w:rPr>
          <w:lang w:val="en-US"/>
        </w:rPr>
        <w:t>tarifo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5,0% </w:t>
      </w:r>
      <w:proofErr w:type="spellStart"/>
      <w:r>
        <w:rPr>
          <w:lang w:val="en-US"/>
        </w:rPr>
        <w:t>tarifo</w:t>
      </w:r>
      <w:proofErr w:type="spellEnd"/>
      <w:r>
        <w:rPr>
          <w:lang w:val="en-US"/>
        </w:rPr>
        <w:t>.</w:t>
      </w:r>
    </w:p>
    <w:p w14:paraId="7FE953B7" w14:textId="0452DC95" w:rsidR="00E40180" w:rsidRPr="00E40180" w:rsidRDefault="00E40180" w:rsidP="003F6143">
      <w:pPr>
        <w:ind w:firstLine="709"/>
        <w:jc w:val="both"/>
        <w:rPr>
          <w:bCs/>
        </w:rPr>
      </w:pPr>
      <w:r w:rsidRPr="003F6143">
        <w:t>Atsi</w:t>
      </w:r>
      <w:r w:rsidRPr="00E40180">
        <w:t>žvelgiant</w:t>
      </w:r>
      <w:r>
        <w:t xml:space="preserve"> į įvestas NT mokestines prievoles gyventojams, siūlome taikyti Įstatyme numatytas minimalius apmokestinimo tarifus, </w:t>
      </w:r>
      <w:proofErr w:type="spellStart"/>
      <w:r>
        <w:t>t.y</w:t>
      </w:r>
      <w:proofErr w:type="spellEnd"/>
      <w:r>
        <w:t>. taikyti 0,1 procento NT mokestinės vertės dydį pagrindinio gyvenamojo būsto mokestinės vertės daliai, viršijančiai neapmokestinamąjį dydį 450 000 Eur.</w:t>
      </w:r>
      <w:r w:rsidRPr="006120CC">
        <w:t xml:space="preserve"> </w:t>
      </w:r>
      <w:r>
        <w:t>Kitam NT turtui Įstatymas imperatyviai įtvirtina progresinius tarifus, nepriklausomai nuo savivaldybės</w:t>
      </w:r>
      <w:r w:rsidR="00EA44D7">
        <w:t>.</w:t>
      </w:r>
    </w:p>
    <w:p w14:paraId="71290E96" w14:textId="77777777" w:rsidR="00382542" w:rsidRPr="006120CC" w:rsidRDefault="00382542" w:rsidP="00C858EE">
      <w:pPr>
        <w:tabs>
          <w:tab w:val="left" w:pos="0"/>
        </w:tabs>
        <w:ind w:firstLine="720"/>
        <w:jc w:val="both"/>
        <w:rPr>
          <w:b/>
        </w:rPr>
      </w:pPr>
    </w:p>
    <w:p w14:paraId="4F217FE9" w14:textId="77777777" w:rsidR="00057C80" w:rsidRDefault="00AA299B" w:rsidP="00057C80">
      <w:pPr>
        <w:tabs>
          <w:tab w:val="left" w:pos="0"/>
        </w:tabs>
        <w:ind w:firstLine="720"/>
        <w:jc w:val="both"/>
      </w:pPr>
      <w:r w:rsidRPr="006120CC">
        <w:rPr>
          <w:b/>
        </w:rPr>
        <w:t>5</w:t>
      </w:r>
      <w:r w:rsidR="00D83A57" w:rsidRPr="006120CC">
        <w:rPr>
          <w:b/>
        </w:rPr>
        <w:t>.</w:t>
      </w:r>
      <w:r w:rsidR="008F7A51" w:rsidRPr="006120CC">
        <w:rPr>
          <w:b/>
        </w:rPr>
        <w:t xml:space="preserve"> </w:t>
      </w:r>
      <w:r w:rsidR="00D83A57" w:rsidRPr="006120CC">
        <w:rPr>
          <w:b/>
        </w:rPr>
        <w:t>Kieno iniciatyva parengtas sprendimo projektas:</w:t>
      </w:r>
      <w:r w:rsidR="00D83A57" w:rsidRPr="006120CC">
        <w:t xml:space="preserve"> </w:t>
      </w:r>
    </w:p>
    <w:p w14:paraId="5334EB61" w14:textId="77777777" w:rsidR="00BE6A58" w:rsidRDefault="00BE1371" w:rsidP="00057C80">
      <w:pPr>
        <w:tabs>
          <w:tab w:val="left" w:pos="0"/>
        </w:tabs>
        <w:ind w:firstLine="720"/>
        <w:jc w:val="both"/>
      </w:pPr>
      <w:r w:rsidRPr="006120CC">
        <w:t xml:space="preserve">Sprendimo projekto </w:t>
      </w:r>
      <w:r w:rsidR="00521D58">
        <w:t>pa</w:t>
      </w:r>
      <w:r w:rsidRPr="006120CC">
        <w:t>reng</w:t>
      </w:r>
      <w:r w:rsidR="00521D58">
        <w:t>t</w:t>
      </w:r>
      <w:r w:rsidRPr="006120CC">
        <w:t xml:space="preserve">as Savivaldybės administracijos </w:t>
      </w:r>
      <w:r w:rsidR="00521D58">
        <w:t>iniciatyva</w:t>
      </w:r>
      <w:r w:rsidRPr="006120CC">
        <w:t>.</w:t>
      </w:r>
    </w:p>
    <w:p w14:paraId="3036CAFF" w14:textId="77777777" w:rsidR="00076542" w:rsidRDefault="00076542" w:rsidP="006832A4">
      <w:pPr>
        <w:jc w:val="both"/>
        <w:rPr>
          <w:bCs/>
        </w:rPr>
      </w:pPr>
    </w:p>
    <w:p w14:paraId="41165B8C" w14:textId="77777777" w:rsidR="006832A4" w:rsidRDefault="006832A4" w:rsidP="006832A4">
      <w:pPr>
        <w:jc w:val="both"/>
        <w:rPr>
          <w:bCs/>
        </w:rPr>
      </w:pPr>
      <w:r>
        <w:rPr>
          <w:bCs/>
        </w:rPr>
        <w:t>PRIDEDAMA. Panevėžio miesto savivaldybės tarybos 201</w:t>
      </w:r>
      <w:r w:rsidR="00F37A47">
        <w:rPr>
          <w:bCs/>
        </w:rPr>
        <w:t>9</w:t>
      </w:r>
      <w:r>
        <w:rPr>
          <w:bCs/>
        </w:rPr>
        <w:t xml:space="preserve"> m. gegužės </w:t>
      </w:r>
      <w:r w:rsidR="00F37A47">
        <w:rPr>
          <w:bCs/>
        </w:rPr>
        <w:t>30</w:t>
      </w:r>
      <w:r>
        <w:rPr>
          <w:bCs/>
        </w:rPr>
        <w:t xml:space="preserve"> d. sprendimas Nr. 1-1</w:t>
      </w:r>
      <w:r w:rsidR="00F37A47">
        <w:rPr>
          <w:bCs/>
        </w:rPr>
        <w:t>74</w:t>
      </w:r>
      <w:r w:rsidR="007E18AA">
        <w:rPr>
          <w:bCs/>
        </w:rPr>
        <w:t xml:space="preserve"> „Dėl nekilnojamojo turto mokesčio tarifų 2020 metams nustatymo“</w:t>
      </w:r>
      <w:r>
        <w:rPr>
          <w:bCs/>
        </w:rPr>
        <w:t xml:space="preserve">, </w:t>
      </w:r>
      <w:r w:rsidR="00F37A47">
        <w:rPr>
          <w:bCs/>
        </w:rPr>
        <w:t>2</w:t>
      </w:r>
      <w:r>
        <w:rPr>
          <w:bCs/>
        </w:rPr>
        <w:t xml:space="preserve"> lapa</w:t>
      </w:r>
      <w:r w:rsidR="00F37A47">
        <w:rPr>
          <w:bCs/>
        </w:rPr>
        <w:t>i</w:t>
      </w:r>
      <w:r>
        <w:rPr>
          <w:bCs/>
        </w:rPr>
        <w:t>.</w:t>
      </w:r>
    </w:p>
    <w:p w14:paraId="11C2EB92" w14:textId="77777777" w:rsidR="00185565" w:rsidRPr="006120CC" w:rsidRDefault="00185565" w:rsidP="00BE6A58">
      <w:pPr>
        <w:tabs>
          <w:tab w:val="left" w:pos="0"/>
        </w:tabs>
        <w:spacing w:before="240" w:line="360" w:lineRule="auto"/>
        <w:ind w:firstLine="720"/>
        <w:jc w:val="both"/>
      </w:pPr>
    </w:p>
    <w:p w14:paraId="7DD3EE1E" w14:textId="77777777" w:rsidR="00185565" w:rsidRDefault="00185565" w:rsidP="00185565">
      <w:pPr>
        <w:rPr>
          <w:bCs/>
        </w:rPr>
      </w:pPr>
      <w:r>
        <w:rPr>
          <w:bCs/>
        </w:rPr>
        <w:t>Miesto plėtros skyriaus vyr</w:t>
      </w:r>
      <w:r w:rsidR="00C76279">
        <w:rPr>
          <w:bCs/>
        </w:rPr>
        <w:t>iausioji</w:t>
      </w:r>
      <w:r>
        <w:rPr>
          <w:bCs/>
        </w:rPr>
        <w:t xml:space="preserve"> specialistė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Rita Servienė</w:t>
      </w:r>
    </w:p>
    <w:p w14:paraId="4662E9F0" w14:textId="77777777" w:rsidR="00392668" w:rsidRDefault="00392668" w:rsidP="00185565">
      <w:pPr>
        <w:rPr>
          <w:bCs/>
        </w:rPr>
      </w:pPr>
    </w:p>
    <w:p w14:paraId="5BB56B89" w14:textId="77777777" w:rsidR="00392668" w:rsidRDefault="00392668" w:rsidP="00185565">
      <w:pPr>
        <w:rPr>
          <w:bCs/>
        </w:rPr>
      </w:pPr>
    </w:p>
    <w:p w14:paraId="59EB4E52" w14:textId="77777777" w:rsidR="0076256E" w:rsidRPr="00EB4E9D" w:rsidRDefault="0076256E" w:rsidP="00185565">
      <w:pPr>
        <w:tabs>
          <w:tab w:val="left" w:pos="0"/>
        </w:tabs>
        <w:spacing w:before="240" w:line="360" w:lineRule="auto"/>
        <w:ind w:firstLine="720"/>
        <w:jc w:val="both"/>
      </w:pPr>
    </w:p>
    <w:sectPr w:rsidR="0076256E" w:rsidRPr="00EB4E9D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2DB72" w14:textId="77777777" w:rsidR="00524B8F" w:rsidRDefault="00524B8F" w:rsidP="00A52524">
      <w:r>
        <w:separator/>
      </w:r>
    </w:p>
  </w:endnote>
  <w:endnote w:type="continuationSeparator" w:id="0">
    <w:p w14:paraId="5B73F8FA" w14:textId="77777777" w:rsidR="00524B8F" w:rsidRDefault="00524B8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048A0" w14:textId="77777777" w:rsidR="00524B8F" w:rsidRDefault="00524B8F" w:rsidP="00A52524">
      <w:r>
        <w:separator/>
      </w:r>
    </w:p>
  </w:footnote>
  <w:footnote w:type="continuationSeparator" w:id="0">
    <w:p w14:paraId="3047DE20" w14:textId="77777777" w:rsidR="00524B8F" w:rsidRDefault="00524B8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5650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F7E21DC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A2C1D"/>
    <w:multiLevelType w:val="multilevel"/>
    <w:tmpl w:val="0D2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2D5E2A56"/>
    <w:multiLevelType w:val="multilevel"/>
    <w:tmpl w:val="CBE4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B2415CE"/>
    <w:multiLevelType w:val="hybridMultilevel"/>
    <w:tmpl w:val="D9787286"/>
    <w:lvl w:ilvl="0" w:tplc="9DA448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5F1F76B3"/>
    <w:multiLevelType w:val="multilevel"/>
    <w:tmpl w:val="251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71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159095">
    <w:abstractNumId w:val="3"/>
  </w:num>
  <w:num w:numId="3" w16cid:durableId="773745446">
    <w:abstractNumId w:val="5"/>
  </w:num>
  <w:num w:numId="4" w16cid:durableId="1594245649">
    <w:abstractNumId w:val="4"/>
  </w:num>
  <w:num w:numId="5" w16cid:durableId="2043238334">
    <w:abstractNumId w:val="2"/>
  </w:num>
  <w:num w:numId="6" w16cid:durableId="647175393">
    <w:abstractNumId w:val="6"/>
  </w:num>
  <w:num w:numId="7" w16cid:durableId="116007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0D68"/>
    <w:rsid w:val="00002A9C"/>
    <w:rsid w:val="0000602D"/>
    <w:rsid w:val="000118C7"/>
    <w:rsid w:val="0001413A"/>
    <w:rsid w:val="00014C86"/>
    <w:rsid w:val="000231E1"/>
    <w:rsid w:val="0003001F"/>
    <w:rsid w:val="000372C5"/>
    <w:rsid w:val="00037FA5"/>
    <w:rsid w:val="0004384C"/>
    <w:rsid w:val="0004567B"/>
    <w:rsid w:val="00047414"/>
    <w:rsid w:val="00050EF0"/>
    <w:rsid w:val="00054582"/>
    <w:rsid w:val="00056F43"/>
    <w:rsid w:val="00057C80"/>
    <w:rsid w:val="00060E2D"/>
    <w:rsid w:val="00061457"/>
    <w:rsid w:val="0006183E"/>
    <w:rsid w:val="00061BD3"/>
    <w:rsid w:val="0006491B"/>
    <w:rsid w:val="00066E6B"/>
    <w:rsid w:val="00066EF6"/>
    <w:rsid w:val="000674E3"/>
    <w:rsid w:val="00070199"/>
    <w:rsid w:val="00070FD7"/>
    <w:rsid w:val="00073025"/>
    <w:rsid w:val="00075FBB"/>
    <w:rsid w:val="00076542"/>
    <w:rsid w:val="00076867"/>
    <w:rsid w:val="000809F0"/>
    <w:rsid w:val="00081D67"/>
    <w:rsid w:val="00084B4B"/>
    <w:rsid w:val="000913B9"/>
    <w:rsid w:val="00093CB7"/>
    <w:rsid w:val="00095AAF"/>
    <w:rsid w:val="000A0852"/>
    <w:rsid w:val="000A7AAB"/>
    <w:rsid w:val="000B093D"/>
    <w:rsid w:val="000B1CDE"/>
    <w:rsid w:val="000C3941"/>
    <w:rsid w:val="000D1319"/>
    <w:rsid w:val="000D3B9A"/>
    <w:rsid w:val="000D44B1"/>
    <w:rsid w:val="000D4A32"/>
    <w:rsid w:val="000D791E"/>
    <w:rsid w:val="000E2339"/>
    <w:rsid w:val="000E2F3E"/>
    <w:rsid w:val="000E5392"/>
    <w:rsid w:val="000F09AC"/>
    <w:rsid w:val="000F0B51"/>
    <w:rsid w:val="000F47FD"/>
    <w:rsid w:val="000F65E2"/>
    <w:rsid w:val="00104049"/>
    <w:rsid w:val="00105A0A"/>
    <w:rsid w:val="00110C52"/>
    <w:rsid w:val="00114344"/>
    <w:rsid w:val="00114AEB"/>
    <w:rsid w:val="001150F9"/>
    <w:rsid w:val="001154E2"/>
    <w:rsid w:val="00117E43"/>
    <w:rsid w:val="00120628"/>
    <w:rsid w:val="00133661"/>
    <w:rsid w:val="001342D3"/>
    <w:rsid w:val="001352EF"/>
    <w:rsid w:val="00135546"/>
    <w:rsid w:val="001361BA"/>
    <w:rsid w:val="00137C82"/>
    <w:rsid w:val="00144570"/>
    <w:rsid w:val="001453E9"/>
    <w:rsid w:val="00147445"/>
    <w:rsid w:val="0014744F"/>
    <w:rsid w:val="001474B3"/>
    <w:rsid w:val="00154678"/>
    <w:rsid w:val="00155035"/>
    <w:rsid w:val="00155DE4"/>
    <w:rsid w:val="001618B0"/>
    <w:rsid w:val="00163CB6"/>
    <w:rsid w:val="0017148A"/>
    <w:rsid w:val="001744F5"/>
    <w:rsid w:val="001810E2"/>
    <w:rsid w:val="00185565"/>
    <w:rsid w:val="00185F27"/>
    <w:rsid w:val="001868E5"/>
    <w:rsid w:val="00186B8B"/>
    <w:rsid w:val="00192CD8"/>
    <w:rsid w:val="001938F7"/>
    <w:rsid w:val="001A1276"/>
    <w:rsid w:val="001A3516"/>
    <w:rsid w:val="001B1B5A"/>
    <w:rsid w:val="001B5FFB"/>
    <w:rsid w:val="001B6ED2"/>
    <w:rsid w:val="001B7CE4"/>
    <w:rsid w:val="001C4A37"/>
    <w:rsid w:val="001C7E22"/>
    <w:rsid w:val="001D0CFA"/>
    <w:rsid w:val="001D2243"/>
    <w:rsid w:val="001D340A"/>
    <w:rsid w:val="001D610D"/>
    <w:rsid w:val="001D7D66"/>
    <w:rsid w:val="001E1BFD"/>
    <w:rsid w:val="001E2E0C"/>
    <w:rsid w:val="001F208E"/>
    <w:rsid w:val="001F26E5"/>
    <w:rsid w:val="001F6739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25AF"/>
    <w:rsid w:val="00224D53"/>
    <w:rsid w:val="0022619C"/>
    <w:rsid w:val="002261FB"/>
    <w:rsid w:val="002265FB"/>
    <w:rsid w:val="00231A4F"/>
    <w:rsid w:val="00231BD6"/>
    <w:rsid w:val="002324DD"/>
    <w:rsid w:val="002328B5"/>
    <w:rsid w:val="00233709"/>
    <w:rsid w:val="00250B20"/>
    <w:rsid w:val="00251F8C"/>
    <w:rsid w:val="00252546"/>
    <w:rsid w:val="00254525"/>
    <w:rsid w:val="002614CE"/>
    <w:rsid w:val="00263422"/>
    <w:rsid w:val="00265C97"/>
    <w:rsid w:val="0026732C"/>
    <w:rsid w:val="00267684"/>
    <w:rsid w:val="00270237"/>
    <w:rsid w:val="00272359"/>
    <w:rsid w:val="00273F18"/>
    <w:rsid w:val="002765C8"/>
    <w:rsid w:val="00281BCB"/>
    <w:rsid w:val="00283C28"/>
    <w:rsid w:val="00283F09"/>
    <w:rsid w:val="002844F7"/>
    <w:rsid w:val="002872EB"/>
    <w:rsid w:val="002914C2"/>
    <w:rsid w:val="0029205E"/>
    <w:rsid w:val="0029446D"/>
    <w:rsid w:val="00294868"/>
    <w:rsid w:val="00295A2A"/>
    <w:rsid w:val="00296C9D"/>
    <w:rsid w:val="002A16CF"/>
    <w:rsid w:val="002A320D"/>
    <w:rsid w:val="002A3891"/>
    <w:rsid w:val="002A4722"/>
    <w:rsid w:val="002A4C9F"/>
    <w:rsid w:val="002A4CE8"/>
    <w:rsid w:val="002A64E0"/>
    <w:rsid w:val="002A73A9"/>
    <w:rsid w:val="002B3A6A"/>
    <w:rsid w:val="002B502F"/>
    <w:rsid w:val="002B772E"/>
    <w:rsid w:val="002C3067"/>
    <w:rsid w:val="002C51AF"/>
    <w:rsid w:val="002D2A30"/>
    <w:rsid w:val="002D73AA"/>
    <w:rsid w:val="002D7495"/>
    <w:rsid w:val="002E0319"/>
    <w:rsid w:val="002E1C63"/>
    <w:rsid w:val="002E2502"/>
    <w:rsid w:val="002E5FFF"/>
    <w:rsid w:val="002F02BD"/>
    <w:rsid w:val="002F294E"/>
    <w:rsid w:val="002F4930"/>
    <w:rsid w:val="00311D88"/>
    <w:rsid w:val="003167E2"/>
    <w:rsid w:val="00316A19"/>
    <w:rsid w:val="00320015"/>
    <w:rsid w:val="00326E25"/>
    <w:rsid w:val="003301AE"/>
    <w:rsid w:val="003361C1"/>
    <w:rsid w:val="00336212"/>
    <w:rsid w:val="00341184"/>
    <w:rsid w:val="00347191"/>
    <w:rsid w:val="00351D47"/>
    <w:rsid w:val="00354C1C"/>
    <w:rsid w:val="00355EE3"/>
    <w:rsid w:val="00361CA7"/>
    <w:rsid w:val="00361F94"/>
    <w:rsid w:val="003629B2"/>
    <w:rsid w:val="00365AB5"/>
    <w:rsid w:val="003666E4"/>
    <w:rsid w:val="0037426A"/>
    <w:rsid w:val="003762B9"/>
    <w:rsid w:val="00382542"/>
    <w:rsid w:val="00383A7D"/>
    <w:rsid w:val="003854E9"/>
    <w:rsid w:val="00387C07"/>
    <w:rsid w:val="00390005"/>
    <w:rsid w:val="00392668"/>
    <w:rsid w:val="003A091E"/>
    <w:rsid w:val="003A1667"/>
    <w:rsid w:val="003A2280"/>
    <w:rsid w:val="003A2698"/>
    <w:rsid w:val="003A69F5"/>
    <w:rsid w:val="003A7A35"/>
    <w:rsid w:val="003B3161"/>
    <w:rsid w:val="003B3767"/>
    <w:rsid w:val="003B6813"/>
    <w:rsid w:val="003B69B1"/>
    <w:rsid w:val="003C0B82"/>
    <w:rsid w:val="003C0CF0"/>
    <w:rsid w:val="003C36C1"/>
    <w:rsid w:val="003C6482"/>
    <w:rsid w:val="003C6D21"/>
    <w:rsid w:val="003C742F"/>
    <w:rsid w:val="003C7B44"/>
    <w:rsid w:val="003D29AE"/>
    <w:rsid w:val="003D30CA"/>
    <w:rsid w:val="003D3883"/>
    <w:rsid w:val="003D3B6D"/>
    <w:rsid w:val="003D6483"/>
    <w:rsid w:val="003D7083"/>
    <w:rsid w:val="003E23AE"/>
    <w:rsid w:val="003E3032"/>
    <w:rsid w:val="003E354F"/>
    <w:rsid w:val="003F6143"/>
    <w:rsid w:val="004002DB"/>
    <w:rsid w:val="004003E2"/>
    <w:rsid w:val="004022A3"/>
    <w:rsid w:val="004040AD"/>
    <w:rsid w:val="00404560"/>
    <w:rsid w:val="00405EF3"/>
    <w:rsid w:val="004111BA"/>
    <w:rsid w:val="00413ACE"/>
    <w:rsid w:val="0041698E"/>
    <w:rsid w:val="00421857"/>
    <w:rsid w:val="004336EA"/>
    <w:rsid w:val="0043379B"/>
    <w:rsid w:val="00434584"/>
    <w:rsid w:val="00434DBB"/>
    <w:rsid w:val="00441287"/>
    <w:rsid w:val="00450256"/>
    <w:rsid w:val="00451ECF"/>
    <w:rsid w:val="00457E15"/>
    <w:rsid w:val="0046086F"/>
    <w:rsid w:val="00460D9B"/>
    <w:rsid w:val="004619AF"/>
    <w:rsid w:val="00462829"/>
    <w:rsid w:val="00470159"/>
    <w:rsid w:val="004754C2"/>
    <w:rsid w:val="0047683D"/>
    <w:rsid w:val="004804ED"/>
    <w:rsid w:val="00480B7B"/>
    <w:rsid w:val="004879C0"/>
    <w:rsid w:val="0049508F"/>
    <w:rsid w:val="004A5AF0"/>
    <w:rsid w:val="004A7E63"/>
    <w:rsid w:val="004B0EE4"/>
    <w:rsid w:val="004B1BA5"/>
    <w:rsid w:val="004B2A5D"/>
    <w:rsid w:val="004B7BC3"/>
    <w:rsid w:val="004C20A3"/>
    <w:rsid w:val="004C441C"/>
    <w:rsid w:val="004C57D9"/>
    <w:rsid w:val="004D04D8"/>
    <w:rsid w:val="004D3C2F"/>
    <w:rsid w:val="004D4FE7"/>
    <w:rsid w:val="004D52DD"/>
    <w:rsid w:val="004E1338"/>
    <w:rsid w:val="004E266E"/>
    <w:rsid w:val="004E396C"/>
    <w:rsid w:val="004E51DD"/>
    <w:rsid w:val="004E5D2B"/>
    <w:rsid w:val="004F24E2"/>
    <w:rsid w:val="004F2CF6"/>
    <w:rsid w:val="005020BE"/>
    <w:rsid w:val="00502E77"/>
    <w:rsid w:val="00511B98"/>
    <w:rsid w:val="00513C98"/>
    <w:rsid w:val="00516395"/>
    <w:rsid w:val="00516B00"/>
    <w:rsid w:val="00520C5A"/>
    <w:rsid w:val="00521D58"/>
    <w:rsid w:val="00523021"/>
    <w:rsid w:val="00524B8F"/>
    <w:rsid w:val="00531FD1"/>
    <w:rsid w:val="005336FE"/>
    <w:rsid w:val="00535354"/>
    <w:rsid w:val="00536F4F"/>
    <w:rsid w:val="0054099D"/>
    <w:rsid w:val="005414BE"/>
    <w:rsid w:val="00546CF1"/>
    <w:rsid w:val="00550AE9"/>
    <w:rsid w:val="00552380"/>
    <w:rsid w:val="0057203E"/>
    <w:rsid w:val="00573BD9"/>
    <w:rsid w:val="00574002"/>
    <w:rsid w:val="00576615"/>
    <w:rsid w:val="005803A3"/>
    <w:rsid w:val="0058298A"/>
    <w:rsid w:val="00586EE7"/>
    <w:rsid w:val="0059465A"/>
    <w:rsid w:val="005953B2"/>
    <w:rsid w:val="005957BF"/>
    <w:rsid w:val="00595C4A"/>
    <w:rsid w:val="00596212"/>
    <w:rsid w:val="005A2B5B"/>
    <w:rsid w:val="005A3781"/>
    <w:rsid w:val="005B0280"/>
    <w:rsid w:val="005B5240"/>
    <w:rsid w:val="005B5D25"/>
    <w:rsid w:val="005B707F"/>
    <w:rsid w:val="005C0E53"/>
    <w:rsid w:val="005C1ECA"/>
    <w:rsid w:val="005C414B"/>
    <w:rsid w:val="005C4A05"/>
    <w:rsid w:val="005C7970"/>
    <w:rsid w:val="005D6E6B"/>
    <w:rsid w:val="005E3704"/>
    <w:rsid w:val="005F3CF8"/>
    <w:rsid w:val="00601B9E"/>
    <w:rsid w:val="00610A81"/>
    <w:rsid w:val="006120CC"/>
    <w:rsid w:val="0061536A"/>
    <w:rsid w:val="0061607E"/>
    <w:rsid w:val="00616B3D"/>
    <w:rsid w:val="0061776C"/>
    <w:rsid w:val="00624480"/>
    <w:rsid w:val="00626CE6"/>
    <w:rsid w:val="00631771"/>
    <w:rsid w:val="006324AC"/>
    <w:rsid w:val="00641744"/>
    <w:rsid w:val="0064365E"/>
    <w:rsid w:val="00644363"/>
    <w:rsid w:val="00644D93"/>
    <w:rsid w:val="006461A5"/>
    <w:rsid w:val="00647385"/>
    <w:rsid w:val="00652F54"/>
    <w:rsid w:val="006539FD"/>
    <w:rsid w:val="00655D1B"/>
    <w:rsid w:val="00657E89"/>
    <w:rsid w:val="006649DA"/>
    <w:rsid w:val="00670701"/>
    <w:rsid w:val="00671F3B"/>
    <w:rsid w:val="00675C5D"/>
    <w:rsid w:val="006773A6"/>
    <w:rsid w:val="006801CB"/>
    <w:rsid w:val="00681A7E"/>
    <w:rsid w:val="00683227"/>
    <w:rsid w:val="006832A4"/>
    <w:rsid w:val="00683C22"/>
    <w:rsid w:val="00683E61"/>
    <w:rsid w:val="006867C7"/>
    <w:rsid w:val="006870FA"/>
    <w:rsid w:val="006961FD"/>
    <w:rsid w:val="006A041A"/>
    <w:rsid w:val="006A0AA6"/>
    <w:rsid w:val="006A0D98"/>
    <w:rsid w:val="006A0F41"/>
    <w:rsid w:val="006A1CDF"/>
    <w:rsid w:val="006A318E"/>
    <w:rsid w:val="006A5BC0"/>
    <w:rsid w:val="006A7494"/>
    <w:rsid w:val="006B0F79"/>
    <w:rsid w:val="006B18C5"/>
    <w:rsid w:val="006B1DEF"/>
    <w:rsid w:val="006B5358"/>
    <w:rsid w:val="006C00C1"/>
    <w:rsid w:val="006C41BA"/>
    <w:rsid w:val="006D009F"/>
    <w:rsid w:val="006D3591"/>
    <w:rsid w:val="006D4D71"/>
    <w:rsid w:val="006D5BC6"/>
    <w:rsid w:val="006E3F53"/>
    <w:rsid w:val="006E4C82"/>
    <w:rsid w:val="006F216C"/>
    <w:rsid w:val="006F3778"/>
    <w:rsid w:val="00702023"/>
    <w:rsid w:val="00702515"/>
    <w:rsid w:val="00702B46"/>
    <w:rsid w:val="00704893"/>
    <w:rsid w:val="0071088C"/>
    <w:rsid w:val="00712ADB"/>
    <w:rsid w:val="00714A6C"/>
    <w:rsid w:val="0072199B"/>
    <w:rsid w:val="00722BA8"/>
    <w:rsid w:val="0072404A"/>
    <w:rsid w:val="0072552E"/>
    <w:rsid w:val="00726153"/>
    <w:rsid w:val="00732A14"/>
    <w:rsid w:val="007342FC"/>
    <w:rsid w:val="0073583B"/>
    <w:rsid w:val="00736B47"/>
    <w:rsid w:val="00737CBF"/>
    <w:rsid w:val="00740A90"/>
    <w:rsid w:val="00741BFD"/>
    <w:rsid w:val="00742E95"/>
    <w:rsid w:val="0074446C"/>
    <w:rsid w:val="0075269D"/>
    <w:rsid w:val="00754139"/>
    <w:rsid w:val="00760C8F"/>
    <w:rsid w:val="00761E17"/>
    <w:rsid w:val="0076256E"/>
    <w:rsid w:val="00771326"/>
    <w:rsid w:val="00771CC1"/>
    <w:rsid w:val="007728C1"/>
    <w:rsid w:val="007775FF"/>
    <w:rsid w:val="00782050"/>
    <w:rsid w:val="0078280A"/>
    <w:rsid w:val="00782F5E"/>
    <w:rsid w:val="00783235"/>
    <w:rsid w:val="00783F03"/>
    <w:rsid w:val="00786E45"/>
    <w:rsid w:val="007877EB"/>
    <w:rsid w:val="00792EC0"/>
    <w:rsid w:val="0079663E"/>
    <w:rsid w:val="00796CC2"/>
    <w:rsid w:val="007A163E"/>
    <w:rsid w:val="007A1692"/>
    <w:rsid w:val="007A3BDE"/>
    <w:rsid w:val="007A5ACD"/>
    <w:rsid w:val="007B2782"/>
    <w:rsid w:val="007C601B"/>
    <w:rsid w:val="007C659C"/>
    <w:rsid w:val="007D0623"/>
    <w:rsid w:val="007D0BE7"/>
    <w:rsid w:val="007D48D5"/>
    <w:rsid w:val="007D51F3"/>
    <w:rsid w:val="007D54D9"/>
    <w:rsid w:val="007D7B8A"/>
    <w:rsid w:val="007E18AA"/>
    <w:rsid w:val="007E27FA"/>
    <w:rsid w:val="007E540E"/>
    <w:rsid w:val="007E5B87"/>
    <w:rsid w:val="007F60AF"/>
    <w:rsid w:val="007F74E0"/>
    <w:rsid w:val="007F78EA"/>
    <w:rsid w:val="008011AE"/>
    <w:rsid w:val="0080688E"/>
    <w:rsid w:val="00807B2C"/>
    <w:rsid w:val="00811423"/>
    <w:rsid w:val="00812E50"/>
    <w:rsid w:val="0081425F"/>
    <w:rsid w:val="00817123"/>
    <w:rsid w:val="008201B6"/>
    <w:rsid w:val="00821D84"/>
    <w:rsid w:val="00826CAE"/>
    <w:rsid w:val="0083069B"/>
    <w:rsid w:val="008310AE"/>
    <w:rsid w:val="00842661"/>
    <w:rsid w:val="00842C3F"/>
    <w:rsid w:val="008449A7"/>
    <w:rsid w:val="00845E4A"/>
    <w:rsid w:val="00846689"/>
    <w:rsid w:val="008511EF"/>
    <w:rsid w:val="00852418"/>
    <w:rsid w:val="00861EEA"/>
    <w:rsid w:val="00865A80"/>
    <w:rsid w:val="00866DD9"/>
    <w:rsid w:val="008674C1"/>
    <w:rsid w:val="00871ACA"/>
    <w:rsid w:val="00872F3E"/>
    <w:rsid w:val="00874356"/>
    <w:rsid w:val="008801C6"/>
    <w:rsid w:val="00882493"/>
    <w:rsid w:val="00883E7D"/>
    <w:rsid w:val="00884818"/>
    <w:rsid w:val="00885918"/>
    <w:rsid w:val="00887BE2"/>
    <w:rsid w:val="0089215A"/>
    <w:rsid w:val="008958CD"/>
    <w:rsid w:val="00897A2B"/>
    <w:rsid w:val="008A4E46"/>
    <w:rsid w:val="008C6757"/>
    <w:rsid w:val="008D04C6"/>
    <w:rsid w:val="008D23DF"/>
    <w:rsid w:val="008D3881"/>
    <w:rsid w:val="008D54A7"/>
    <w:rsid w:val="008D6C97"/>
    <w:rsid w:val="008E2BC0"/>
    <w:rsid w:val="008E6748"/>
    <w:rsid w:val="008F3CEE"/>
    <w:rsid w:val="008F52CE"/>
    <w:rsid w:val="008F59CC"/>
    <w:rsid w:val="008F6C2C"/>
    <w:rsid w:val="008F7A51"/>
    <w:rsid w:val="00900278"/>
    <w:rsid w:val="009022A5"/>
    <w:rsid w:val="00902825"/>
    <w:rsid w:val="0091122B"/>
    <w:rsid w:val="009129F1"/>
    <w:rsid w:val="0091315E"/>
    <w:rsid w:val="009177AB"/>
    <w:rsid w:val="009202E2"/>
    <w:rsid w:val="00921EEB"/>
    <w:rsid w:val="0092588B"/>
    <w:rsid w:val="00931AEB"/>
    <w:rsid w:val="00931EE1"/>
    <w:rsid w:val="009465B5"/>
    <w:rsid w:val="009474CF"/>
    <w:rsid w:val="00952605"/>
    <w:rsid w:val="00956971"/>
    <w:rsid w:val="00962CAA"/>
    <w:rsid w:val="00964813"/>
    <w:rsid w:val="00965126"/>
    <w:rsid w:val="009667BB"/>
    <w:rsid w:val="0097074B"/>
    <w:rsid w:val="00975ECF"/>
    <w:rsid w:val="00980E93"/>
    <w:rsid w:val="00986ABD"/>
    <w:rsid w:val="00987DB7"/>
    <w:rsid w:val="00991162"/>
    <w:rsid w:val="00994919"/>
    <w:rsid w:val="009A020D"/>
    <w:rsid w:val="009A1228"/>
    <w:rsid w:val="009A5FF0"/>
    <w:rsid w:val="009B0664"/>
    <w:rsid w:val="009B3620"/>
    <w:rsid w:val="009B39C6"/>
    <w:rsid w:val="009B4236"/>
    <w:rsid w:val="009C0C05"/>
    <w:rsid w:val="009C41D2"/>
    <w:rsid w:val="009D0E0F"/>
    <w:rsid w:val="009D143C"/>
    <w:rsid w:val="009E54C7"/>
    <w:rsid w:val="009E6005"/>
    <w:rsid w:val="009E6522"/>
    <w:rsid w:val="009E6A46"/>
    <w:rsid w:val="009E6D9A"/>
    <w:rsid w:val="009F21B3"/>
    <w:rsid w:val="009F21F7"/>
    <w:rsid w:val="00A002EA"/>
    <w:rsid w:val="00A00395"/>
    <w:rsid w:val="00A0200B"/>
    <w:rsid w:val="00A04E12"/>
    <w:rsid w:val="00A11261"/>
    <w:rsid w:val="00A202DC"/>
    <w:rsid w:val="00A205ED"/>
    <w:rsid w:val="00A26F16"/>
    <w:rsid w:val="00A27343"/>
    <w:rsid w:val="00A30713"/>
    <w:rsid w:val="00A32CC5"/>
    <w:rsid w:val="00A34266"/>
    <w:rsid w:val="00A44B9D"/>
    <w:rsid w:val="00A51409"/>
    <w:rsid w:val="00A52524"/>
    <w:rsid w:val="00A53993"/>
    <w:rsid w:val="00A546A5"/>
    <w:rsid w:val="00A55EBF"/>
    <w:rsid w:val="00A568D5"/>
    <w:rsid w:val="00A614E9"/>
    <w:rsid w:val="00A62F9B"/>
    <w:rsid w:val="00A650EC"/>
    <w:rsid w:val="00A66D94"/>
    <w:rsid w:val="00A712F3"/>
    <w:rsid w:val="00A719D0"/>
    <w:rsid w:val="00A7365B"/>
    <w:rsid w:val="00A83139"/>
    <w:rsid w:val="00A86C1E"/>
    <w:rsid w:val="00A8785C"/>
    <w:rsid w:val="00A87C7C"/>
    <w:rsid w:val="00A901A7"/>
    <w:rsid w:val="00A94900"/>
    <w:rsid w:val="00A968CB"/>
    <w:rsid w:val="00AA18CF"/>
    <w:rsid w:val="00AA299B"/>
    <w:rsid w:val="00AA354C"/>
    <w:rsid w:val="00AA781A"/>
    <w:rsid w:val="00AB348B"/>
    <w:rsid w:val="00AB796F"/>
    <w:rsid w:val="00AC1F11"/>
    <w:rsid w:val="00AC2FFA"/>
    <w:rsid w:val="00AC5542"/>
    <w:rsid w:val="00AD375B"/>
    <w:rsid w:val="00AD5328"/>
    <w:rsid w:val="00AD5374"/>
    <w:rsid w:val="00AE4383"/>
    <w:rsid w:val="00AE6F26"/>
    <w:rsid w:val="00AE703E"/>
    <w:rsid w:val="00AF1FE2"/>
    <w:rsid w:val="00AF336C"/>
    <w:rsid w:val="00AF3F51"/>
    <w:rsid w:val="00AF58BA"/>
    <w:rsid w:val="00B0021B"/>
    <w:rsid w:val="00B03B39"/>
    <w:rsid w:val="00B0655B"/>
    <w:rsid w:val="00B068B5"/>
    <w:rsid w:val="00B06BEE"/>
    <w:rsid w:val="00B14500"/>
    <w:rsid w:val="00B15200"/>
    <w:rsid w:val="00B26C67"/>
    <w:rsid w:val="00B27E1E"/>
    <w:rsid w:val="00B30977"/>
    <w:rsid w:val="00B332F8"/>
    <w:rsid w:val="00B3422D"/>
    <w:rsid w:val="00B352CA"/>
    <w:rsid w:val="00B36098"/>
    <w:rsid w:val="00B42A26"/>
    <w:rsid w:val="00B44C18"/>
    <w:rsid w:val="00B462A8"/>
    <w:rsid w:val="00B503AA"/>
    <w:rsid w:val="00B546DC"/>
    <w:rsid w:val="00B67A51"/>
    <w:rsid w:val="00B710EC"/>
    <w:rsid w:val="00B72FC6"/>
    <w:rsid w:val="00B7349A"/>
    <w:rsid w:val="00B73CA9"/>
    <w:rsid w:val="00B813E5"/>
    <w:rsid w:val="00B817C2"/>
    <w:rsid w:val="00B86A53"/>
    <w:rsid w:val="00B904C3"/>
    <w:rsid w:val="00BA1BE5"/>
    <w:rsid w:val="00BA6083"/>
    <w:rsid w:val="00BA7040"/>
    <w:rsid w:val="00BB1560"/>
    <w:rsid w:val="00BB176F"/>
    <w:rsid w:val="00BB4AE1"/>
    <w:rsid w:val="00BB618B"/>
    <w:rsid w:val="00BB7453"/>
    <w:rsid w:val="00BB7698"/>
    <w:rsid w:val="00BC0A82"/>
    <w:rsid w:val="00BC7233"/>
    <w:rsid w:val="00BD1257"/>
    <w:rsid w:val="00BD41A3"/>
    <w:rsid w:val="00BD74AC"/>
    <w:rsid w:val="00BE0974"/>
    <w:rsid w:val="00BE1371"/>
    <w:rsid w:val="00BE1EB0"/>
    <w:rsid w:val="00BE6A58"/>
    <w:rsid w:val="00BF2481"/>
    <w:rsid w:val="00BF268C"/>
    <w:rsid w:val="00BF65AD"/>
    <w:rsid w:val="00BF739D"/>
    <w:rsid w:val="00C000DF"/>
    <w:rsid w:val="00C01BF6"/>
    <w:rsid w:val="00C04247"/>
    <w:rsid w:val="00C06F03"/>
    <w:rsid w:val="00C11539"/>
    <w:rsid w:val="00C23689"/>
    <w:rsid w:val="00C24710"/>
    <w:rsid w:val="00C25760"/>
    <w:rsid w:val="00C370B6"/>
    <w:rsid w:val="00C37784"/>
    <w:rsid w:val="00C40188"/>
    <w:rsid w:val="00C41AA1"/>
    <w:rsid w:val="00C433C2"/>
    <w:rsid w:val="00C43F27"/>
    <w:rsid w:val="00C4402D"/>
    <w:rsid w:val="00C5176B"/>
    <w:rsid w:val="00C52409"/>
    <w:rsid w:val="00C54D16"/>
    <w:rsid w:val="00C5756B"/>
    <w:rsid w:val="00C6045F"/>
    <w:rsid w:val="00C6314A"/>
    <w:rsid w:val="00C63E49"/>
    <w:rsid w:val="00C661EB"/>
    <w:rsid w:val="00C66B9D"/>
    <w:rsid w:val="00C76279"/>
    <w:rsid w:val="00C76A01"/>
    <w:rsid w:val="00C83D58"/>
    <w:rsid w:val="00C83DA3"/>
    <w:rsid w:val="00C858EE"/>
    <w:rsid w:val="00C906DE"/>
    <w:rsid w:val="00C946B3"/>
    <w:rsid w:val="00CA0399"/>
    <w:rsid w:val="00CA09B4"/>
    <w:rsid w:val="00CA0EF1"/>
    <w:rsid w:val="00CA47D8"/>
    <w:rsid w:val="00CA5474"/>
    <w:rsid w:val="00CA77DB"/>
    <w:rsid w:val="00CB02C9"/>
    <w:rsid w:val="00CB3022"/>
    <w:rsid w:val="00CB4325"/>
    <w:rsid w:val="00CC0DF0"/>
    <w:rsid w:val="00CC3385"/>
    <w:rsid w:val="00CC71BD"/>
    <w:rsid w:val="00CD30F2"/>
    <w:rsid w:val="00CD4AC4"/>
    <w:rsid w:val="00CD678D"/>
    <w:rsid w:val="00CE0993"/>
    <w:rsid w:val="00CE217C"/>
    <w:rsid w:val="00CE35F7"/>
    <w:rsid w:val="00CE64BD"/>
    <w:rsid w:val="00CE7152"/>
    <w:rsid w:val="00CE7CE2"/>
    <w:rsid w:val="00CF05AD"/>
    <w:rsid w:val="00CF451D"/>
    <w:rsid w:val="00D0192F"/>
    <w:rsid w:val="00D01FC5"/>
    <w:rsid w:val="00D042A5"/>
    <w:rsid w:val="00D078CC"/>
    <w:rsid w:val="00D174C7"/>
    <w:rsid w:val="00D20F62"/>
    <w:rsid w:val="00D21554"/>
    <w:rsid w:val="00D25E94"/>
    <w:rsid w:val="00D26D28"/>
    <w:rsid w:val="00D27DAE"/>
    <w:rsid w:val="00D34F22"/>
    <w:rsid w:val="00D40173"/>
    <w:rsid w:val="00D432A9"/>
    <w:rsid w:val="00D45BD3"/>
    <w:rsid w:val="00D536E3"/>
    <w:rsid w:val="00D56D4E"/>
    <w:rsid w:val="00D627C1"/>
    <w:rsid w:val="00D672A3"/>
    <w:rsid w:val="00D736F0"/>
    <w:rsid w:val="00D739C1"/>
    <w:rsid w:val="00D74CF7"/>
    <w:rsid w:val="00D767EA"/>
    <w:rsid w:val="00D82483"/>
    <w:rsid w:val="00D83A57"/>
    <w:rsid w:val="00D872F8"/>
    <w:rsid w:val="00D9300C"/>
    <w:rsid w:val="00D93128"/>
    <w:rsid w:val="00D96B8F"/>
    <w:rsid w:val="00DA31DC"/>
    <w:rsid w:val="00DA4154"/>
    <w:rsid w:val="00DA4550"/>
    <w:rsid w:val="00DB1804"/>
    <w:rsid w:val="00DB3C73"/>
    <w:rsid w:val="00DB5AB3"/>
    <w:rsid w:val="00DC1E3B"/>
    <w:rsid w:val="00DC6D53"/>
    <w:rsid w:val="00DC6D6C"/>
    <w:rsid w:val="00DD3311"/>
    <w:rsid w:val="00DE6688"/>
    <w:rsid w:val="00DE6F9B"/>
    <w:rsid w:val="00DF0771"/>
    <w:rsid w:val="00DF2FD6"/>
    <w:rsid w:val="00E01918"/>
    <w:rsid w:val="00E02612"/>
    <w:rsid w:val="00E030EB"/>
    <w:rsid w:val="00E10131"/>
    <w:rsid w:val="00E129C4"/>
    <w:rsid w:val="00E1533C"/>
    <w:rsid w:val="00E26808"/>
    <w:rsid w:val="00E34311"/>
    <w:rsid w:val="00E350BE"/>
    <w:rsid w:val="00E36563"/>
    <w:rsid w:val="00E40180"/>
    <w:rsid w:val="00E427F4"/>
    <w:rsid w:val="00E4634A"/>
    <w:rsid w:val="00E53864"/>
    <w:rsid w:val="00E53CC3"/>
    <w:rsid w:val="00E54BAF"/>
    <w:rsid w:val="00E56E55"/>
    <w:rsid w:val="00E57C7E"/>
    <w:rsid w:val="00E61173"/>
    <w:rsid w:val="00E64060"/>
    <w:rsid w:val="00E73A5A"/>
    <w:rsid w:val="00E74C4A"/>
    <w:rsid w:val="00E80F75"/>
    <w:rsid w:val="00E86C4C"/>
    <w:rsid w:val="00E87114"/>
    <w:rsid w:val="00E909FE"/>
    <w:rsid w:val="00E90E21"/>
    <w:rsid w:val="00E936DD"/>
    <w:rsid w:val="00EA19D0"/>
    <w:rsid w:val="00EA2E59"/>
    <w:rsid w:val="00EA44D7"/>
    <w:rsid w:val="00EA4867"/>
    <w:rsid w:val="00EA64A7"/>
    <w:rsid w:val="00EA6E14"/>
    <w:rsid w:val="00EB0082"/>
    <w:rsid w:val="00EB3D70"/>
    <w:rsid w:val="00EB4E9D"/>
    <w:rsid w:val="00EB5FDF"/>
    <w:rsid w:val="00EC1D0F"/>
    <w:rsid w:val="00ED0C53"/>
    <w:rsid w:val="00ED0D98"/>
    <w:rsid w:val="00ED441B"/>
    <w:rsid w:val="00ED54EC"/>
    <w:rsid w:val="00ED7CF4"/>
    <w:rsid w:val="00EE06A7"/>
    <w:rsid w:val="00EE1F53"/>
    <w:rsid w:val="00EE3EE6"/>
    <w:rsid w:val="00EE4AFB"/>
    <w:rsid w:val="00EF0716"/>
    <w:rsid w:val="00EF1969"/>
    <w:rsid w:val="00F05FA6"/>
    <w:rsid w:val="00F11729"/>
    <w:rsid w:val="00F15264"/>
    <w:rsid w:val="00F16D16"/>
    <w:rsid w:val="00F21702"/>
    <w:rsid w:val="00F22247"/>
    <w:rsid w:val="00F222C9"/>
    <w:rsid w:val="00F22B86"/>
    <w:rsid w:val="00F24151"/>
    <w:rsid w:val="00F31563"/>
    <w:rsid w:val="00F32FFA"/>
    <w:rsid w:val="00F37A47"/>
    <w:rsid w:val="00F406B7"/>
    <w:rsid w:val="00F41ACA"/>
    <w:rsid w:val="00F44514"/>
    <w:rsid w:val="00F45AE6"/>
    <w:rsid w:val="00F46DB5"/>
    <w:rsid w:val="00F47602"/>
    <w:rsid w:val="00F539C9"/>
    <w:rsid w:val="00F56BB8"/>
    <w:rsid w:val="00F602E0"/>
    <w:rsid w:val="00F60783"/>
    <w:rsid w:val="00F65B0C"/>
    <w:rsid w:val="00F65DAA"/>
    <w:rsid w:val="00F73EF1"/>
    <w:rsid w:val="00F76C5B"/>
    <w:rsid w:val="00F86497"/>
    <w:rsid w:val="00F86A79"/>
    <w:rsid w:val="00F86A89"/>
    <w:rsid w:val="00F903A6"/>
    <w:rsid w:val="00F911A0"/>
    <w:rsid w:val="00F93D95"/>
    <w:rsid w:val="00F96272"/>
    <w:rsid w:val="00FA082B"/>
    <w:rsid w:val="00FA6480"/>
    <w:rsid w:val="00FA67D5"/>
    <w:rsid w:val="00FA693D"/>
    <w:rsid w:val="00FA79EB"/>
    <w:rsid w:val="00FA7A31"/>
    <w:rsid w:val="00FA7C59"/>
    <w:rsid w:val="00FB0925"/>
    <w:rsid w:val="00FB0C06"/>
    <w:rsid w:val="00FC2218"/>
    <w:rsid w:val="00FC3D61"/>
    <w:rsid w:val="00FD434C"/>
    <w:rsid w:val="00FD646F"/>
    <w:rsid w:val="00FD696E"/>
    <w:rsid w:val="00FD72EE"/>
    <w:rsid w:val="00FE6036"/>
    <w:rsid w:val="00FE69D1"/>
    <w:rsid w:val="00FE6DA3"/>
    <w:rsid w:val="00FF1AB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44505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4C57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link w:val="Antrat2Diagrama"/>
    <w:uiPriority w:val="9"/>
    <w:qFormat/>
    <w:rsid w:val="004C57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511B98"/>
  </w:style>
  <w:style w:type="character" w:styleId="Grietas">
    <w:name w:val="Strong"/>
    <w:basedOn w:val="Numatytasispastraiposriftas"/>
    <w:uiPriority w:val="22"/>
    <w:qFormat/>
    <w:rsid w:val="0039266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57D9"/>
    <w:rPr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57D9"/>
    <w:rPr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4C57D9"/>
    <w:pPr>
      <w:spacing w:before="100" w:beforeAutospacing="1" w:after="100" w:afterAutospacing="1"/>
    </w:pPr>
  </w:style>
  <w:style w:type="character" w:customStyle="1" w:styleId="source-info">
    <w:name w:val="source-info"/>
    <w:basedOn w:val="Numatytasispastraiposriftas"/>
    <w:rsid w:val="004C57D9"/>
  </w:style>
  <w:style w:type="paragraph" w:styleId="Pataisymai">
    <w:name w:val="Revision"/>
    <w:hidden/>
    <w:uiPriority w:val="99"/>
    <w:semiHidden/>
    <w:rsid w:val="002C30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2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7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7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4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6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2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1549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7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3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9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740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4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97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2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1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3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935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4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70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13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78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7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04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9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76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43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07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5681</Characters>
  <Application>Microsoft Office Word</Application>
  <DocSecurity>4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2025-11-11T12:50:00Z</cp:lastPrinted>
  <dcterms:created xsi:type="dcterms:W3CDTF">2025-11-12T14:22:00Z</dcterms:created>
  <dcterms:modified xsi:type="dcterms:W3CDTF">2025-11-12T14:22:00Z</dcterms:modified>
</cp:coreProperties>
</file>