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C479" w14:textId="76F0FE6F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Panevėžio miesto savivaldybės administracijos</w:t>
      </w:r>
    </w:p>
    <w:p w14:paraId="1A243993" w14:textId="77777777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turto valdymo skyriui</w:t>
      </w:r>
    </w:p>
    <w:p w14:paraId="7F89BA8A" w14:textId="7DF0CE38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Laisvės a. 20, LT-35200 Panevėžys</w:t>
      </w:r>
    </w:p>
    <w:p w14:paraId="614E6F4D" w14:textId="4A5DFEDB" w:rsidR="009478FA" w:rsidRPr="00BC1287" w:rsidRDefault="00E04DC5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hyperlink r:id="rId7" w:history="1">
        <w:r w:rsidR="009478FA" w:rsidRPr="00BC1287">
          <w:rPr>
            <w:rStyle w:val="Hipersaitas"/>
            <w:rFonts w:cs="Arial"/>
            <w:b w:val="0"/>
            <w:bCs/>
            <w:sz w:val="24"/>
            <w:szCs w:val="24"/>
          </w:rPr>
          <w:t>loreta.babilauskiene@panevezys.lt</w:t>
        </w:r>
      </w:hyperlink>
      <w:r w:rsidR="009478FA" w:rsidRPr="00BC1287">
        <w:rPr>
          <w:rFonts w:cs="Arial"/>
          <w:b w:val="0"/>
          <w:bCs/>
          <w:sz w:val="24"/>
          <w:szCs w:val="24"/>
        </w:rPr>
        <w:t xml:space="preserve"> </w:t>
      </w:r>
    </w:p>
    <w:p w14:paraId="33F3AF62" w14:textId="77777777" w:rsidR="009478FA" w:rsidRPr="00BC1287" w:rsidRDefault="009478FA" w:rsidP="009478FA">
      <w:pPr>
        <w:pStyle w:val="Pavadinimas"/>
        <w:rPr>
          <w:rFonts w:cs="Arial"/>
          <w:b w:val="0"/>
          <w:bCs/>
          <w:sz w:val="24"/>
          <w:szCs w:val="24"/>
        </w:rPr>
      </w:pPr>
    </w:p>
    <w:p w14:paraId="2750E758" w14:textId="194E8A3E" w:rsidR="00BC1287" w:rsidRPr="00BC1287" w:rsidRDefault="00BC1287" w:rsidP="009478FA">
      <w:pPr>
        <w:rPr>
          <w:b/>
          <w:bCs/>
        </w:rPr>
      </w:pPr>
      <w:r w:rsidRPr="00BC1287">
        <w:rPr>
          <w:b/>
          <w:bCs/>
        </w:rPr>
        <w:t xml:space="preserve">DĖL NEKILNOJAMOJO TURTO, ESANČIO </w:t>
      </w:r>
      <w:r w:rsidR="00A6577D">
        <w:rPr>
          <w:b/>
          <w:bCs/>
        </w:rPr>
        <w:t>BERŽŲ</w:t>
      </w:r>
      <w:r w:rsidRPr="00BC1287">
        <w:rPr>
          <w:b/>
          <w:bCs/>
        </w:rPr>
        <w:t xml:space="preserve"> </w:t>
      </w:r>
      <w:r w:rsidR="00A6577D">
        <w:rPr>
          <w:b/>
          <w:bCs/>
        </w:rPr>
        <w:t>G</w:t>
      </w:r>
      <w:r w:rsidRPr="00BC1287">
        <w:rPr>
          <w:b/>
          <w:bCs/>
        </w:rPr>
        <w:t xml:space="preserve">. </w:t>
      </w:r>
      <w:r w:rsidR="00A6577D">
        <w:rPr>
          <w:b/>
          <w:bCs/>
        </w:rPr>
        <w:t>37</w:t>
      </w:r>
      <w:r w:rsidRPr="00BC1287">
        <w:rPr>
          <w:b/>
          <w:bCs/>
        </w:rPr>
        <w:t>, PERDAVIMO PAGAL PANAUDOS SUTARTĮ</w:t>
      </w:r>
      <w:r w:rsidRPr="00BC1287">
        <w:rPr>
          <w:b/>
          <w:bCs/>
        </w:rPr>
        <w:tab/>
      </w:r>
    </w:p>
    <w:p w14:paraId="3FA921AB" w14:textId="77777777" w:rsidR="00BC1287" w:rsidRPr="00BC1287" w:rsidRDefault="00BC1287" w:rsidP="009478FA"/>
    <w:p w14:paraId="588BF285" w14:textId="67D0403C" w:rsidR="00351A2B" w:rsidRDefault="00BC1287" w:rsidP="007D6405">
      <w:pPr>
        <w:pStyle w:val="Pavadinimas"/>
        <w:jc w:val="both"/>
        <w:rPr>
          <w:rFonts w:eastAsia="Times New Roman" w:cs="Arial"/>
          <w:b w:val="0"/>
          <w:bCs/>
          <w:sz w:val="24"/>
        </w:rPr>
      </w:pPr>
      <w:r>
        <w:tab/>
      </w:r>
      <w:r w:rsidRPr="00BC1287">
        <w:rPr>
          <w:b w:val="0"/>
          <w:bCs/>
          <w:sz w:val="24"/>
          <w:szCs w:val="24"/>
        </w:rPr>
        <w:t>Panevėžio</w:t>
      </w:r>
      <w:r w:rsidRPr="00BC1287">
        <w:rPr>
          <w:sz w:val="24"/>
          <w:szCs w:val="24"/>
        </w:rPr>
        <w:t xml:space="preserve"> </w:t>
      </w:r>
      <w:r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nekilnojamojo turto</w:t>
      </w:r>
      <w:r w:rsidRPr="00BC1287">
        <w:rPr>
          <w:rFonts w:eastAsia="Times New Roman" w:cs="Arial"/>
          <w:sz w:val="24"/>
          <w:szCs w:val="24"/>
        </w:rPr>
        <w:t xml:space="preserve"> </w:t>
      </w:r>
      <w:r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valdymo centr</w:t>
      </w:r>
      <w:r w:rsidRPr="00BC1287">
        <w:rPr>
          <w:rFonts w:eastAsia="Times New Roman" w:cs="Arial"/>
          <w:b w:val="0"/>
          <w:sz w:val="24"/>
          <w:szCs w:val="24"/>
        </w:rPr>
        <w:t>as</w:t>
      </w:r>
      <w:r w:rsidRPr="00BC1287">
        <w:rPr>
          <w:b w:val="0"/>
          <w:sz w:val="24"/>
        </w:rPr>
        <w:t xml:space="preserve">, pagal </w:t>
      </w:r>
      <w:r w:rsidRPr="00BC1287">
        <w:rPr>
          <w:rFonts w:cs="Arial"/>
          <w:b w:val="0"/>
          <w:sz w:val="24"/>
          <w:szCs w:val="24"/>
        </w:rPr>
        <w:t>Panevėžio miesto savivaldybės administracijos</w:t>
      </w:r>
      <w:r>
        <w:rPr>
          <w:rFonts w:cs="Arial"/>
          <w:b w:val="0"/>
          <w:sz w:val="24"/>
          <w:szCs w:val="24"/>
        </w:rPr>
        <w:t xml:space="preserve"> 2025 </w:t>
      </w:r>
      <w:r w:rsidR="00A6577D">
        <w:rPr>
          <w:rFonts w:cs="Arial"/>
          <w:b w:val="0"/>
          <w:sz w:val="24"/>
          <w:szCs w:val="24"/>
        </w:rPr>
        <w:t>gruodžio</w:t>
      </w:r>
      <w:r>
        <w:rPr>
          <w:rFonts w:cs="Arial"/>
          <w:b w:val="0"/>
          <w:sz w:val="24"/>
          <w:szCs w:val="24"/>
        </w:rPr>
        <w:t xml:space="preserve"> 2 d. pateiktą raštą, sutinka </w:t>
      </w:r>
      <w:r w:rsidRPr="00BC1287">
        <w:rPr>
          <w:rFonts w:cs="Arial"/>
          <w:b w:val="0"/>
          <w:sz w:val="24"/>
          <w:szCs w:val="24"/>
        </w:rPr>
        <w:t xml:space="preserve">Panevėžio </w:t>
      </w:r>
      <w:r w:rsidR="00A6577D" w:rsidRPr="00A6577D">
        <w:rPr>
          <w:rFonts w:cs="Arial"/>
          <w:b w:val="0"/>
          <w:sz w:val="24"/>
          <w:szCs w:val="24"/>
        </w:rPr>
        <w:t>švietimo darbuotojų asociacij</w:t>
      </w:r>
      <w:r w:rsidR="004152E8">
        <w:rPr>
          <w:rFonts w:cs="Arial"/>
          <w:b w:val="0"/>
          <w:sz w:val="24"/>
          <w:szCs w:val="24"/>
        </w:rPr>
        <w:t>ai</w:t>
      </w:r>
      <w:r w:rsidR="00A6577D">
        <w:rPr>
          <w:rFonts w:cs="Arial"/>
          <w:b w:val="0"/>
          <w:sz w:val="24"/>
          <w:szCs w:val="24"/>
        </w:rPr>
        <w:t xml:space="preserve"> </w:t>
      </w:r>
      <w:r w:rsidR="002B514C">
        <w:rPr>
          <w:rFonts w:cs="Arial"/>
          <w:b w:val="0"/>
          <w:sz w:val="24"/>
          <w:szCs w:val="24"/>
        </w:rPr>
        <w:t xml:space="preserve">perduoti </w:t>
      </w:r>
      <w:r w:rsidR="00986BA4">
        <w:rPr>
          <w:rFonts w:cs="Arial"/>
          <w:b w:val="0"/>
          <w:sz w:val="24"/>
          <w:szCs w:val="24"/>
        </w:rPr>
        <w:t xml:space="preserve">šias </w:t>
      </w:r>
      <w:r w:rsidR="002B514C" w:rsidRPr="00BC1287">
        <w:rPr>
          <w:b w:val="0"/>
          <w:bCs/>
          <w:sz w:val="24"/>
          <w:szCs w:val="24"/>
        </w:rPr>
        <w:t>Panevėžio</w:t>
      </w:r>
      <w:r w:rsidR="002B514C" w:rsidRPr="00BC1287">
        <w:rPr>
          <w:sz w:val="24"/>
          <w:szCs w:val="24"/>
        </w:rPr>
        <w:t xml:space="preserve"> </w:t>
      </w:r>
      <w:r w:rsidR="002B514C"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nekilnojamojo turto</w:t>
      </w:r>
      <w:r w:rsidR="002B514C" w:rsidRPr="00BC1287">
        <w:rPr>
          <w:rFonts w:eastAsia="Times New Roman" w:cs="Arial"/>
          <w:sz w:val="24"/>
          <w:szCs w:val="24"/>
        </w:rPr>
        <w:t xml:space="preserve"> </w:t>
      </w:r>
      <w:r w:rsidR="002B514C"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valdymo centr</w:t>
      </w:r>
      <w:r w:rsidR="002B514C">
        <w:rPr>
          <w:rFonts w:eastAsia="Times New Roman" w:cs="Arial"/>
          <w:b w:val="0"/>
          <w:sz w:val="24"/>
          <w:szCs w:val="24"/>
        </w:rPr>
        <w:t xml:space="preserve">o </w:t>
      </w:r>
      <w:r w:rsidR="002B514C" w:rsidRPr="002B514C">
        <w:rPr>
          <w:rFonts w:eastAsia="Times New Roman" w:cs="Arial"/>
          <w:b w:val="0"/>
          <w:sz w:val="24"/>
          <w:szCs w:val="24"/>
        </w:rPr>
        <w:t>patikėjimo teise valdom</w:t>
      </w:r>
      <w:r w:rsidR="002B514C">
        <w:rPr>
          <w:rFonts w:eastAsia="Times New Roman" w:cs="Arial"/>
          <w:b w:val="0"/>
          <w:sz w:val="24"/>
          <w:szCs w:val="24"/>
        </w:rPr>
        <w:t xml:space="preserve">as patalpas </w:t>
      </w:r>
      <w:r w:rsidR="002B514C" w:rsidRPr="002B514C">
        <w:rPr>
          <w:rFonts w:eastAsia="Times New Roman" w:cs="Arial"/>
          <w:b w:val="0"/>
          <w:bCs/>
          <w:sz w:val="24"/>
        </w:rPr>
        <w:t xml:space="preserve">adresu </w:t>
      </w:r>
      <w:r w:rsidR="004152E8">
        <w:rPr>
          <w:rFonts w:eastAsia="Times New Roman" w:cs="Arial"/>
          <w:b w:val="0"/>
          <w:bCs/>
          <w:sz w:val="24"/>
        </w:rPr>
        <w:t>Beržų</w:t>
      </w:r>
      <w:r w:rsidR="002B514C" w:rsidRPr="002B514C">
        <w:rPr>
          <w:rFonts w:eastAsia="Times New Roman" w:cs="Arial"/>
          <w:b w:val="0"/>
          <w:bCs/>
          <w:sz w:val="24"/>
        </w:rPr>
        <w:t xml:space="preserve"> </w:t>
      </w:r>
      <w:r w:rsidR="004152E8">
        <w:rPr>
          <w:rFonts w:eastAsia="Times New Roman" w:cs="Arial"/>
          <w:b w:val="0"/>
          <w:bCs/>
          <w:sz w:val="24"/>
        </w:rPr>
        <w:t>g</w:t>
      </w:r>
      <w:r w:rsidR="002B514C" w:rsidRPr="002B514C">
        <w:rPr>
          <w:rFonts w:eastAsia="Times New Roman" w:cs="Arial"/>
          <w:b w:val="0"/>
          <w:bCs/>
          <w:sz w:val="24"/>
        </w:rPr>
        <w:t xml:space="preserve">. </w:t>
      </w:r>
      <w:r w:rsidR="004152E8">
        <w:rPr>
          <w:rFonts w:eastAsia="Times New Roman" w:cs="Arial"/>
          <w:b w:val="0"/>
          <w:bCs/>
          <w:sz w:val="24"/>
        </w:rPr>
        <w:t>37</w:t>
      </w:r>
      <w:r w:rsidR="00351A2B">
        <w:rPr>
          <w:rFonts w:eastAsia="Times New Roman" w:cs="Arial"/>
          <w:b w:val="0"/>
          <w:bCs/>
          <w:sz w:val="24"/>
        </w:rPr>
        <w:t>, Panevėžys (pastato unikalus Nr. 2797-30007016, Nekilnojamojo daikto kadastrinių matavimų bylos registro Nr. 35/45264):</w:t>
      </w:r>
    </w:p>
    <w:p w14:paraId="3D020E7E" w14:textId="5B86ED24" w:rsidR="00351A2B" w:rsidRDefault="00B4194D" w:rsidP="007D6405">
      <w:pPr>
        <w:pStyle w:val="Pavadinimas"/>
        <w:jc w:val="both"/>
        <w:rPr>
          <w:rFonts w:eastAsia="Times New Roman" w:cs="Arial"/>
          <w:b w:val="0"/>
          <w:bCs/>
          <w:sz w:val="24"/>
        </w:rPr>
      </w:pPr>
      <w:r>
        <w:rPr>
          <w:rFonts w:eastAsia="Times New Roman" w:cs="Arial"/>
          <w:b w:val="0"/>
          <w:bCs/>
          <w:sz w:val="24"/>
        </w:rPr>
        <w:t>17,77 kv. m. negyvenamąsias patalpas (patalpos Nekilnojamojo daikto kadastrinių matavimų bylos registro Nr. 35/45264 pažymėtos indeksu 1-54) ir 26,8 kv. m. bendro naudojimo patalpų</w:t>
      </w:r>
      <w:r w:rsidR="00986BA4">
        <w:rPr>
          <w:rFonts w:eastAsia="Times New Roman" w:cs="Arial"/>
          <w:b w:val="0"/>
          <w:bCs/>
          <w:sz w:val="24"/>
        </w:rPr>
        <w:t>. B</w:t>
      </w:r>
      <w:r>
        <w:rPr>
          <w:rFonts w:eastAsia="Times New Roman" w:cs="Arial"/>
          <w:b w:val="0"/>
          <w:bCs/>
          <w:sz w:val="24"/>
        </w:rPr>
        <w:t xml:space="preserve">endra perduodamų patalpų </w:t>
      </w:r>
      <w:r w:rsidRPr="007D6405">
        <w:rPr>
          <w:rFonts w:eastAsia="Times New Roman" w:cs="Arial"/>
          <w:b w:val="0"/>
          <w:bCs/>
          <w:sz w:val="24"/>
        </w:rPr>
        <w:t>įsigijimo vertė</w:t>
      </w:r>
      <w:r>
        <w:rPr>
          <w:rFonts w:eastAsia="Times New Roman" w:cs="Arial"/>
          <w:b w:val="0"/>
          <w:bCs/>
          <w:sz w:val="24"/>
        </w:rPr>
        <w:t xml:space="preserve"> </w:t>
      </w:r>
      <w:r w:rsidR="00986BA4">
        <w:rPr>
          <w:rFonts w:eastAsia="Times New Roman" w:cs="Arial"/>
          <w:b w:val="0"/>
          <w:bCs/>
          <w:sz w:val="24"/>
        </w:rPr>
        <w:t xml:space="preserve">16 755,00 Eur., </w:t>
      </w:r>
      <w:r w:rsidR="00986BA4" w:rsidRPr="007D6405">
        <w:rPr>
          <w:rFonts w:eastAsia="Times New Roman" w:cs="Arial"/>
          <w:b w:val="0"/>
          <w:bCs/>
          <w:sz w:val="24"/>
        </w:rPr>
        <w:t>likutinė vertė</w:t>
      </w:r>
      <w:r w:rsidR="00986BA4">
        <w:rPr>
          <w:rFonts w:eastAsia="Times New Roman" w:cs="Arial"/>
          <w:b w:val="0"/>
          <w:bCs/>
          <w:sz w:val="24"/>
        </w:rPr>
        <w:t xml:space="preserve"> 2025 m. lapkričio 30 d. 10 441,00 Eur. </w:t>
      </w:r>
    </w:p>
    <w:p w14:paraId="20261299" w14:textId="141A85CE" w:rsidR="00351A2B" w:rsidRDefault="004152E8" w:rsidP="007D6405">
      <w:pPr>
        <w:pStyle w:val="Pavadinimas"/>
        <w:jc w:val="both"/>
        <w:rPr>
          <w:rFonts w:eastAsia="Times New Roman" w:cs="Arial"/>
          <w:b w:val="0"/>
          <w:bCs/>
          <w:sz w:val="24"/>
        </w:rPr>
      </w:pPr>
      <w:r>
        <w:rPr>
          <w:rFonts w:eastAsia="Times New Roman" w:cs="Arial"/>
          <w:b w:val="0"/>
          <w:bCs/>
          <w:sz w:val="24"/>
        </w:rPr>
        <w:t xml:space="preserve"> </w:t>
      </w:r>
    </w:p>
    <w:p w14:paraId="2614221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0C2825F0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003F0AE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507EDFF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6FF595C9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3A02CCBB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5C307DFC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760A3D61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302659F7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63331282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BB1F41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75B4517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1EDCD7B2" w14:textId="46DBA615" w:rsidR="002B514C" w:rsidRPr="002B514C" w:rsidRDefault="002B514C" w:rsidP="002B514C">
      <w:pPr>
        <w:pStyle w:val="Pavadinimas"/>
        <w:rPr>
          <w:rFonts w:eastAsia="Times New Roman" w:cs="Arial"/>
          <w:b w:val="0"/>
          <w:sz w:val="24"/>
        </w:rPr>
      </w:pPr>
      <w:r w:rsidRPr="002B514C">
        <w:rPr>
          <w:rFonts w:eastAsia="Times New Roman" w:cs="Arial"/>
          <w:b w:val="0"/>
          <w:sz w:val="24"/>
        </w:rPr>
        <w:t xml:space="preserve">                    </w:t>
      </w:r>
    </w:p>
    <w:p w14:paraId="3942152A" w14:textId="46F8DC0E" w:rsidR="00BC1287" w:rsidRPr="00C313AC" w:rsidRDefault="00C313AC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  <w:r>
        <w:rPr>
          <w:rFonts w:eastAsia="Times New Roman" w:cs="Times New Roman"/>
          <w:b w:val="0"/>
          <w:bCs/>
          <w:kern w:val="0"/>
          <w:sz w:val="24"/>
          <w:szCs w:val="24"/>
        </w:rPr>
        <w:t>D</w:t>
      </w:r>
      <w:r w:rsidRPr="00C313AC">
        <w:rPr>
          <w:rFonts w:eastAsia="Times New Roman" w:cs="Times New Roman"/>
          <w:b w:val="0"/>
          <w:bCs/>
          <w:kern w:val="0"/>
          <w:sz w:val="24"/>
          <w:szCs w:val="24"/>
        </w:rPr>
        <w:t>irektorius</w:t>
      </w:r>
      <w:r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  <w:t>Tadas Misevičius</w:t>
      </w:r>
    </w:p>
    <w:p w14:paraId="409DCF0C" w14:textId="0C9C2C6D" w:rsidR="00C313AC" w:rsidRPr="00C313AC" w:rsidRDefault="00C313AC" w:rsidP="00C313AC">
      <w:pPr>
        <w:rPr>
          <w:sz w:val="24"/>
        </w:rPr>
      </w:pPr>
      <w:r w:rsidRPr="00C313AC">
        <w:rPr>
          <w:sz w:val="24"/>
        </w:rPr>
        <w:t>Gytis Kučinskas</w:t>
      </w:r>
      <w:r>
        <w:rPr>
          <w:sz w:val="24"/>
        </w:rPr>
        <w:t xml:space="preserve">, </w:t>
      </w:r>
      <w:r w:rsidRPr="00C313AC">
        <w:rPr>
          <w:sz w:val="24"/>
        </w:rPr>
        <w:t>Tel.: +370 622 97942</w:t>
      </w:r>
      <w:r>
        <w:rPr>
          <w:sz w:val="24"/>
        </w:rPr>
        <w:t xml:space="preserve">, el. p.  </w:t>
      </w:r>
      <w:hyperlink r:id="rId8" w:tooltip="mailto:gytis.kucinskas@ntvc.lt" w:history="1">
        <w:r w:rsidRPr="00C313AC">
          <w:rPr>
            <w:rStyle w:val="Hipersaitas"/>
            <w:color w:val="000000" w:themeColor="text1"/>
            <w:sz w:val="24"/>
            <w:u w:val="none"/>
          </w:rPr>
          <w:t>gytis.kucinskas@ntvc.lt</w:t>
        </w:r>
      </w:hyperlink>
      <w:r w:rsidRPr="00C313AC">
        <w:rPr>
          <w:color w:val="000000" w:themeColor="text1"/>
          <w:sz w:val="24"/>
        </w:rPr>
        <w:t> </w:t>
      </w:r>
    </w:p>
    <w:p w14:paraId="76896A78" w14:textId="011CC319" w:rsidR="00C313AC" w:rsidRPr="00C313AC" w:rsidRDefault="00C313AC" w:rsidP="00C313AC">
      <w:pPr>
        <w:rPr>
          <w:sz w:val="24"/>
        </w:rPr>
      </w:pPr>
      <w:r w:rsidRPr="00C313AC">
        <w:rPr>
          <w:sz w:val="24"/>
        </w:rPr>
        <w:t> </w:t>
      </w:r>
    </w:p>
    <w:p w14:paraId="4A92140A" w14:textId="3732C679" w:rsidR="009478FA" w:rsidRPr="00BC1287" w:rsidRDefault="009478FA" w:rsidP="009478FA">
      <w:pPr>
        <w:rPr>
          <w:sz w:val="24"/>
        </w:rPr>
      </w:pPr>
    </w:p>
    <w:p w14:paraId="3BD2B629" w14:textId="3F84F4FA" w:rsidR="009104CE" w:rsidRPr="009104CE" w:rsidRDefault="009104CE" w:rsidP="00694231">
      <w:pPr>
        <w:keepNext/>
        <w:keepLines/>
        <w:ind w:left="567"/>
        <w:rPr>
          <w:rFonts w:ascii="Aptos" w:hAnsi="Aptos"/>
          <w:b/>
          <w:bCs/>
          <w:sz w:val="24"/>
        </w:rPr>
      </w:pPr>
    </w:p>
    <w:sectPr w:rsidR="009104CE" w:rsidRPr="009104CE" w:rsidSect="00694231">
      <w:headerReference w:type="default" r:id="rId9"/>
      <w:footerReference w:type="default" r:id="rId10"/>
      <w:pgSz w:w="11900" w:h="16840"/>
      <w:pgMar w:top="1440" w:right="1440" w:bottom="212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85678" w14:textId="77777777" w:rsidR="001C538E" w:rsidRPr="00BC1287" w:rsidRDefault="001C538E" w:rsidP="0071490A">
      <w:pPr>
        <w:spacing w:line="240" w:lineRule="auto"/>
      </w:pPr>
      <w:r w:rsidRPr="00BC1287">
        <w:separator/>
      </w:r>
    </w:p>
  </w:endnote>
  <w:endnote w:type="continuationSeparator" w:id="0">
    <w:p w14:paraId="3C1E4A80" w14:textId="77777777" w:rsidR="001C538E" w:rsidRPr="00BC1287" w:rsidRDefault="001C538E" w:rsidP="0071490A">
      <w:pPr>
        <w:spacing w:line="240" w:lineRule="auto"/>
      </w:pPr>
      <w:r w:rsidRPr="00BC12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25849" w14:textId="6B25617F" w:rsidR="00550DC2" w:rsidRPr="00BC1287" w:rsidRDefault="00550DC2" w:rsidP="00550DC2">
    <w:pPr>
      <w:ind w:left="426"/>
      <w:rPr>
        <w:color w:val="385623" w:themeColor="accent6" w:themeShade="80"/>
      </w:rPr>
    </w:pPr>
    <w:r w:rsidRPr="00BC1287">
      <w:rPr>
        <w:noProof/>
        <w:color w:val="70AD47" w:themeColor="accent6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A427F" wp14:editId="48707A48">
              <wp:simplePos x="0" y="0"/>
              <wp:positionH relativeFrom="column">
                <wp:posOffset>298174</wp:posOffset>
              </wp:positionH>
              <wp:positionV relativeFrom="paragraph">
                <wp:posOffset>43594</wp:posOffset>
              </wp:positionV>
              <wp:extent cx="5379057" cy="0"/>
              <wp:effectExtent l="0" t="0" r="317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905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D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DE27C9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3.45pt" to="447.05pt,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awP43gEAAA0EAAAOAAAAZHJzL2Uyb0RvYy54bWysU9uO0zAUfEfiHyy/06S3XYia7kOr5QVB xS4f4Dp2Ysk3HZsm/XuOnTS7AoQE4sXJsc+MZ8b27mEwmlwEBOVsTZeLkhJhuWuUbWv67fnx3XtK QmS2YdpZUdOrCPRh//bNrveVWLnO6UYAQRIbqt7XtIvRV0UReCcMCwvnhcVF6cCwiCW0RQOsR3aj i1VZ3hW9g8aD4yIEnD2Oi3Sf+aUUPH6RMohIdE1RW8wj5PGcxmK/Y1ULzHeKTzLYP6gwTFncdKY6 ssjId1C/UBnFwQUn44I7UzgpFRfZA7pZlj+5eeqYF9kLhhP8HFP4f7T88+UERDU13VBimcEjeorA VNtFcnDWYoAOyCbl1PtQYfvBnmCqgj9BMj1IMOmLdsiQs73O2YohEo6T2/X9h3J7Twm/rRUvQA8h fhTOkPRTU61sss0qdvkUIm6GrbeWNK0t6Wt6t96WuSs4rZpHpXVaC9CeDxrIhaUTLzfH9TqJR4ZX bVhpi5PJ0mgi/8WrFiP/VyExFJS9HHdI11HMtIxzYeNq4tUWuxNMooQZOEn7E3DqT1CRr+rfgGdE 3tnZOIONsg5+JzsOy0myHPtvCYy+UwRn11zz8eZo8M7l5Kb3kS716zrDX17x/gcAAAD//wMAUEsD BBQABgAIAAAAIQDn5SRr3AAAAAYBAAAPAAAAZHJzL2Rvd25yZXYueG1sTI/NTsMwEITvSLyDtUi9 UadVVNoQp0KpeitIlAqum3jzo8brKHbT9O0xXOA4mtHMN+l2Mp0YaXCtZQWLeQSCuLS65VrB6WP/ uAbhPLLGzjIpuJGDbXZ/l2Ki7ZXfaTz6WoQSdgkqaLzvEyld2ZBBN7c9cfAqOxj0QQ611ANeQ7np 5DKKVtJgy2GhwZ7yhsrz8WIUnOP8q3r1ebSrTodlv9fyrfgclZo9TC/PIDxN/i8MP/gBHbLAVNgL ayc6BfFTuOIVrDYggr3exAsQxa+WWSr/42ffAAAA//8DAFBLAQItABQABgAIAAAAIQC2gziS/gAA AOEBAAATAAAAAAAAAAAAAAAAAAAAAABbQ29udGVudF9UeXBlc10ueG1sUEsBAi0AFAAGAAgAAAAh ADj9If/WAAAAlAEAAAsAAAAAAAAAAAAAAAAALwEAAF9yZWxzLy5yZWxzUEsBAi0AFAAGAAgAAAAh ADxrA/jeAQAADQQAAA4AAAAAAAAAAAAAAAAALgIAAGRycy9lMm9Eb2MueG1sUEsBAi0AFAAGAAgA AAAhAOflJGvcAAAABgEAAA8AAAAAAAAAAAAAAAAAOAQAAGRycy9kb3ducmV2LnhtbFBLBQYAAAAA BAAEAPMAAABBBQAAAAA= " strokecolor="#004d33" strokeweight=".5pt">
              <v:stroke joinstyle="miter"/>
            </v:line>
          </w:pict>
        </mc:Fallback>
      </mc:AlternateContent>
    </w:r>
  </w:p>
  <w:tbl>
    <w:tblPr>
      <w:tblStyle w:val="Lentelstinklelis"/>
      <w:tblW w:w="1092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7"/>
      <w:gridCol w:w="3391"/>
      <w:gridCol w:w="5146"/>
    </w:tblGrid>
    <w:tr w:rsidR="00824760" w:rsidRPr="00BC1287" w14:paraId="4B8C9E4B" w14:textId="77777777" w:rsidTr="00E307EB">
      <w:trPr>
        <w:trHeight w:val="409"/>
      </w:trPr>
      <w:tc>
        <w:tcPr>
          <w:tcW w:w="2387" w:type="dxa"/>
        </w:tcPr>
        <w:p w14:paraId="0AC07E5A" w14:textId="7657077E" w:rsidR="00824760" w:rsidRPr="00BC1287" w:rsidRDefault="00824760" w:rsidP="00550DC2">
          <w:pPr>
            <w:pStyle w:val="Porat"/>
            <w:spacing w:line="276" w:lineRule="auto"/>
            <w:ind w:left="426" w:right="-57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Biudžetinė įstaiga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Parko g. 12, 37310 Panevėžys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hyperlink r:id="rId1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www.ntvc.lt</w:t>
            </w:r>
          </w:hyperlink>
        </w:p>
      </w:tc>
      <w:tc>
        <w:tcPr>
          <w:tcW w:w="3391" w:type="dxa"/>
        </w:tcPr>
        <w:p w14:paraId="15BBF1AE" w14:textId="331AC419" w:rsidR="00824760" w:rsidRPr="00BC1287" w:rsidRDefault="00824760" w:rsidP="00E307EB">
          <w:pPr>
            <w:pStyle w:val="Porat"/>
            <w:spacing w:line="276" w:lineRule="auto"/>
            <w:ind w:left="1292" w:right="-1812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Tel. </w:t>
          </w:r>
          <w:hyperlink r:id="rId2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+370 622 93122</w:t>
            </w:r>
          </w:hyperlink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E. pristatymas: 306351219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El. p. </w:t>
          </w:r>
          <w:hyperlink r:id="rId3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info@ntvc.lt</w:t>
            </w:r>
          </w:hyperlink>
        </w:p>
      </w:tc>
      <w:tc>
        <w:tcPr>
          <w:tcW w:w="5146" w:type="dxa"/>
        </w:tcPr>
        <w:p w14:paraId="597A7FFB" w14:textId="35BFE65D" w:rsidR="00824760" w:rsidRPr="00BC1287" w:rsidRDefault="00824760" w:rsidP="00E307EB">
          <w:pPr>
            <w:pStyle w:val="Porat"/>
            <w:spacing w:line="276" w:lineRule="auto"/>
            <w:ind w:left="1168" w:right="-57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Duomenys kaupiami ir saugomi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Juridinių asmenų registre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Kodas 306351219</w:t>
          </w:r>
        </w:p>
      </w:tc>
    </w:tr>
    <w:tr w:rsidR="00824760" w:rsidRPr="00BC1287" w14:paraId="34363741" w14:textId="77777777" w:rsidTr="00E307EB">
      <w:trPr>
        <w:trHeight w:val="409"/>
      </w:trPr>
      <w:tc>
        <w:tcPr>
          <w:tcW w:w="2387" w:type="dxa"/>
        </w:tcPr>
        <w:p w14:paraId="194B1D94" w14:textId="1EF287D1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3391" w:type="dxa"/>
        </w:tcPr>
        <w:p w14:paraId="71BA678B" w14:textId="05920967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5146" w:type="dxa"/>
        </w:tcPr>
        <w:p w14:paraId="39FCD9A4" w14:textId="656686DE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</w:tr>
  </w:tbl>
  <w:p w14:paraId="18B434D6" w14:textId="1C578580" w:rsidR="0071490A" w:rsidRPr="00BC1287" w:rsidRDefault="007149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57283" w14:textId="77777777" w:rsidR="001C538E" w:rsidRPr="00BC1287" w:rsidRDefault="001C538E" w:rsidP="0071490A">
      <w:pPr>
        <w:spacing w:line="240" w:lineRule="auto"/>
      </w:pPr>
      <w:r w:rsidRPr="00BC1287">
        <w:separator/>
      </w:r>
    </w:p>
  </w:footnote>
  <w:footnote w:type="continuationSeparator" w:id="0">
    <w:p w14:paraId="63CD47A1" w14:textId="77777777" w:rsidR="001C538E" w:rsidRPr="00BC1287" w:rsidRDefault="001C538E" w:rsidP="0071490A">
      <w:pPr>
        <w:spacing w:line="240" w:lineRule="auto"/>
      </w:pPr>
      <w:r w:rsidRPr="00BC12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ACDA3" w14:textId="7167AFC2" w:rsidR="0071490A" w:rsidRPr="00BC1287" w:rsidRDefault="0071490A">
    <w:pPr>
      <w:pStyle w:val="Antrats"/>
    </w:pPr>
  </w:p>
  <w:p w14:paraId="31CEA0CF" w14:textId="77777777" w:rsidR="00FE3804" w:rsidRPr="00BC1287" w:rsidRDefault="00FE3804">
    <w:pPr>
      <w:pStyle w:val="Antrats"/>
    </w:pPr>
  </w:p>
  <w:p w14:paraId="6CF89D7C" w14:textId="34C743D0" w:rsidR="00FE3804" w:rsidRPr="00BC1287" w:rsidRDefault="00FE3804" w:rsidP="00550DC2">
    <w:pPr>
      <w:pStyle w:val="Antrats"/>
      <w:ind w:left="426"/>
    </w:pPr>
    <w:r w:rsidRPr="00BC1287">
      <w:rPr>
        <w:noProof/>
        <w:lang w:eastAsia="lt-LT"/>
      </w:rPr>
      <w:drawing>
        <wp:inline distT="0" distB="0" distL="0" distR="0" wp14:anchorId="07C624ED" wp14:editId="09B3032A">
          <wp:extent cx="1878594" cy="648552"/>
          <wp:effectExtent l="0" t="0" r="7620" b="0"/>
          <wp:docPr id="13701783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anku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221" cy="65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15C7A" w14:textId="77777777" w:rsidR="00550DC2" w:rsidRPr="00BC1287" w:rsidRDefault="00550DC2" w:rsidP="00550DC2">
    <w:pPr>
      <w:pStyle w:val="Antrats"/>
      <w:ind w:left="426"/>
    </w:pPr>
  </w:p>
  <w:p w14:paraId="34893722" w14:textId="77777777" w:rsidR="00CB7A83" w:rsidRPr="00BC1287" w:rsidRDefault="00CB7A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558C7"/>
    <w:multiLevelType w:val="multilevel"/>
    <w:tmpl w:val="2A3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94F42"/>
    <w:multiLevelType w:val="multilevel"/>
    <w:tmpl w:val="C16E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D59E1"/>
    <w:multiLevelType w:val="multilevel"/>
    <w:tmpl w:val="CDC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550231">
    <w:abstractNumId w:val="2"/>
  </w:num>
  <w:num w:numId="2" w16cid:durableId="1149516305">
    <w:abstractNumId w:val="0"/>
  </w:num>
  <w:num w:numId="3" w16cid:durableId="24349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39"/>
    <w:rsid w:val="000077E9"/>
    <w:rsid w:val="001158FD"/>
    <w:rsid w:val="00123F3D"/>
    <w:rsid w:val="00127B77"/>
    <w:rsid w:val="00161236"/>
    <w:rsid w:val="001C538E"/>
    <w:rsid w:val="0023528E"/>
    <w:rsid w:val="002B514C"/>
    <w:rsid w:val="00351A2B"/>
    <w:rsid w:val="004152E8"/>
    <w:rsid w:val="00417548"/>
    <w:rsid w:val="004176AC"/>
    <w:rsid w:val="0044724D"/>
    <w:rsid w:val="0049512E"/>
    <w:rsid w:val="00550DC2"/>
    <w:rsid w:val="005B62DD"/>
    <w:rsid w:val="00680FDB"/>
    <w:rsid w:val="00683496"/>
    <w:rsid w:val="00694231"/>
    <w:rsid w:val="0071490A"/>
    <w:rsid w:val="0075135D"/>
    <w:rsid w:val="007839A9"/>
    <w:rsid w:val="007D6405"/>
    <w:rsid w:val="007D7283"/>
    <w:rsid w:val="008102B1"/>
    <w:rsid w:val="00824760"/>
    <w:rsid w:val="00825248"/>
    <w:rsid w:val="009104CE"/>
    <w:rsid w:val="009478FA"/>
    <w:rsid w:val="00986BA4"/>
    <w:rsid w:val="009A4AE3"/>
    <w:rsid w:val="00A176CD"/>
    <w:rsid w:val="00A6577D"/>
    <w:rsid w:val="00A73C6E"/>
    <w:rsid w:val="00A85C0E"/>
    <w:rsid w:val="00B4194D"/>
    <w:rsid w:val="00B4659D"/>
    <w:rsid w:val="00BA08FF"/>
    <w:rsid w:val="00BC1287"/>
    <w:rsid w:val="00BD5554"/>
    <w:rsid w:val="00BE6E45"/>
    <w:rsid w:val="00C313AC"/>
    <w:rsid w:val="00CB7A83"/>
    <w:rsid w:val="00D06C35"/>
    <w:rsid w:val="00D52F47"/>
    <w:rsid w:val="00E00139"/>
    <w:rsid w:val="00E04DC5"/>
    <w:rsid w:val="00E307EB"/>
    <w:rsid w:val="00E679B8"/>
    <w:rsid w:val="00EB08A2"/>
    <w:rsid w:val="00EB3D5C"/>
    <w:rsid w:val="00EC716E"/>
    <w:rsid w:val="00EC7372"/>
    <w:rsid w:val="00EF2DE5"/>
    <w:rsid w:val="00F02912"/>
    <w:rsid w:val="00F313F8"/>
    <w:rsid w:val="00F74DCB"/>
    <w:rsid w:val="00FE3804"/>
    <w:rsid w:val="00FF6B11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4E698"/>
  <w15:chartTrackingRefBased/>
  <w15:docId w15:val="{235EAFF9-C23F-CD42-870D-97DFADE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372"/>
    <w:pPr>
      <w:spacing w:line="300" w:lineRule="auto"/>
    </w:pPr>
    <w:rPr>
      <w:rFonts w:ascii="Arial" w:hAnsi="Arial"/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08FF"/>
    <w:pPr>
      <w:keepNext/>
      <w:keepLines/>
      <w:spacing w:before="240"/>
      <w:outlineLvl w:val="0"/>
    </w:pPr>
    <w:rPr>
      <w:rFonts w:eastAsiaTheme="majorEastAsia" w:cstheme="majorBidi"/>
      <w:b/>
      <w:color w:val="FF4E33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08FF"/>
    <w:pPr>
      <w:keepNext/>
      <w:keepLines/>
      <w:spacing w:before="40"/>
      <w:outlineLvl w:val="1"/>
    </w:pPr>
    <w:rPr>
      <w:rFonts w:eastAsiaTheme="majorEastAsia" w:cstheme="majorBidi"/>
      <w:b/>
      <w:color w:val="FF4E33"/>
      <w:sz w:val="4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90A"/>
  </w:style>
  <w:style w:type="paragraph" w:styleId="Porat">
    <w:name w:val="footer"/>
    <w:basedOn w:val="prastasis"/>
    <w:link w:val="Porat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90A"/>
  </w:style>
  <w:style w:type="table" w:styleId="Lentelstinklelis">
    <w:name w:val="Table Grid"/>
    <w:basedOn w:val="prastojilentel"/>
    <w:uiPriority w:val="39"/>
    <w:rsid w:val="0071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A08FF"/>
    <w:rPr>
      <w:rFonts w:ascii="Arial" w:hAnsi="Arial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08FF"/>
    <w:rPr>
      <w:rFonts w:ascii="Arial" w:eastAsiaTheme="majorEastAsia" w:hAnsi="Arial" w:cstheme="majorBidi"/>
      <w:b/>
      <w:color w:val="FF4E33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A08FF"/>
    <w:rPr>
      <w:rFonts w:ascii="Arial" w:eastAsiaTheme="majorEastAsia" w:hAnsi="Arial" w:cstheme="majorBidi"/>
      <w:b/>
      <w:color w:val="FF4E33"/>
      <w:sz w:val="48"/>
      <w:szCs w:val="26"/>
    </w:rPr>
  </w:style>
  <w:style w:type="character" w:styleId="Hipersaitas">
    <w:name w:val="Hyperlink"/>
    <w:basedOn w:val="Numatytasispastraiposriftas"/>
    <w:unhideWhenUsed/>
    <w:rsid w:val="007D7283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A85C0E"/>
    <w:pPr>
      <w:spacing w:after="480" w:line="240" w:lineRule="auto"/>
      <w:ind w:firstLine="72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A85C0E"/>
    <w:rPr>
      <w:rFonts w:ascii="Arial" w:eastAsiaTheme="majorEastAsia" w:hAnsi="Arial" w:cstheme="majorBidi"/>
      <w:b/>
      <w:spacing w:val="-10"/>
      <w:kern w:val="28"/>
      <w:sz w:val="28"/>
      <w:szCs w:val="56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94231"/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4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tis.kucinskas@ntv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ta.babilauskiene@panevezy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tvc.lt" TargetMode="External"/><Relationship Id="rId2" Type="http://schemas.openxmlformats.org/officeDocument/2006/relationships/hyperlink" Target="tel:+37062293122" TargetMode="External"/><Relationship Id="rId1" Type="http://schemas.openxmlformats.org/officeDocument/2006/relationships/hyperlink" Target="http://www.ntvc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mantas</dc:creator>
  <cp:lastModifiedBy>Diana Brazdžiunienė</cp:lastModifiedBy>
  <cp:revision>2</cp:revision>
  <cp:lastPrinted>2025-12-05T08:41:00Z</cp:lastPrinted>
  <dcterms:created xsi:type="dcterms:W3CDTF">2025-12-09T08:51:00Z</dcterms:created>
  <dcterms:modified xsi:type="dcterms:W3CDTF">2025-12-09T08:51:00Z</dcterms:modified>
</cp:coreProperties>
</file>