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4A933C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gruodžio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TSP-570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5E203AEB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CB45B4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0165F131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F7F21">
        <w:rPr>
          <w:sz w:val="24"/>
          <w:szCs w:val="24"/>
        </w:rPr>
        <w:t xml:space="preserve">ir trumpalaikį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206006">
        <w:rPr>
          <w:sz w:val="24"/>
          <w:szCs w:val="24"/>
        </w:rPr>
        <w:t>19 015,26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F7F21">
        <w:rPr>
          <w:sz w:val="24"/>
          <w:szCs w:val="24"/>
        </w:rPr>
        <w:t xml:space="preserve">, ilgalaikio turto likutinė vertė </w:t>
      </w:r>
      <w:r w:rsidR="00206006">
        <w:rPr>
          <w:sz w:val="24"/>
          <w:szCs w:val="24"/>
        </w:rPr>
        <w:t>– 17 938,35</w:t>
      </w:r>
      <w:r w:rsidR="008A22E7">
        <w:rPr>
          <w:sz w:val="24"/>
          <w:szCs w:val="24"/>
        </w:rPr>
        <w:t xml:space="preserve"> </w:t>
      </w:r>
      <w:r w:rsidR="002F7F21">
        <w:rPr>
          <w:sz w:val="24"/>
          <w:szCs w:val="24"/>
        </w:rPr>
        <w:t xml:space="preserve">Eur </w:t>
      </w:r>
      <w:r w:rsidR="00276D3E" w:rsidRPr="00B7019B">
        <w:rPr>
          <w:sz w:val="24"/>
          <w:szCs w:val="24"/>
        </w:rPr>
        <w:t>(</w:t>
      </w:r>
      <w:r w:rsidR="002F7F21">
        <w:rPr>
          <w:sz w:val="24"/>
          <w:szCs w:val="24"/>
        </w:rPr>
        <w:t xml:space="preserve">1, 2 </w:t>
      </w:r>
      <w:r w:rsidR="00276D3E" w:rsidRPr="00B7019B">
        <w:rPr>
          <w:sz w:val="24"/>
          <w:szCs w:val="24"/>
        </w:rPr>
        <w:t>prieda</w:t>
      </w:r>
      <w:r w:rsidR="002F7F21">
        <w:rPr>
          <w:sz w:val="24"/>
          <w:szCs w:val="24"/>
        </w:rPr>
        <w:t>i</w:t>
      </w:r>
      <w:r w:rsidR="00276D3E" w:rsidRPr="00B7019B">
        <w:rPr>
          <w:sz w:val="24"/>
          <w:szCs w:val="24"/>
        </w:rPr>
        <w:t>)</w:t>
      </w:r>
      <w:r w:rsidR="00154C9A" w:rsidRPr="00B7019B">
        <w:rPr>
          <w:sz w:val="24"/>
          <w:szCs w:val="24"/>
        </w:rPr>
        <w:t>.</w:t>
      </w:r>
    </w:p>
    <w:p w14:paraId="7C1AE37C" w14:textId="4F25AD18" w:rsidR="00BA2FA1" w:rsidRPr="00B27C77" w:rsidRDefault="0020600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Panevėžio miesto savivaldybės biudžetinėms įstaigoms valdyti, naudoti ir disponuoti juo patikėjimo teise perduotas turtas yra skirtas </w:t>
      </w:r>
      <w:r w:rsidR="00CB45B4" w:rsidRPr="00B27C77">
        <w:rPr>
          <w:sz w:val="24"/>
          <w:szCs w:val="24"/>
        </w:rPr>
        <w:t xml:space="preserve">projekte </w:t>
      </w:r>
      <w:r w:rsidRPr="00B27C77">
        <w:rPr>
          <w:sz w:val="24"/>
          <w:szCs w:val="24"/>
        </w:rPr>
        <w:t>„Tūkstantmečio mokyklos I“ dalyvaujančių mokyklų mokiniams.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C32C32E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</w:t>
      </w:r>
      <w:r w:rsidR="002F7F21">
        <w:rPr>
          <w:rFonts w:eastAsia="Calibri"/>
          <w:szCs w:val="24"/>
        </w:rPr>
        <w:t>rė</w:t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76A25E71" w:rsidR="00154C9A" w:rsidRDefault="002F7F21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413B36" w:rsidRPr="00601A8A" w14:paraId="2E1CC4B8" w14:textId="17DC1918" w:rsidTr="00D464E3">
        <w:trPr>
          <w:jc w:val="center"/>
        </w:trPr>
        <w:tc>
          <w:tcPr>
            <w:tcW w:w="300" w:type="pct"/>
          </w:tcPr>
          <w:p w14:paraId="73644615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68E180F2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4C36D5E8" w14:textId="77777777" w:rsidR="006A4BC0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</w:t>
            </w:r>
          </w:p>
          <w:p w14:paraId="6E9BEED5" w14:textId="49654257" w:rsidR="00413B36" w:rsidRDefault="006F4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6A4B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nventoriaus Nr.)</w:t>
            </w:r>
          </w:p>
        </w:tc>
        <w:tc>
          <w:tcPr>
            <w:tcW w:w="621" w:type="pct"/>
          </w:tcPr>
          <w:p w14:paraId="46693A1C" w14:textId="7D773CE0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6718FC81" w14:textId="61CFCE93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2F026D10" w14:textId="6267490C" w:rsidR="00413B36" w:rsidRPr="00601A8A" w:rsidRDefault="006F4BE7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 Eur</w:t>
            </w:r>
          </w:p>
        </w:tc>
      </w:tr>
      <w:tr w:rsidR="00413B36" w:rsidRPr="00601A8A" w14:paraId="20A6BE34" w14:textId="3F66ABFD" w:rsidTr="00D464E3">
        <w:trPr>
          <w:jc w:val="center"/>
        </w:trPr>
        <w:tc>
          <w:tcPr>
            <w:tcW w:w="300" w:type="pct"/>
          </w:tcPr>
          <w:p w14:paraId="46B49979" w14:textId="77777777" w:rsidR="00413B36" w:rsidRPr="00601A8A" w:rsidRDefault="00413B3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</w:tcPr>
          <w:p w14:paraId="19709C1D" w14:textId="4F8C932F" w:rsidR="00413B36" w:rsidRPr="00601A8A" w:rsidRDefault="007D4DEF" w:rsidP="00C917C6">
            <w:pPr>
              <w:rPr>
                <w:szCs w:val="24"/>
              </w:rPr>
            </w:pPr>
            <w:r>
              <w:rPr>
                <w:szCs w:val="24"/>
              </w:rPr>
              <w:t>Panevėžio „Vyturio“ progimnazija</w:t>
            </w:r>
          </w:p>
        </w:tc>
        <w:tc>
          <w:tcPr>
            <w:tcW w:w="1918" w:type="pct"/>
          </w:tcPr>
          <w:p w14:paraId="69BA9BD1" w14:textId="69CF22BF" w:rsidR="00413B36" w:rsidRPr="00B27C77" w:rsidRDefault="00206006" w:rsidP="00C917C6">
            <w:pPr>
              <w:jc w:val="both"/>
            </w:pPr>
            <w:r>
              <w:t>Virtuvės sala (inventoriaus Nr. 1909194)</w:t>
            </w:r>
          </w:p>
        </w:tc>
        <w:tc>
          <w:tcPr>
            <w:tcW w:w="621" w:type="pct"/>
          </w:tcPr>
          <w:p w14:paraId="36F884F1" w14:textId="42E7976B" w:rsidR="00413B36" w:rsidRPr="007D4DEF" w:rsidRDefault="00206006" w:rsidP="007D4DE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15 671,92</w:t>
            </w:r>
          </w:p>
        </w:tc>
        <w:tc>
          <w:tcPr>
            <w:tcW w:w="532" w:type="pct"/>
          </w:tcPr>
          <w:p w14:paraId="1021C042" w14:textId="3F9E8C38" w:rsidR="00413B36" w:rsidRPr="001F71F1" w:rsidRDefault="007D4DEF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9D94E88" w14:textId="730B0CB8" w:rsidR="00413B36" w:rsidRDefault="0020600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15 671,92</w:t>
            </w:r>
          </w:p>
        </w:tc>
      </w:tr>
      <w:tr w:rsidR="007D4DEF" w:rsidRPr="00601A8A" w14:paraId="0C5C6E74" w14:textId="77777777" w:rsidTr="00D464E3">
        <w:trPr>
          <w:jc w:val="center"/>
        </w:trPr>
        <w:tc>
          <w:tcPr>
            <w:tcW w:w="3771" w:type="pct"/>
            <w:gridSpan w:val="4"/>
          </w:tcPr>
          <w:p w14:paraId="0D0A75BA" w14:textId="09F3F113" w:rsidR="007D4DEF" w:rsidRDefault="007D4DEF" w:rsidP="007D4D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2" w:type="pct"/>
          </w:tcPr>
          <w:p w14:paraId="65531132" w14:textId="19498382" w:rsidR="007D4DEF" w:rsidRPr="007D4DEF" w:rsidRDefault="007D4DEF" w:rsidP="00C917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97" w:type="pct"/>
          </w:tcPr>
          <w:p w14:paraId="3EC7A6F2" w14:textId="6710929F" w:rsidR="007D4DEF" w:rsidRPr="007D4DEF" w:rsidRDefault="00206006" w:rsidP="00C917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15 671,92</w:t>
            </w:r>
          </w:p>
        </w:tc>
      </w:tr>
      <w:tr w:rsidR="00D464E3" w:rsidRPr="00601A8A" w14:paraId="723D49BD" w14:textId="77777777" w:rsidTr="00D464E3">
        <w:trPr>
          <w:jc w:val="center"/>
        </w:trPr>
        <w:tc>
          <w:tcPr>
            <w:tcW w:w="300" w:type="pct"/>
            <w:vMerge w:val="restart"/>
          </w:tcPr>
          <w:p w14:paraId="5AE09BBB" w14:textId="599A0847" w:rsidR="00D464E3" w:rsidRPr="00601A8A" w:rsidRDefault="00D464E3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75C33FB4" w14:textId="5A63F3E8" w:rsidR="00D464E3" w:rsidRDefault="00D464E3" w:rsidP="00B27C77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8" w:type="pct"/>
          </w:tcPr>
          <w:p w14:paraId="5E6FD65F" w14:textId="7B47B594" w:rsidR="00D464E3" w:rsidRDefault="00206006" w:rsidP="00B27C77">
            <w:pPr>
              <w:jc w:val="both"/>
            </w:pPr>
            <w:r>
              <w:t>Spinta (inventoriaus Nr. 1909195)</w:t>
            </w:r>
          </w:p>
        </w:tc>
        <w:tc>
          <w:tcPr>
            <w:tcW w:w="621" w:type="pct"/>
          </w:tcPr>
          <w:p w14:paraId="41B64665" w14:textId="2C551562" w:rsidR="00D464E3" w:rsidRDefault="00206006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1 126,61</w:t>
            </w:r>
          </w:p>
        </w:tc>
        <w:tc>
          <w:tcPr>
            <w:tcW w:w="532" w:type="pct"/>
          </w:tcPr>
          <w:p w14:paraId="037FEFA1" w14:textId="4EF50386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E18A34B" w14:textId="785E6985" w:rsidR="00D464E3" w:rsidRDefault="00206006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1 126,61</w:t>
            </w:r>
          </w:p>
        </w:tc>
      </w:tr>
      <w:tr w:rsidR="00D464E3" w:rsidRPr="00601A8A" w14:paraId="438ABC67" w14:textId="77777777" w:rsidTr="00D464E3">
        <w:trPr>
          <w:jc w:val="center"/>
        </w:trPr>
        <w:tc>
          <w:tcPr>
            <w:tcW w:w="300" w:type="pct"/>
            <w:vMerge/>
          </w:tcPr>
          <w:p w14:paraId="242685CA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4E7594A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5973F3" w14:textId="1C5BFAE5" w:rsidR="00D464E3" w:rsidRPr="00B27C77" w:rsidRDefault="00206006" w:rsidP="00B27C77">
            <w:pPr>
              <w:jc w:val="both"/>
            </w:pPr>
            <w:r>
              <w:t>Spinta (inventoriaus Nr. 1909233)</w:t>
            </w:r>
          </w:p>
        </w:tc>
        <w:tc>
          <w:tcPr>
            <w:tcW w:w="621" w:type="pct"/>
          </w:tcPr>
          <w:p w14:paraId="04C22C17" w14:textId="5438A966" w:rsidR="00D464E3" w:rsidRDefault="00206006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1 139,82</w:t>
            </w:r>
          </w:p>
        </w:tc>
        <w:tc>
          <w:tcPr>
            <w:tcW w:w="532" w:type="pct"/>
          </w:tcPr>
          <w:p w14:paraId="282216AB" w14:textId="5968E079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ECC6D52" w14:textId="2CA4841B" w:rsidR="00D464E3" w:rsidRDefault="00206006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1 139,82</w:t>
            </w:r>
          </w:p>
        </w:tc>
      </w:tr>
      <w:tr w:rsidR="00D464E3" w:rsidRPr="00D464E3" w14:paraId="25AC2DF6" w14:textId="77777777" w:rsidTr="00D464E3">
        <w:trPr>
          <w:jc w:val="center"/>
        </w:trPr>
        <w:tc>
          <w:tcPr>
            <w:tcW w:w="3771" w:type="pct"/>
            <w:gridSpan w:val="4"/>
          </w:tcPr>
          <w:p w14:paraId="69392817" w14:textId="77777777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50C3F277" w14:textId="7028CF82" w:rsidR="00D464E3" w:rsidRPr="00D464E3" w:rsidRDefault="00206006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697" w:type="pct"/>
          </w:tcPr>
          <w:p w14:paraId="08399F98" w14:textId="1FA3F4AD" w:rsidR="00D464E3" w:rsidRPr="00D464E3" w:rsidRDefault="00206006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2 266,43</w:t>
            </w:r>
          </w:p>
        </w:tc>
      </w:tr>
      <w:tr w:rsidR="009653C9" w:rsidRPr="0093253D" w14:paraId="269682EA" w14:textId="09F025FF" w:rsidTr="00D464E3">
        <w:trPr>
          <w:jc w:val="center"/>
        </w:trPr>
        <w:tc>
          <w:tcPr>
            <w:tcW w:w="3771" w:type="pct"/>
            <w:gridSpan w:val="4"/>
          </w:tcPr>
          <w:p w14:paraId="25B9133C" w14:textId="1A2A7162" w:rsidR="009653C9" w:rsidRPr="00937429" w:rsidRDefault="009653C9" w:rsidP="009653C9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</w:t>
            </w:r>
            <w:r w:rsidRPr="00E461D4">
              <w:rPr>
                <w:bCs/>
                <w:szCs w:val="24"/>
              </w:rPr>
              <w:t>:</w:t>
            </w:r>
          </w:p>
        </w:tc>
        <w:tc>
          <w:tcPr>
            <w:tcW w:w="532" w:type="pct"/>
          </w:tcPr>
          <w:p w14:paraId="34CA9ADA" w14:textId="270FC42A" w:rsidR="009653C9" w:rsidRPr="00937429" w:rsidRDefault="00206006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14:paraId="5BA36640" w14:textId="7263692B" w:rsidR="009653C9" w:rsidRPr="00937429" w:rsidRDefault="00206006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17 938,35</w:t>
            </w:r>
          </w:p>
        </w:tc>
      </w:tr>
    </w:tbl>
    <w:p w14:paraId="446765B0" w14:textId="1C390198" w:rsidR="008A22E7" w:rsidRDefault="008A22E7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D8D5DE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13916CC2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4D06106A" w14:textId="059BF415" w:rsidR="008A22E7" w:rsidRDefault="008A22E7" w:rsidP="008A22E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7CB08659" w14:textId="77777777" w:rsidR="008A22E7" w:rsidRPr="00002C95" w:rsidRDefault="008A22E7" w:rsidP="008A22E7">
      <w:pPr>
        <w:tabs>
          <w:tab w:val="left" w:pos="4773"/>
        </w:tabs>
        <w:ind w:firstLine="5245"/>
      </w:pPr>
    </w:p>
    <w:p w14:paraId="1B1F0E5A" w14:textId="7E0550AB" w:rsidR="008A22E7" w:rsidRPr="00601A8A" w:rsidRDefault="008A22E7" w:rsidP="008A22E7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TRUMPALAIKIS </w:t>
      </w:r>
      <w:r w:rsidRPr="00601A8A">
        <w:rPr>
          <w:b/>
          <w:szCs w:val="24"/>
        </w:rPr>
        <w:t>TURTAS, SĄRAŠAS</w:t>
      </w:r>
    </w:p>
    <w:p w14:paraId="11765CA7" w14:textId="77777777" w:rsidR="008A22E7" w:rsidRPr="00601A8A" w:rsidRDefault="008A22E7" w:rsidP="008A22E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8A22E7" w:rsidRPr="00601A8A" w14:paraId="7ACB5171" w14:textId="77777777" w:rsidTr="001C44F8">
        <w:trPr>
          <w:jc w:val="center"/>
        </w:trPr>
        <w:tc>
          <w:tcPr>
            <w:tcW w:w="300" w:type="pct"/>
          </w:tcPr>
          <w:p w14:paraId="04CD30DD" w14:textId="7777777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4ED8389E" w14:textId="7777777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381BAF52" w14:textId="4A4897FD" w:rsidR="008A22E7" w:rsidRDefault="008A22E7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621" w:type="pct"/>
          </w:tcPr>
          <w:p w14:paraId="1921A3AD" w14:textId="79304644" w:rsidR="008A22E7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3A90D0E1" w14:textId="4C04A9B2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60AA27F2" w14:textId="69EEE96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206006" w:rsidRPr="00601A8A" w14:paraId="791583AC" w14:textId="77777777" w:rsidTr="001C44F8">
        <w:trPr>
          <w:jc w:val="center"/>
        </w:trPr>
        <w:tc>
          <w:tcPr>
            <w:tcW w:w="300" w:type="pct"/>
            <w:vMerge w:val="restart"/>
          </w:tcPr>
          <w:p w14:paraId="78072D98" w14:textId="77777777" w:rsidR="00206006" w:rsidRPr="00601A8A" w:rsidRDefault="00206006" w:rsidP="0020600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6D1914" w14:textId="1FD2D4AB" w:rsidR="00206006" w:rsidRPr="00601A8A" w:rsidRDefault="00206006" w:rsidP="00206006">
            <w:r>
              <w:t>Panevėžio „Vilties“ progimnazija</w:t>
            </w:r>
          </w:p>
        </w:tc>
        <w:tc>
          <w:tcPr>
            <w:tcW w:w="1918" w:type="pct"/>
          </w:tcPr>
          <w:p w14:paraId="6267EDA7" w14:textId="030394C9" w:rsidR="00206006" w:rsidRDefault="00206006" w:rsidP="00206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Imtuvas</w:t>
            </w:r>
          </w:p>
        </w:tc>
        <w:tc>
          <w:tcPr>
            <w:tcW w:w="621" w:type="pct"/>
          </w:tcPr>
          <w:p w14:paraId="48151442" w14:textId="4174C8C1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242,00</w:t>
            </w:r>
          </w:p>
        </w:tc>
        <w:tc>
          <w:tcPr>
            <w:tcW w:w="532" w:type="pct"/>
          </w:tcPr>
          <w:p w14:paraId="6BB6F3BA" w14:textId="7F00D1D0" w:rsidR="00206006" w:rsidRPr="00601A8A" w:rsidRDefault="00206006" w:rsidP="00206006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4B118E9" w14:textId="47B17E29" w:rsidR="00206006" w:rsidRPr="00601A8A" w:rsidRDefault="00206006" w:rsidP="00206006">
            <w:pPr>
              <w:jc w:val="center"/>
            </w:pPr>
            <w:r>
              <w:rPr>
                <w:szCs w:val="24"/>
              </w:rPr>
              <w:t>242,00</w:t>
            </w:r>
          </w:p>
        </w:tc>
      </w:tr>
      <w:tr w:rsidR="00206006" w:rsidRPr="00601A8A" w14:paraId="7D4B378A" w14:textId="77777777" w:rsidTr="001C44F8">
        <w:trPr>
          <w:jc w:val="center"/>
        </w:trPr>
        <w:tc>
          <w:tcPr>
            <w:tcW w:w="300" w:type="pct"/>
            <w:vMerge/>
          </w:tcPr>
          <w:p w14:paraId="756E1C96" w14:textId="77777777" w:rsidR="00206006" w:rsidRPr="00601A8A" w:rsidRDefault="00206006" w:rsidP="00206006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C4B9949" w14:textId="77777777" w:rsidR="00206006" w:rsidRDefault="00206006" w:rsidP="00206006"/>
        </w:tc>
        <w:tc>
          <w:tcPr>
            <w:tcW w:w="1918" w:type="pct"/>
          </w:tcPr>
          <w:p w14:paraId="1B44437D" w14:textId="7F41BC90" w:rsidR="00206006" w:rsidRDefault="00206006" w:rsidP="00206006">
            <w:pPr>
              <w:jc w:val="both"/>
            </w:pPr>
            <w:r>
              <w:rPr>
                <w:szCs w:val="24"/>
              </w:rPr>
              <w:t>Šviesos (komplekte yra 6 spalvotos išmanios LED lemputės)</w:t>
            </w:r>
          </w:p>
        </w:tc>
        <w:tc>
          <w:tcPr>
            <w:tcW w:w="621" w:type="pct"/>
          </w:tcPr>
          <w:p w14:paraId="24DDCE34" w14:textId="17EBE011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  <w:tc>
          <w:tcPr>
            <w:tcW w:w="532" w:type="pct"/>
          </w:tcPr>
          <w:p w14:paraId="6C3C78C7" w14:textId="4EFFBA7A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6F26CF7" w14:textId="43A1AD0B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</w:tr>
      <w:tr w:rsidR="00206006" w:rsidRPr="00601A8A" w14:paraId="5B107A78" w14:textId="77777777" w:rsidTr="001C44F8">
        <w:trPr>
          <w:jc w:val="center"/>
        </w:trPr>
        <w:tc>
          <w:tcPr>
            <w:tcW w:w="300" w:type="pct"/>
            <w:vMerge/>
          </w:tcPr>
          <w:p w14:paraId="7AE3DFA7" w14:textId="77777777" w:rsidR="00206006" w:rsidRPr="00601A8A" w:rsidRDefault="00206006" w:rsidP="00206006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307F186" w14:textId="77777777" w:rsidR="00206006" w:rsidRDefault="00206006" w:rsidP="00206006"/>
        </w:tc>
        <w:tc>
          <w:tcPr>
            <w:tcW w:w="1918" w:type="pct"/>
          </w:tcPr>
          <w:p w14:paraId="32C94BDE" w14:textId="2C7846DB" w:rsidR="00206006" w:rsidRDefault="00206006" w:rsidP="00206006">
            <w:pPr>
              <w:jc w:val="both"/>
            </w:pPr>
            <w:r>
              <w:rPr>
                <w:szCs w:val="24"/>
              </w:rPr>
              <w:t xml:space="preserve">Projektorius </w:t>
            </w:r>
            <w:r>
              <w:rPr>
                <w:i/>
                <w:szCs w:val="24"/>
              </w:rPr>
              <w:t>Epson EB-W06</w:t>
            </w:r>
          </w:p>
        </w:tc>
        <w:tc>
          <w:tcPr>
            <w:tcW w:w="621" w:type="pct"/>
          </w:tcPr>
          <w:p w14:paraId="6F70413D" w14:textId="1D42FA74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  <w:tc>
          <w:tcPr>
            <w:tcW w:w="532" w:type="pct"/>
          </w:tcPr>
          <w:p w14:paraId="4083A6D7" w14:textId="2D8F0524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5A44C51" w14:textId="62C4F71D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</w:tr>
      <w:tr w:rsidR="00206006" w:rsidRPr="00601A8A" w14:paraId="4163A66B" w14:textId="77777777" w:rsidTr="001C44F8">
        <w:trPr>
          <w:jc w:val="center"/>
        </w:trPr>
        <w:tc>
          <w:tcPr>
            <w:tcW w:w="300" w:type="pct"/>
            <w:vMerge/>
          </w:tcPr>
          <w:p w14:paraId="4969664E" w14:textId="77777777" w:rsidR="00206006" w:rsidRPr="00601A8A" w:rsidRDefault="00206006" w:rsidP="00206006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B868BE2" w14:textId="77777777" w:rsidR="00206006" w:rsidRDefault="00206006" w:rsidP="00206006"/>
        </w:tc>
        <w:tc>
          <w:tcPr>
            <w:tcW w:w="1918" w:type="pct"/>
          </w:tcPr>
          <w:p w14:paraId="23B15D3B" w14:textId="021AC26E" w:rsidR="00206006" w:rsidRPr="007D4DEF" w:rsidRDefault="00206006" w:rsidP="00206006">
            <w:pPr>
              <w:jc w:val="both"/>
            </w:pPr>
            <w:r>
              <w:rPr>
                <w:szCs w:val="24"/>
              </w:rPr>
              <w:t>Garsiakalbi</w:t>
            </w:r>
            <w:r w:rsidR="00CB45B4">
              <w:rPr>
                <w:szCs w:val="24"/>
              </w:rPr>
              <w:t>s</w:t>
            </w:r>
          </w:p>
        </w:tc>
        <w:tc>
          <w:tcPr>
            <w:tcW w:w="621" w:type="pct"/>
          </w:tcPr>
          <w:p w14:paraId="66526B49" w14:textId="7587636A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  <w:tc>
          <w:tcPr>
            <w:tcW w:w="532" w:type="pct"/>
          </w:tcPr>
          <w:p w14:paraId="02EABAF9" w14:textId="53431325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21381B5" w14:textId="3D445A07" w:rsidR="00206006" w:rsidRDefault="00206006" w:rsidP="002060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</w:tr>
      <w:tr w:rsidR="008A22E7" w:rsidRPr="0093253D" w14:paraId="2CD5BBBA" w14:textId="77777777" w:rsidTr="001C44F8">
        <w:trPr>
          <w:jc w:val="center"/>
        </w:trPr>
        <w:tc>
          <w:tcPr>
            <w:tcW w:w="3771" w:type="pct"/>
            <w:gridSpan w:val="4"/>
          </w:tcPr>
          <w:p w14:paraId="4E5D30F1" w14:textId="77777777" w:rsidR="008A22E7" w:rsidRPr="00937429" w:rsidRDefault="008A22E7" w:rsidP="001C44F8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</w:t>
            </w:r>
            <w:r w:rsidRPr="00CB63A2">
              <w:rPr>
                <w:bCs/>
                <w:szCs w:val="24"/>
              </w:rPr>
              <w:t>:</w:t>
            </w:r>
          </w:p>
        </w:tc>
        <w:tc>
          <w:tcPr>
            <w:tcW w:w="532" w:type="pct"/>
          </w:tcPr>
          <w:p w14:paraId="682B758D" w14:textId="3557A58F" w:rsidR="008A22E7" w:rsidRPr="00937429" w:rsidRDefault="00206006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 w14:paraId="6649808E" w14:textId="2DD2F540" w:rsidR="008A22E7" w:rsidRPr="00937429" w:rsidRDefault="00206006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1 076,91</w:t>
            </w:r>
          </w:p>
        </w:tc>
      </w:tr>
    </w:tbl>
    <w:p w14:paraId="51FEF477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FFEEA" w14:textId="77777777" w:rsidR="00102C92" w:rsidRDefault="00102C92">
      <w:r>
        <w:separator/>
      </w:r>
    </w:p>
  </w:endnote>
  <w:endnote w:type="continuationSeparator" w:id="0">
    <w:p w14:paraId="63F357B2" w14:textId="77777777" w:rsidR="00102C92" w:rsidRDefault="00102C92">
      <w:r>
        <w:continuationSeparator/>
      </w:r>
    </w:p>
  </w:endnote>
  <w:endnote w:type="continuationNotice" w:id="1">
    <w:p w14:paraId="634DA524" w14:textId="77777777" w:rsidR="00102C92" w:rsidRDefault="00102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96653" w14:textId="77777777" w:rsidR="00102C92" w:rsidRDefault="00102C92">
      <w:r>
        <w:separator/>
      </w:r>
    </w:p>
  </w:footnote>
  <w:footnote w:type="continuationSeparator" w:id="0">
    <w:p w14:paraId="6D67FF79" w14:textId="77777777" w:rsidR="00102C92" w:rsidRDefault="00102C92">
      <w:r>
        <w:continuationSeparator/>
      </w:r>
    </w:p>
  </w:footnote>
  <w:footnote w:type="continuationNotice" w:id="1">
    <w:p w14:paraId="0172BD94" w14:textId="77777777" w:rsidR="00102C92" w:rsidRDefault="00102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6A29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451">
    <w:abstractNumId w:val="0"/>
  </w:num>
  <w:num w:numId="2" w16cid:durableId="2080244792">
    <w:abstractNumId w:val="1"/>
  </w:num>
  <w:num w:numId="3" w16cid:durableId="1621717792">
    <w:abstractNumId w:val="7"/>
  </w:num>
  <w:num w:numId="4" w16cid:durableId="521407516">
    <w:abstractNumId w:val="6"/>
  </w:num>
  <w:num w:numId="5" w16cid:durableId="192496694">
    <w:abstractNumId w:val="4"/>
  </w:num>
  <w:num w:numId="6" w16cid:durableId="849032094">
    <w:abstractNumId w:val="5"/>
  </w:num>
  <w:num w:numId="7" w16cid:durableId="630522453">
    <w:abstractNumId w:val="3"/>
  </w:num>
  <w:num w:numId="8" w16cid:durableId="1819028250">
    <w:abstractNumId w:val="2"/>
  </w:num>
  <w:num w:numId="9" w16cid:durableId="181725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2C92"/>
    <w:rsid w:val="00104F8F"/>
    <w:rsid w:val="001121C7"/>
    <w:rsid w:val="00124B60"/>
    <w:rsid w:val="00132ABE"/>
    <w:rsid w:val="001347E1"/>
    <w:rsid w:val="00153B94"/>
    <w:rsid w:val="00154920"/>
    <w:rsid w:val="00154C9A"/>
    <w:rsid w:val="00167A09"/>
    <w:rsid w:val="001A5007"/>
    <w:rsid w:val="001B1FE3"/>
    <w:rsid w:val="001C7606"/>
    <w:rsid w:val="001D09FB"/>
    <w:rsid w:val="001D1AC1"/>
    <w:rsid w:val="001D3CB6"/>
    <w:rsid w:val="001E21FC"/>
    <w:rsid w:val="001E2FCB"/>
    <w:rsid w:val="001E4DFD"/>
    <w:rsid w:val="001F4F80"/>
    <w:rsid w:val="001F7914"/>
    <w:rsid w:val="0020204A"/>
    <w:rsid w:val="00206006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3973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2F7F21"/>
    <w:rsid w:val="00302062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4D34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25ECF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942A9"/>
    <w:rsid w:val="006A4BC0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138F6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B7010"/>
    <w:rsid w:val="007C0B0C"/>
    <w:rsid w:val="007D1C8C"/>
    <w:rsid w:val="007D1D8C"/>
    <w:rsid w:val="007D3F07"/>
    <w:rsid w:val="007D4DEF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46C5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A22E7"/>
    <w:rsid w:val="008B105F"/>
    <w:rsid w:val="008B28AB"/>
    <w:rsid w:val="008B3D51"/>
    <w:rsid w:val="008D7F28"/>
    <w:rsid w:val="008F1635"/>
    <w:rsid w:val="008F5D3F"/>
    <w:rsid w:val="008F5D60"/>
    <w:rsid w:val="008F62A9"/>
    <w:rsid w:val="008F753A"/>
    <w:rsid w:val="009111D4"/>
    <w:rsid w:val="00916D5D"/>
    <w:rsid w:val="00931ACB"/>
    <w:rsid w:val="0093253D"/>
    <w:rsid w:val="00937429"/>
    <w:rsid w:val="00942B11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C6024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5B4"/>
    <w:rsid w:val="00CB4B90"/>
    <w:rsid w:val="00CB63A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64E3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DE48AC"/>
    <w:rsid w:val="00DE6086"/>
    <w:rsid w:val="00E00B4D"/>
    <w:rsid w:val="00E066F0"/>
    <w:rsid w:val="00E21A77"/>
    <w:rsid w:val="00E25C90"/>
    <w:rsid w:val="00E34BFA"/>
    <w:rsid w:val="00E429EE"/>
    <w:rsid w:val="00E461D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95F4-DE14-4C0B-AD87-094ED505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426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2025-12-12T07:43:00Z</dcterms:created>
  <dcterms:modified xsi:type="dcterms:W3CDTF">2025-12-12T07:43:00Z</dcterms:modified>
</cp:coreProperties>
</file>