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93CEF" w14:textId="08E6BC48" w:rsidR="006C226C" w:rsidRPr="006C226C" w:rsidRDefault="006C226C" w:rsidP="006C226C">
      <w:pPr>
        <w:jc w:val="right"/>
        <w:rPr>
          <w:b/>
          <w:szCs w:val="24"/>
        </w:rPr>
      </w:pPr>
      <w:r>
        <w:rPr>
          <w:b/>
          <w:szCs w:val="24"/>
        </w:rPr>
        <w:t>Projekto lyginamasis variantas</w:t>
      </w:r>
    </w:p>
    <w:p w14:paraId="7195BBF0" w14:textId="15CC23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45D7AC97" w:rsidR="006F149F" w:rsidRPr="00271AF5" w:rsidRDefault="006C226C" w:rsidP="006F149F">
      <w:pPr>
        <w:jc w:val="center"/>
      </w:pPr>
      <w:r>
        <w:rPr>
          <w:rStyle w:val="Style3"/>
        </w:rPr>
        <w:t xml:space="preserve">2026 m. sausio 29 d. </w:t>
      </w:r>
      <w:r w:rsidR="006F149F" w:rsidRPr="00271AF5">
        <w:t xml:space="preserve">Nr. </w:t>
      </w:r>
      <w:r>
        <w:t>1-20</w:t>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2FA2731C"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7533DB">
        <w:rPr>
          <w:szCs w:val="24"/>
        </w:rPr>
        <w:t>,</w:t>
      </w:r>
      <w:r w:rsidRPr="00271AF5">
        <w:rPr>
          <w:szCs w:val="24"/>
        </w:rPr>
        <w:t xml:space="preserve"> atsižvelgdama į Nacionalinės švietimo agentūros </w:t>
      </w:r>
      <w:r w:rsidR="000B07BC">
        <w:rPr>
          <w:szCs w:val="24"/>
        </w:rPr>
        <w:t>2025</w:t>
      </w:r>
      <w:r w:rsidRPr="00271AF5">
        <w:rPr>
          <w:szCs w:val="24"/>
        </w:rPr>
        <w:t xml:space="preserve"> m. </w:t>
      </w:r>
      <w:r w:rsidR="00064E04">
        <w:rPr>
          <w:szCs w:val="24"/>
        </w:rPr>
        <w:t>gruodžio 12</w:t>
      </w:r>
      <w:r w:rsidRPr="00271AF5">
        <w:rPr>
          <w:szCs w:val="24"/>
        </w:rPr>
        <w:t xml:space="preserve"> d. raštą Nr. SD-</w:t>
      </w:r>
      <w:r w:rsidR="00064E04">
        <w:rPr>
          <w:szCs w:val="24"/>
        </w:rPr>
        <w:t>3813</w:t>
      </w:r>
      <w:r w:rsidRPr="00271AF5">
        <w:rPr>
          <w:szCs w:val="24"/>
        </w:rPr>
        <w:t xml:space="preserve"> „Dėl </w:t>
      </w:r>
      <w:r w:rsidR="00064E04">
        <w:rPr>
          <w:szCs w:val="24"/>
        </w:rPr>
        <w:t xml:space="preserve">ilgalaikio materialiojo ir </w:t>
      </w:r>
      <w:r w:rsidR="000B07BC">
        <w:rPr>
          <w:szCs w:val="24"/>
        </w:rPr>
        <w:t xml:space="preserve">trumpalaikio </w:t>
      </w:r>
      <w:r w:rsidRPr="00271AF5">
        <w:rPr>
          <w:szCs w:val="24"/>
        </w:rPr>
        <w:t xml:space="preserve">turto perėmimo Savivaldybės nuosavybėn“,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40112674" w14:textId="77424298" w:rsidR="007533DB" w:rsidRPr="007533DB" w:rsidRDefault="007533DB" w:rsidP="007533DB">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sidRPr="007533DB">
        <w:rPr>
          <w:color w:val="000000"/>
          <w:szCs w:val="24"/>
        </w:rPr>
        <w:t>Perduoti bendrojo ugdymo mokykloms valdyti, naudoti ir disponuoti patikėjimo teise šio sprendimo 1 punkte nurodytą turtą, priėmus Lietuvos Respublikos Vyriausybės nutarimą ir perėmus turtą Panevėžio miesto savivaldybės nuosavybėn (3, 4 priedai).</w:t>
      </w:r>
    </w:p>
    <w:p w14:paraId="5E4413D7" w14:textId="65927EA3" w:rsidR="006F149F" w:rsidRPr="00926FB4" w:rsidRDefault="00707A4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Pr>
          <w:szCs w:val="24"/>
        </w:rPr>
        <w:t xml:space="preserve">Nustatyti, kad </w:t>
      </w:r>
      <w:r w:rsidR="000B07BC" w:rsidRPr="00541C7B">
        <w:rPr>
          <w:szCs w:val="24"/>
        </w:rPr>
        <w:t>Savivaldybės nuosavybėn perduotas turtas bus naudo</w:t>
      </w:r>
      <w:r>
        <w:rPr>
          <w:szCs w:val="24"/>
        </w:rPr>
        <w:t>jamas</w:t>
      </w:r>
      <w:r w:rsidR="000B07BC" w:rsidRPr="00541C7B">
        <w:rPr>
          <w:szCs w:val="24"/>
        </w:rPr>
        <w:t xml:space="preserve"> </w:t>
      </w:r>
      <w:bookmarkEnd w:id="0"/>
      <w:r w:rsidR="00064E04" w:rsidRPr="001C2F4D">
        <w:rPr>
          <w:szCs w:val="24"/>
        </w:rPr>
        <w:t>švietimo paslaugų kokyb</w:t>
      </w:r>
      <w:r>
        <w:rPr>
          <w:szCs w:val="24"/>
        </w:rPr>
        <w:t xml:space="preserve">ei </w:t>
      </w:r>
      <w:r w:rsidRPr="001C2F4D">
        <w:rPr>
          <w:szCs w:val="24"/>
        </w:rPr>
        <w:t>gerinti</w:t>
      </w:r>
      <w:r w:rsidR="00064E04" w:rsidRPr="001C2F4D">
        <w:rPr>
          <w:szCs w:val="24"/>
        </w:rPr>
        <w:t>, aprūpinant efektyviai veikiančias bendrojo ugdymo mokyklas laboratorine įranga, priemonėmis ir kompiuterine įranga.</w:t>
      </w:r>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lastRenderedPageBreak/>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6539D331"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42"/>
        <w:gridCol w:w="3044"/>
        <w:gridCol w:w="2887"/>
        <w:gridCol w:w="1134"/>
        <w:gridCol w:w="1256"/>
        <w:gridCol w:w="1380"/>
      </w:tblGrid>
      <w:tr w:rsidR="00064E04" w:rsidRPr="00914FBF" w14:paraId="1CF6D9F7" w14:textId="77777777" w:rsidTr="00707A4C">
        <w:trPr>
          <w:trHeight w:val="1230"/>
        </w:trPr>
        <w:tc>
          <w:tcPr>
            <w:tcW w:w="642" w:type="dxa"/>
            <w:noWrap/>
            <w:vAlign w:val="center"/>
          </w:tcPr>
          <w:p w14:paraId="16F095D1" w14:textId="2D2CCAFB" w:rsidR="00064E04" w:rsidRPr="00914FBF" w:rsidRDefault="00064E04" w:rsidP="00D311AF">
            <w:pPr>
              <w:jc w:val="center"/>
              <w:rPr>
                <w:b/>
                <w:bCs/>
              </w:rPr>
            </w:pPr>
            <w:r>
              <w:rPr>
                <w:b/>
                <w:bCs/>
              </w:rPr>
              <w:t>Eil. Nr.</w:t>
            </w:r>
          </w:p>
        </w:tc>
        <w:tc>
          <w:tcPr>
            <w:tcW w:w="3044" w:type="dxa"/>
            <w:vAlign w:val="center"/>
          </w:tcPr>
          <w:p w14:paraId="26B03D2E" w14:textId="77777777" w:rsidR="00064E04" w:rsidRPr="00914FBF" w:rsidRDefault="00064E04" w:rsidP="00D311AF">
            <w:pPr>
              <w:jc w:val="center"/>
              <w:rPr>
                <w:b/>
                <w:bCs/>
              </w:rPr>
            </w:pPr>
            <w:r>
              <w:rPr>
                <w:b/>
                <w:bCs/>
              </w:rPr>
              <w:t>Turto</w:t>
            </w:r>
            <w:r w:rsidRPr="00914FBF">
              <w:rPr>
                <w:b/>
                <w:bCs/>
              </w:rPr>
              <w:t xml:space="preserve"> pavadinimas</w:t>
            </w:r>
          </w:p>
        </w:tc>
        <w:tc>
          <w:tcPr>
            <w:tcW w:w="2887" w:type="dxa"/>
          </w:tcPr>
          <w:p w14:paraId="3F085A9E" w14:textId="2E414DD5" w:rsidR="00064E04" w:rsidRPr="00914FBF" w:rsidRDefault="00064E04" w:rsidP="00D311AF">
            <w:pPr>
              <w:jc w:val="center"/>
              <w:rPr>
                <w:b/>
                <w:bCs/>
              </w:rPr>
            </w:pPr>
            <w:r>
              <w:rPr>
                <w:b/>
                <w:bCs/>
              </w:rPr>
              <w:t>Inventoriaus Nr.</w:t>
            </w:r>
          </w:p>
        </w:tc>
        <w:tc>
          <w:tcPr>
            <w:tcW w:w="1134" w:type="dxa"/>
            <w:vAlign w:val="center"/>
          </w:tcPr>
          <w:p w14:paraId="5227E7C6" w14:textId="703BBE81" w:rsidR="00064E04" w:rsidRPr="00914FBF" w:rsidRDefault="00064E04" w:rsidP="00D311AF">
            <w:pPr>
              <w:jc w:val="center"/>
              <w:rPr>
                <w:b/>
                <w:bCs/>
              </w:rPr>
            </w:pPr>
            <w:r w:rsidRPr="00914FBF">
              <w:rPr>
                <w:b/>
                <w:bCs/>
              </w:rPr>
              <w:t>Kiekis vnt.</w:t>
            </w:r>
          </w:p>
        </w:tc>
        <w:tc>
          <w:tcPr>
            <w:tcW w:w="1256" w:type="dxa"/>
            <w:vAlign w:val="center"/>
          </w:tcPr>
          <w:p w14:paraId="5FF37D81" w14:textId="30D8E9AB" w:rsidR="00064E04" w:rsidRPr="00914FBF" w:rsidRDefault="00064E04" w:rsidP="00D311AF">
            <w:pPr>
              <w:jc w:val="center"/>
              <w:rPr>
                <w:b/>
                <w:bCs/>
              </w:rPr>
            </w:pPr>
            <w:r w:rsidRPr="00914FBF">
              <w:rPr>
                <w:b/>
                <w:bCs/>
              </w:rPr>
              <w:t xml:space="preserve">Vieneto </w:t>
            </w:r>
            <w:r>
              <w:rPr>
                <w:b/>
                <w:bCs/>
              </w:rPr>
              <w:t>įsigijimo savikaina</w:t>
            </w:r>
            <w:r w:rsidRPr="00914FBF">
              <w:rPr>
                <w:b/>
                <w:bCs/>
              </w:rPr>
              <w:t xml:space="preserve"> Eur</w:t>
            </w:r>
          </w:p>
        </w:tc>
        <w:tc>
          <w:tcPr>
            <w:tcW w:w="1380" w:type="dxa"/>
            <w:noWrap/>
            <w:vAlign w:val="center"/>
          </w:tcPr>
          <w:p w14:paraId="1B22B141" w14:textId="0C8921A9" w:rsidR="00064E04" w:rsidRPr="00914FBF" w:rsidRDefault="00064E04" w:rsidP="00D311AF">
            <w:pPr>
              <w:jc w:val="center"/>
              <w:rPr>
                <w:b/>
                <w:bCs/>
              </w:rPr>
            </w:pPr>
            <w:r>
              <w:rPr>
                <w:b/>
                <w:bCs/>
              </w:rPr>
              <w:t>Bendra įsigijimo vertė</w:t>
            </w:r>
            <w:r w:rsidRPr="00914FBF">
              <w:rPr>
                <w:b/>
                <w:bCs/>
              </w:rPr>
              <w:t xml:space="preserve"> Eur</w:t>
            </w:r>
          </w:p>
        </w:tc>
      </w:tr>
      <w:tr w:rsidR="00064E04" w:rsidRPr="001C60E6" w14:paraId="6A7881F3" w14:textId="77777777" w:rsidTr="00707A4C">
        <w:trPr>
          <w:trHeight w:val="384"/>
        </w:trPr>
        <w:tc>
          <w:tcPr>
            <w:tcW w:w="642" w:type="dxa"/>
            <w:noWrap/>
            <w:vAlign w:val="center"/>
            <w:hideMark/>
          </w:tcPr>
          <w:p w14:paraId="451499EB" w14:textId="52CA5E16" w:rsidR="00064E04" w:rsidRPr="001C60E6" w:rsidRDefault="00064E04" w:rsidP="00D311AF"/>
        </w:tc>
        <w:tc>
          <w:tcPr>
            <w:tcW w:w="3044" w:type="dxa"/>
          </w:tcPr>
          <w:p w14:paraId="4261A742" w14:textId="0CEB4F58" w:rsidR="00064E04" w:rsidRPr="001C60E6" w:rsidRDefault="00064E04" w:rsidP="00D311AF">
            <w:r w:rsidRPr="00BA5148">
              <w:rPr>
                <w:color w:val="000000"/>
              </w:rPr>
              <w:t>Kalbų laboratorijos įranga</w:t>
            </w:r>
          </w:p>
        </w:tc>
        <w:tc>
          <w:tcPr>
            <w:tcW w:w="2887" w:type="dxa"/>
          </w:tcPr>
          <w:p w14:paraId="2FAAFEC0" w14:textId="641DDD17" w:rsidR="00064E04" w:rsidRDefault="00064E04" w:rsidP="00D311AF">
            <w:pPr>
              <w:jc w:val="center"/>
            </w:pPr>
            <w:r w:rsidRPr="00BA5148">
              <w:rPr>
                <w:rFonts w:eastAsia="Calibri"/>
              </w:rPr>
              <w:t>IT22-017589</w:t>
            </w:r>
            <w:r w:rsidR="00E75C35">
              <w:rPr>
                <w:rFonts w:eastAsia="Calibri"/>
              </w:rPr>
              <w:t>–</w:t>
            </w:r>
            <w:r w:rsidRPr="00BA5148">
              <w:rPr>
                <w:rFonts w:eastAsia="Calibri"/>
              </w:rPr>
              <w:t>IT22-017590</w:t>
            </w:r>
          </w:p>
        </w:tc>
        <w:tc>
          <w:tcPr>
            <w:tcW w:w="1134" w:type="dxa"/>
            <w:vAlign w:val="center"/>
          </w:tcPr>
          <w:p w14:paraId="375A757B" w14:textId="775CD214" w:rsidR="00064E04" w:rsidRPr="001C60E6" w:rsidRDefault="00064E04" w:rsidP="00D311AF">
            <w:pPr>
              <w:jc w:val="center"/>
            </w:pPr>
            <w:r>
              <w:t>2</w:t>
            </w:r>
          </w:p>
        </w:tc>
        <w:tc>
          <w:tcPr>
            <w:tcW w:w="1256" w:type="dxa"/>
            <w:vAlign w:val="center"/>
          </w:tcPr>
          <w:p w14:paraId="2459B5BE" w14:textId="246D414A" w:rsidR="00064E04" w:rsidRPr="001C60E6" w:rsidRDefault="00064E04" w:rsidP="00D311AF">
            <w:pPr>
              <w:jc w:val="center"/>
            </w:pPr>
            <w:r w:rsidRPr="00BA5148">
              <w:rPr>
                <w:lang w:eastAsia="lt-LT"/>
              </w:rPr>
              <w:t>15</w:t>
            </w:r>
            <w:r>
              <w:rPr>
                <w:lang w:eastAsia="lt-LT"/>
              </w:rPr>
              <w:t xml:space="preserve"> </w:t>
            </w:r>
            <w:r w:rsidRPr="00BA5148">
              <w:rPr>
                <w:lang w:eastAsia="lt-LT"/>
              </w:rPr>
              <w:t>988,94</w:t>
            </w:r>
          </w:p>
        </w:tc>
        <w:tc>
          <w:tcPr>
            <w:tcW w:w="1380" w:type="dxa"/>
            <w:noWrap/>
            <w:vAlign w:val="center"/>
          </w:tcPr>
          <w:p w14:paraId="209E0D7F" w14:textId="036095E3" w:rsidR="00064E04" w:rsidRPr="001C60E6" w:rsidRDefault="00064E04" w:rsidP="00D311AF">
            <w:pPr>
              <w:jc w:val="center"/>
            </w:pPr>
            <w:r w:rsidRPr="00BA5148">
              <w:t>31</w:t>
            </w:r>
            <w:r>
              <w:t xml:space="preserve"> </w:t>
            </w:r>
            <w:r w:rsidRPr="00BA5148">
              <w:t>977,88</w:t>
            </w:r>
          </w:p>
        </w:tc>
      </w:tr>
      <w:tr w:rsidR="00064E04" w:rsidRPr="00A34063" w14:paraId="69F3260C" w14:textId="77777777" w:rsidTr="009F2E45">
        <w:trPr>
          <w:trHeight w:val="529"/>
        </w:trPr>
        <w:tc>
          <w:tcPr>
            <w:tcW w:w="6573" w:type="dxa"/>
            <w:gridSpan w:val="3"/>
            <w:noWrap/>
            <w:vAlign w:val="center"/>
          </w:tcPr>
          <w:p w14:paraId="50F1C291" w14:textId="628D95B6" w:rsidR="00064E04" w:rsidRDefault="00064E04" w:rsidP="00064E04">
            <w:pPr>
              <w:jc w:val="right"/>
              <w:rPr>
                <w:b/>
                <w:bCs/>
              </w:rPr>
            </w:pPr>
            <w:r>
              <w:rPr>
                <w:b/>
                <w:bCs/>
              </w:rPr>
              <w:t>Iš viso</w:t>
            </w:r>
            <w:r w:rsidRPr="003874C4">
              <w:t>:</w:t>
            </w:r>
          </w:p>
        </w:tc>
        <w:tc>
          <w:tcPr>
            <w:tcW w:w="1134" w:type="dxa"/>
            <w:noWrap/>
            <w:vAlign w:val="center"/>
          </w:tcPr>
          <w:p w14:paraId="03C8EDDD" w14:textId="05FBE9F5" w:rsidR="00064E04" w:rsidRPr="00A34063" w:rsidRDefault="00064E04" w:rsidP="00D311AF">
            <w:pPr>
              <w:jc w:val="center"/>
              <w:rPr>
                <w:b/>
                <w:bCs/>
              </w:rPr>
            </w:pPr>
            <w:r>
              <w:rPr>
                <w:b/>
                <w:bCs/>
              </w:rPr>
              <w:t>2</w:t>
            </w:r>
          </w:p>
        </w:tc>
        <w:tc>
          <w:tcPr>
            <w:tcW w:w="1256" w:type="dxa"/>
            <w:noWrap/>
            <w:vAlign w:val="center"/>
          </w:tcPr>
          <w:p w14:paraId="4E59FBD8" w14:textId="77777777" w:rsidR="00064E04" w:rsidRPr="003874C4" w:rsidRDefault="00064E04" w:rsidP="00D311AF">
            <w:pPr>
              <w:jc w:val="center"/>
              <w:rPr>
                <w:b/>
                <w:bCs/>
              </w:rPr>
            </w:pPr>
            <w:r w:rsidRPr="003874C4">
              <w:rPr>
                <w:b/>
                <w:bCs/>
              </w:rPr>
              <w:t>–</w:t>
            </w:r>
          </w:p>
        </w:tc>
        <w:tc>
          <w:tcPr>
            <w:tcW w:w="1380" w:type="dxa"/>
            <w:noWrap/>
            <w:vAlign w:val="center"/>
          </w:tcPr>
          <w:p w14:paraId="6D1F6F06" w14:textId="3C90B75D" w:rsidR="00064E04" w:rsidRPr="00A34063" w:rsidRDefault="00064E04" w:rsidP="00D311AF">
            <w:pPr>
              <w:jc w:val="center"/>
              <w:rPr>
                <w:b/>
                <w:bCs/>
              </w:rPr>
            </w:pPr>
            <w:r>
              <w:rPr>
                <w:b/>
                <w:bCs/>
              </w:rPr>
              <w:t>31 977,88</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77777777" w:rsidR="00497461" w:rsidRPr="00271AF5" w:rsidRDefault="00497461" w:rsidP="00497461">
      <w:pPr>
        <w:tabs>
          <w:tab w:val="left" w:pos="7371"/>
        </w:tabs>
        <w:ind w:firstLine="5245"/>
        <w:rPr>
          <w:szCs w:val="24"/>
        </w:rPr>
      </w:pPr>
      <w:r>
        <w:rPr>
          <w:szCs w:val="24"/>
        </w:rPr>
        <w:t xml:space="preserve">                                  </w:t>
      </w:r>
      <w:r w:rsidRPr="00271AF5">
        <w:rPr>
          <w:szCs w:val="24"/>
        </w:rPr>
        <w:t xml:space="preserve"> sprendimo Nr.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765D66" w:rsidRPr="001C60E6" w14:paraId="2DA843BB" w14:textId="77777777" w:rsidTr="000B2518">
        <w:trPr>
          <w:trHeight w:val="384"/>
        </w:trPr>
        <w:tc>
          <w:tcPr>
            <w:tcW w:w="709" w:type="dxa"/>
            <w:noWrap/>
            <w:vAlign w:val="center"/>
            <w:hideMark/>
          </w:tcPr>
          <w:p w14:paraId="170350AC" w14:textId="698F668B" w:rsidR="00765D66" w:rsidRPr="001C60E6" w:rsidRDefault="00765D66" w:rsidP="00765D66"/>
        </w:tc>
        <w:tc>
          <w:tcPr>
            <w:tcW w:w="5245" w:type="dxa"/>
          </w:tcPr>
          <w:p w14:paraId="753A817E" w14:textId="1804A066" w:rsidR="00707A4C" w:rsidRPr="00707A4C" w:rsidRDefault="00707A4C" w:rsidP="00765D66">
            <w:pPr>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sidR="002D0BF4">
              <w:rPr>
                <w:szCs w:val="24"/>
              </w:rPr>
              <w:t>tink</w:t>
            </w:r>
            <w:r w:rsidRPr="00707A4C">
              <w:rPr>
                <w:szCs w:val="24"/>
              </w:rPr>
              <w:t>anti laidinė pelė (paženklinta CE ženklu), USB jungtis.</w:t>
            </w:r>
          </w:p>
        </w:tc>
        <w:tc>
          <w:tcPr>
            <w:tcW w:w="1276" w:type="dxa"/>
            <w:vAlign w:val="center"/>
          </w:tcPr>
          <w:p w14:paraId="6086A2A7" w14:textId="76D369FA" w:rsidR="00765D66" w:rsidRPr="00765D66" w:rsidRDefault="00765D66" w:rsidP="00765D66">
            <w:pPr>
              <w:jc w:val="center"/>
              <w:rPr>
                <w:szCs w:val="24"/>
              </w:rPr>
            </w:pPr>
            <w:r w:rsidRPr="00765D66">
              <w:rPr>
                <w:color w:val="000000"/>
                <w:szCs w:val="24"/>
                <w:lang w:eastAsia="lt-LT"/>
              </w:rPr>
              <w:t>600</w:t>
            </w:r>
          </w:p>
        </w:tc>
        <w:tc>
          <w:tcPr>
            <w:tcW w:w="1417" w:type="dxa"/>
            <w:vAlign w:val="center"/>
          </w:tcPr>
          <w:p w14:paraId="281ABF74" w14:textId="31DD0083" w:rsidR="00765D66" w:rsidRPr="00765D66" w:rsidRDefault="00765D66" w:rsidP="00765D66">
            <w:pPr>
              <w:jc w:val="center"/>
              <w:rPr>
                <w:szCs w:val="24"/>
              </w:rPr>
            </w:pPr>
            <w:r w:rsidRPr="00765D66">
              <w:rPr>
                <w:color w:val="000000"/>
                <w:szCs w:val="24"/>
                <w:lang w:eastAsia="lt-LT"/>
              </w:rPr>
              <w:t>502,10</w:t>
            </w:r>
          </w:p>
        </w:tc>
        <w:tc>
          <w:tcPr>
            <w:tcW w:w="1560" w:type="dxa"/>
            <w:noWrap/>
            <w:vAlign w:val="center"/>
          </w:tcPr>
          <w:p w14:paraId="252F965D" w14:textId="1D0EF4A1" w:rsidR="00765D66" w:rsidRPr="00765D66" w:rsidRDefault="00765D66" w:rsidP="00765D66">
            <w:pPr>
              <w:jc w:val="center"/>
              <w:rPr>
                <w:szCs w:val="24"/>
              </w:rPr>
            </w:pPr>
            <w:r w:rsidRPr="00765D66">
              <w:rPr>
                <w:color w:val="000000"/>
                <w:szCs w:val="24"/>
                <w:lang w:eastAsia="lt-LT"/>
              </w:rPr>
              <w:t>301</w:t>
            </w:r>
            <w:r>
              <w:rPr>
                <w:color w:val="000000"/>
                <w:szCs w:val="24"/>
                <w:lang w:eastAsia="lt-LT"/>
              </w:rPr>
              <w:t xml:space="preserve"> </w:t>
            </w:r>
            <w:r w:rsidRPr="00765D66">
              <w:rPr>
                <w:color w:val="000000"/>
                <w:szCs w:val="24"/>
                <w:lang w:eastAsia="lt-LT"/>
              </w:rPr>
              <w:t>260,00</w:t>
            </w:r>
          </w:p>
        </w:tc>
      </w:tr>
      <w:tr w:rsidR="00765D66" w:rsidRPr="00A34063" w14:paraId="50BA2CFE" w14:textId="77777777" w:rsidTr="000B2518">
        <w:trPr>
          <w:trHeight w:val="529"/>
        </w:trPr>
        <w:tc>
          <w:tcPr>
            <w:tcW w:w="5954" w:type="dxa"/>
            <w:gridSpan w:val="2"/>
            <w:noWrap/>
            <w:vAlign w:val="center"/>
          </w:tcPr>
          <w:p w14:paraId="2B3B1D86" w14:textId="77777777" w:rsidR="00765D66" w:rsidRDefault="00765D66" w:rsidP="00765D66">
            <w:pPr>
              <w:jc w:val="right"/>
              <w:rPr>
                <w:b/>
                <w:bCs/>
              </w:rPr>
            </w:pPr>
            <w:r>
              <w:rPr>
                <w:b/>
                <w:bCs/>
              </w:rPr>
              <w:t>Iš viso</w:t>
            </w:r>
            <w:r w:rsidRPr="00E90F8F">
              <w:t>:</w:t>
            </w:r>
          </w:p>
        </w:tc>
        <w:tc>
          <w:tcPr>
            <w:tcW w:w="1276" w:type="dxa"/>
            <w:noWrap/>
            <w:vAlign w:val="center"/>
          </w:tcPr>
          <w:p w14:paraId="15E86730" w14:textId="0A5A1120" w:rsidR="00765D66" w:rsidRPr="00497461" w:rsidRDefault="00765D66" w:rsidP="00765D66">
            <w:pPr>
              <w:jc w:val="center"/>
              <w:rPr>
                <w:b/>
                <w:bCs/>
              </w:rPr>
            </w:pPr>
            <w:r>
              <w:rPr>
                <w:b/>
                <w:bCs/>
                <w:color w:val="000000"/>
                <w:szCs w:val="24"/>
                <w:lang w:eastAsia="lt-LT"/>
              </w:rPr>
              <w:t>600</w:t>
            </w:r>
          </w:p>
        </w:tc>
        <w:tc>
          <w:tcPr>
            <w:tcW w:w="1417" w:type="dxa"/>
            <w:noWrap/>
            <w:vAlign w:val="center"/>
          </w:tcPr>
          <w:p w14:paraId="0FCB572F" w14:textId="77777777" w:rsidR="00765D66" w:rsidRPr="00497461" w:rsidRDefault="00765D66" w:rsidP="00765D66">
            <w:pPr>
              <w:jc w:val="center"/>
              <w:rPr>
                <w:b/>
                <w:bCs/>
              </w:rPr>
            </w:pPr>
            <w:r w:rsidRPr="00497461">
              <w:rPr>
                <w:b/>
                <w:bCs/>
              </w:rPr>
              <w:t>–</w:t>
            </w:r>
          </w:p>
        </w:tc>
        <w:tc>
          <w:tcPr>
            <w:tcW w:w="1560" w:type="dxa"/>
            <w:noWrap/>
            <w:vAlign w:val="center"/>
          </w:tcPr>
          <w:p w14:paraId="06DC6924" w14:textId="69D0A16A" w:rsidR="00765D66" w:rsidRPr="00497461" w:rsidRDefault="00765D66" w:rsidP="00765D66">
            <w:pPr>
              <w:jc w:val="center"/>
              <w:rPr>
                <w:b/>
                <w:bCs/>
              </w:rPr>
            </w:pPr>
            <w:r>
              <w:rPr>
                <w:b/>
                <w:bCs/>
                <w:color w:val="000000"/>
                <w:szCs w:val="24"/>
                <w:lang w:eastAsia="lt-LT"/>
              </w:rPr>
              <w:t>301 260,00</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0C8641F6"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MATERIALIOJO 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874"/>
        <w:gridCol w:w="2950"/>
        <w:gridCol w:w="1523"/>
        <w:gridCol w:w="1265"/>
        <w:gridCol w:w="1396"/>
      </w:tblGrid>
      <w:tr w:rsidR="00497461" w:rsidRPr="00E34573" w14:paraId="150E8212" w14:textId="77777777" w:rsidTr="00DD4C32">
        <w:trPr>
          <w:cantSplit/>
        </w:trPr>
        <w:tc>
          <w:tcPr>
            <w:tcW w:w="322" w:type="pct"/>
          </w:tcPr>
          <w:p w14:paraId="03F678BD" w14:textId="77777777" w:rsidR="00497461" w:rsidRPr="00E34573" w:rsidRDefault="00497461" w:rsidP="00D311AF">
            <w:pPr>
              <w:tabs>
                <w:tab w:val="left" w:leader="underscore" w:pos="1701"/>
              </w:tabs>
              <w:jc w:val="center"/>
              <w:rPr>
                <w:b/>
                <w:szCs w:val="24"/>
              </w:rPr>
            </w:pPr>
            <w:r w:rsidRPr="00E34573">
              <w:rPr>
                <w:b/>
                <w:szCs w:val="24"/>
              </w:rPr>
              <w:t>Eil. Nr.</w:t>
            </w:r>
          </w:p>
        </w:tc>
        <w:tc>
          <w:tcPr>
            <w:tcW w:w="973" w:type="pct"/>
          </w:tcPr>
          <w:p w14:paraId="2182A9FA" w14:textId="77777777" w:rsidR="00497461" w:rsidRPr="00E34573" w:rsidRDefault="00497461" w:rsidP="00D311AF">
            <w:pPr>
              <w:tabs>
                <w:tab w:val="left" w:leader="underscore" w:pos="1701"/>
              </w:tabs>
              <w:jc w:val="center"/>
              <w:rPr>
                <w:b/>
                <w:szCs w:val="24"/>
              </w:rPr>
            </w:pPr>
            <w:r w:rsidRPr="00E34573">
              <w:rPr>
                <w:b/>
                <w:szCs w:val="24"/>
              </w:rPr>
              <w:t>Įstaigos pavadinimas</w:t>
            </w:r>
          </w:p>
        </w:tc>
        <w:tc>
          <w:tcPr>
            <w:tcW w:w="1532" w:type="pct"/>
          </w:tcPr>
          <w:p w14:paraId="2CBFA1F4" w14:textId="77777777" w:rsidR="00497461" w:rsidRPr="00E34573" w:rsidRDefault="00497461" w:rsidP="00D311AF">
            <w:pPr>
              <w:tabs>
                <w:tab w:val="left" w:leader="underscore" w:pos="1701"/>
              </w:tabs>
              <w:jc w:val="center"/>
              <w:rPr>
                <w:b/>
                <w:szCs w:val="24"/>
              </w:rPr>
            </w:pPr>
            <w:r w:rsidRPr="00E34573">
              <w:rPr>
                <w:b/>
                <w:szCs w:val="24"/>
              </w:rPr>
              <w:t>Turto pavadinimas</w:t>
            </w:r>
          </w:p>
        </w:tc>
        <w:tc>
          <w:tcPr>
            <w:tcW w:w="791" w:type="pct"/>
          </w:tcPr>
          <w:p w14:paraId="0D382A53" w14:textId="0B3CA874" w:rsidR="00497461" w:rsidRPr="00E34573" w:rsidRDefault="00DD4C32" w:rsidP="00D311AF">
            <w:pPr>
              <w:tabs>
                <w:tab w:val="left" w:leader="underscore" w:pos="1701"/>
              </w:tabs>
              <w:jc w:val="center"/>
              <w:rPr>
                <w:b/>
                <w:szCs w:val="24"/>
              </w:rPr>
            </w:pPr>
            <w:r>
              <w:rPr>
                <w:b/>
                <w:szCs w:val="24"/>
              </w:rPr>
              <w:t>Inventoriaus Nr.</w:t>
            </w:r>
          </w:p>
        </w:tc>
        <w:tc>
          <w:tcPr>
            <w:tcW w:w="657" w:type="pct"/>
          </w:tcPr>
          <w:p w14:paraId="3EBC6A93" w14:textId="3B4DEA3E" w:rsidR="00497461" w:rsidRPr="00E34573" w:rsidRDefault="00DD4C32" w:rsidP="00D311AF">
            <w:pPr>
              <w:tabs>
                <w:tab w:val="left" w:leader="underscore" w:pos="1701"/>
              </w:tabs>
              <w:jc w:val="center"/>
              <w:rPr>
                <w:b/>
                <w:szCs w:val="24"/>
              </w:rPr>
            </w:pPr>
            <w:r>
              <w:rPr>
                <w:b/>
                <w:szCs w:val="24"/>
              </w:rPr>
              <w:t>Kiekis vnt.</w:t>
            </w:r>
          </w:p>
        </w:tc>
        <w:tc>
          <w:tcPr>
            <w:tcW w:w="725" w:type="pct"/>
          </w:tcPr>
          <w:p w14:paraId="5D515AA0" w14:textId="3EC36AFA" w:rsidR="00497461" w:rsidRPr="00E34573" w:rsidRDefault="00DD4C32" w:rsidP="00D311AF">
            <w:pPr>
              <w:tabs>
                <w:tab w:val="left" w:leader="underscore" w:pos="1701"/>
              </w:tabs>
              <w:jc w:val="center"/>
              <w:rPr>
                <w:b/>
                <w:szCs w:val="24"/>
              </w:rPr>
            </w:pPr>
            <w:r>
              <w:rPr>
                <w:b/>
                <w:szCs w:val="24"/>
              </w:rPr>
              <w:t>Į</w:t>
            </w:r>
            <w:r w:rsidR="00497461" w:rsidRPr="00E34573">
              <w:rPr>
                <w:b/>
                <w:szCs w:val="24"/>
              </w:rPr>
              <w:t>sigijimo vertė Eur</w:t>
            </w:r>
          </w:p>
        </w:tc>
      </w:tr>
      <w:tr w:rsidR="005240DA" w:rsidRPr="00E34573" w14:paraId="41D47873" w14:textId="77777777" w:rsidTr="00DD4C32">
        <w:trPr>
          <w:tblHeader/>
        </w:trPr>
        <w:tc>
          <w:tcPr>
            <w:tcW w:w="322" w:type="pct"/>
          </w:tcPr>
          <w:p w14:paraId="3FB8CEAD" w14:textId="692D31BE" w:rsidR="005240DA" w:rsidRPr="00E34573" w:rsidRDefault="00DD4C32" w:rsidP="005240DA">
            <w:pPr>
              <w:tabs>
                <w:tab w:val="left" w:leader="underscore" w:pos="1701"/>
              </w:tabs>
              <w:jc w:val="center"/>
              <w:rPr>
                <w:szCs w:val="24"/>
              </w:rPr>
            </w:pPr>
            <w:r>
              <w:rPr>
                <w:szCs w:val="24"/>
              </w:rPr>
              <w:t>1</w:t>
            </w:r>
            <w:r w:rsidR="005240DA">
              <w:rPr>
                <w:szCs w:val="24"/>
              </w:rPr>
              <w:t>.</w:t>
            </w:r>
          </w:p>
        </w:tc>
        <w:tc>
          <w:tcPr>
            <w:tcW w:w="973" w:type="pct"/>
          </w:tcPr>
          <w:p w14:paraId="2FDD9ABD" w14:textId="19F8BF5D" w:rsidR="005240DA" w:rsidRPr="00E34573" w:rsidRDefault="005240DA" w:rsidP="005240DA">
            <w:pPr>
              <w:tabs>
                <w:tab w:val="left" w:leader="underscore" w:pos="1701"/>
              </w:tabs>
              <w:rPr>
                <w:szCs w:val="24"/>
              </w:rPr>
            </w:pPr>
            <w:r>
              <w:rPr>
                <w:szCs w:val="24"/>
              </w:rPr>
              <w:t>Panevėžio „Minties“ inžinerijos gimnazija</w:t>
            </w:r>
          </w:p>
        </w:tc>
        <w:tc>
          <w:tcPr>
            <w:tcW w:w="1532" w:type="pct"/>
          </w:tcPr>
          <w:p w14:paraId="638620F8" w14:textId="7D36F8E0" w:rsidR="005240DA" w:rsidRPr="00B47EB3" w:rsidRDefault="00DD4C32" w:rsidP="005240DA">
            <w:pPr>
              <w:tabs>
                <w:tab w:val="left" w:leader="underscore" w:pos="1701"/>
              </w:tabs>
              <w:jc w:val="both"/>
              <w:rPr>
                <w:szCs w:val="24"/>
                <w:lang w:eastAsia="lt-LT"/>
              </w:rPr>
            </w:pPr>
            <w:r w:rsidRPr="00BA5148">
              <w:rPr>
                <w:color w:val="000000"/>
              </w:rPr>
              <w:t>Kalbų laboratorijos įranga</w:t>
            </w:r>
          </w:p>
        </w:tc>
        <w:tc>
          <w:tcPr>
            <w:tcW w:w="791" w:type="pct"/>
          </w:tcPr>
          <w:p w14:paraId="2BABC1E8" w14:textId="1D5994C8" w:rsidR="005240DA" w:rsidRPr="006C226C" w:rsidRDefault="00DD4C32" w:rsidP="005240DA">
            <w:pPr>
              <w:tabs>
                <w:tab w:val="left" w:leader="underscore" w:pos="1701"/>
              </w:tabs>
              <w:jc w:val="center"/>
              <w:rPr>
                <w:b/>
                <w:szCs w:val="24"/>
                <w:lang w:eastAsia="lt-LT"/>
              </w:rPr>
            </w:pPr>
            <w:r w:rsidRPr="00DD4C32">
              <w:rPr>
                <w:lang w:eastAsia="lt-LT"/>
              </w:rPr>
              <w:t>IT22-0175</w:t>
            </w:r>
            <w:r w:rsidRPr="006C226C">
              <w:rPr>
                <w:strike/>
                <w:lang w:eastAsia="lt-LT"/>
              </w:rPr>
              <w:t>89</w:t>
            </w:r>
            <w:r w:rsidR="006C226C" w:rsidRPr="006C226C">
              <w:rPr>
                <w:b/>
                <w:lang w:eastAsia="lt-LT"/>
              </w:rPr>
              <w:t>90</w:t>
            </w:r>
          </w:p>
        </w:tc>
        <w:tc>
          <w:tcPr>
            <w:tcW w:w="657" w:type="pct"/>
          </w:tcPr>
          <w:p w14:paraId="773AA5C3" w14:textId="328434E1" w:rsidR="005240DA" w:rsidRPr="00B47EB3" w:rsidRDefault="00DD4C32" w:rsidP="005240DA">
            <w:pPr>
              <w:tabs>
                <w:tab w:val="left" w:leader="underscore" w:pos="1701"/>
              </w:tabs>
              <w:jc w:val="center"/>
              <w:rPr>
                <w:szCs w:val="24"/>
                <w:lang w:eastAsia="lt-LT"/>
              </w:rPr>
            </w:pPr>
            <w:r>
              <w:rPr>
                <w:lang w:eastAsia="lt-LT"/>
              </w:rPr>
              <w:t>1</w:t>
            </w:r>
          </w:p>
        </w:tc>
        <w:tc>
          <w:tcPr>
            <w:tcW w:w="725" w:type="pct"/>
          </w:tcPr>
          <w:p w14:paraId="1FF62ACB" w14:textId="019C1746" w:rsidR="005240DA" w:rsidRPr="00B47EB3" w:rsidRDefault="00DD4C32" w:rsidP="005240DA">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p>
        </w:tc>
      </w:tr>
      <w:tr w:rsidR="005240DA" w:rsidRPr="00E34573" w14:paraId="165FE415" w14:textId="77777777" w:rsidTr="00DD4C32">
        <w:trPr>
          <w:tblHeader/>
        </w:trPr>
        <w:tc>
          <w:tcPr>
            <w:tcW w:w="322" w:type="pct"/>
          </w:tcPr>
          <w:p w14:paraId="294D35BF" w14:textId="60B0360F" w:rsidR="005240DA" w:rsidRPr="00E34573" w:rsidRDefault="00707A4C" w:rsidP="005240DA">
            <w:pPr>
              <w:tabs>
                <w:tab w:val="left" w:leader="underscore" w:pos="1701"/>
              </w:tabs>
              <w:jc w:val="center"/>
              <w:rPr>
                <w:szCs w:val="24"/>
              </w:rPr>
            </w:pPr>
            <w:r>
              <w:rPr>
                <w:szCs w:val="24"/>
              </w:rPr>
              <w:t>2</w:t>
            </w:r>
            <w:r w:rsidR="005240DA">
              <w:rPr>
                <w:szCs w:val="24"/>
              </w:rPr>
              <w:t>.</w:t>
            </w:r>
          </w:p>
        </w:tc>
        <w:tc>
          <w:tcPr>
            <w:tcW w:w="973" w:type="pct"/>
          </w:tcPr>
          <w:p w14:paraId="1213A2B4" w14:textId="31E078C2" w:rsidR="005240DA" w:rsidRPr="00E34573" w:rsidRDefault="005240DA" w:rsidP="005240DA">
            <w:pPr>
              <w:tabs>
                <w:tab w:val="left" w:leader="underscore" w:pos="1701"/>
              </w:tabs>
              <w:rPr>
                <w:szCs w:val="24"/>
              </w:rPr>
            </w:pPr>
            <w:r>
              <w:rPr>
                <w:szCs w:val="24"/>
              </w:rPr>
              <w:t xml:space="preserve">Panevėžio </w:t>
            </w:r>
            <w:r w:rsidR="00DD4C32">
              <w:rPr>
                <w:szCs w:val="24"/>
              </w:rPr>
              <w:t>5-oji gimnazija</w:t>
            </w:r>
          </w:p>
        </w:tc>
        <w:tc>
          <w:tcPr>
            <w:tcW w:w="1532" w:type="pct"/>
          </w:tcPr>
          <w:p w14:paraId="16557D5A" w14:textId="4F2E0308" w:rsidR="005240DA" w:rsidRPr="00B47EB3" w:rsidRDefault="00DD4C32" w:rsidP="005240DA">
            <w:pPr>
              <w:tabs>
                <w:tab w:val="left" w:leader="underscore" w:pos="1701"/>
              </w:tabs>
              <w:jc w:val="both"/>
              <w:rPr>
                <w:szCs w:val="24"/>
                <w:lang w:eastAsia="lt-LT"/>
              </w:rPr>
            </w:pPr>
            <w:r w:rsidRPr="00BA5148">
              <w:rPr>
                <w:color w:val="000000"/>
              </w:rPr>
              <w:t>Kalbų laboratorijos įranga</w:t>
            </w:r>
          </w:p>
        </w:tc>
        <w:tc>
          <w:tcPr>
            <w:tcW w:w="791" w:type="pct"/>
          </w:tcPr>
          <w:p w14:paraId="68B6B4BE" w14:textId="6A62C69F" w:rsidR="005240DA" w:rsidRPr="006C226C" w:rsidRDefault="00DD4C32" w:rsidP="005240DA">
            <w:pPr>
              <w:tabs>
                <w:tab w:val="left" w:leader="underscore" w:pos="1701"/>
              </w:tabs>
              <w:jc w:val="center"/>
              <w:rPr>
                <w:b/>
                <w:szCs w:val="24"/>
                <w:lang w:eastAsia="lt-LT"/>
              </w:rPr>
            </w:pPr>
            <w:r w:rsidRPr="00DD4C32">
              <w:rPr>
                <w:lang w:eastAsia="lt-LT"/>
              </w:rPr>
              <w:t>IT22-0175</w:t>
            </w:r>
            <w:r w:rsidRPr="006C226C">
              <w:rPr>
                <w:strike/>
                <w:lang w:eastAsia="lt-LT"/>
              </w:rPr>
              <w:t>90</w:t>
            </w:r>
            <w:r w:rsidR="006C226C">
              <w:rPr>
                <w:b/>
                <w:lang w:eastAsia="lt-LT"/>
              </w:rPr>
              <w:t>89</w:t>
            </w:r>
          </w:p>
        </w:tc>
        <w:tc>
          <w:tcPr>
            <w:tcW w:w="657" w:type="pct"/>
          </w:tcPr>
          <w:p w14:paraId="4440CF10" w14:textId="0176C6EA" w:rsidR="005240DA" w:rsidRPr="00B47EB3" w:rsidRDefault="00DD4C32" w:rsidP="005240DA">
            <w:pPr>
              <w:tabs>
                <w:tab w:val="left" w:leader="underscore" w:pos="1701"/>
              </w:tabs>
              <w:jc w:val="center"/>
              <w:rPr>
                <w:szCs w:val="24"/>
                <w:lang w:eastAsia="lt-LT"/>
              </w:rPr>
            </w:pPr>
            <w:r>
              <w:rPr>
                <w:lang w:eastAsia="lt-LT"/>
              </w:rPr>
              <w:t>1</w:t>
            </w:r>
          </w:p>
        </w:tc>
        <w:tc>
          <w:tcPr>
            <w:tcW w:w="725" w:type="pct"/>
          </w:tcPr>
          <w:p w14:paraId="05548430" w14:textId="0E3969F7" w:rsidR="005240DA" w:rsidRPr="00B47EB3" w:rsidRDefault="00DD4C32" w:rsidP="005240DA">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p>
        </w:tc>
      </w:tr>
      <w:tr w:rsidR="00DD4C32" w:rsidRPr="00216410" w14:paraId="32B61241" w14:textId="77777777" w:rsidTr="00DD4C32">
        <w:trPr>
          <w:tblHeader/>
        </w:trPr>
        <w:tc>
          <w:tcPr>
            <w:tcW w:w="3618" w:type="pct"/>
            <w:gridSpan w:val="4"/>
          </w:tcPr>
          <w:p w14:paraId="6FD99E10" w14:textId="6C57F6B1" w:rsidR="00DD4C32" w:rsidRPr="00216410" w:rsidRDefault="00DD4C32" w:rsidP="00DD4C32">
            <w:pPr>
              <w:tabs>
                <w:tab w:val="left" w:leader="underscore" w:pos="1701"/>
              </w:tabs>
              <w:jc w:val="right"/>
              <w:rPr>
                <w:b/>
                <w:szCs w:val="24"/>
                <w:lang w:eastAsia="lt-LT"/>
              </w:rPr>
            </w:pPr>
            <w:r>
              <w:rPr>
                <w:b/>
                <w:szCs w:val="24"/>
                <w:lang w:eastAsia="lt-LT"/>
              </w:rPr>
              <w:t>Iš viso:</w:t>
            </w:r>
          </w:p>
        </w:tc>
        <w:tc>
          <w:tcPr>
            <w:tcW w:w="657" w:type="pct"/>
          </w:tcPr>
          <w:p w14:paraId="0A91BF6E" w14:textId="2C4A41E6" w:rsidR="00DD4C32" w:rsidRPr="00216410" w:rsidRDefault="00DD4C32" w:rsidP="005240DA">
            <w:pPr>
              <w:tabs>
                <w:tab w:val="left" w:leader="underscore" w:pos="1701"/>
              </w:tabs>
              <w:jc w:val="center"/>
              <w:rPr>
                <w:b/>
                <w:szCs w:val="24"/>
                <w:lang w:eastAsia="lt-LT"/>
              </w:rPr>
            </w:pPr>
            <w:r>
              <w:rPr>
                <w:b/>
                <w:szCs w:val="24"/>
                <w:lang w:eastAsia="lt-LT"/>
              </w:rPr>
              <w:t>2</w:t>
            </w:r>
          </w:p>
        </w:tc>
        <w:tc>
          <w:tcPr>
            <w:tcW w:w="725" w:type="pct"/>
          </w:tcPr>
          <w:p w14:paraId="14699CEE" w14:textId="42C73BA6" w:rsidR="00DD4C32" w:rsidRPr="00216410" w:rsidRDefault="00DD4C32" w:rsidP="005240DA">
            <w:pPr>
              <w:tabs>
                <w:tab w:val="left" w:leader="underscore" w:pos="1701"/>
              </w:tabs>
              <w:jc w:val="center"/>
              <w:rPr>
                <w:b/>
                <w:szCs w:val="24"/>
                <w:lang w:eastAsia="lt-LT"/>
              </w:rPr>
            </w:pPr>
            <w:r>
              <w:rPr>
                <w:b/>
                <w:bCs/>
              </w:rPr>
              <w:t>31 977,88</w:t>
            </w:r>
          </w:p>
        </w:tc>
      </w:tr>
    </w:tbl>
    <w:p w14:paraId="135755CB" w14:textId="482E5D93" w:rsidR="00243196" w:rsidRDefault="00243196" w:rsidP="006F149F">
      <w:pPr>
        <w:rPr>
          <w:rFonts w:eastAsia="Calibri"/>
          <w:sz w:val="22"/>
          <w:szCs w:val="22"/>
        </w:rPr>
      </w:pPr>
      <w:r>
        <w:rPr>
          <w:rFonts w:eastAsia="Calibri"/>
          <w:sz w:val="22"/>
          <w:szCs w:val="22"/>
        </w:rPr>
        <w:br w:type="page"/>
      </w:r>
    </w:p>
    <w:p w14:paraId="1EF26490" w14:textId="77777777" w:rsidR="00243196" w:rsidRPr="00271AF5" w:rsidRDefault="00243196" w:rsidP="00243196">
      <w:pPr>
        <w:tabs>
          <w:tab w:val="left" w:pos="7371"/>
        </w:tabs>
        <w:ind w:firstLine="5245"/>
        <w:rPr>
          <w:szCs w:val="24"/>
        </w:rPr>
      </w:pPr>
      <w:r w:rsidRPr="00271AF5">
        <w:rPr>
          <w:szCs w:val="24"/>
        </w:rPr>
        <w:lastRenderedPageBreak/>
        <w:t xml:space="preserve">Panevėžio miesto savivaldybės tarybos </w:t>
      </w:r>
    </w:p>
    <w:p w14:paraId="5408B0EB" w14:textId="77777777" w:rsidR="00243196" w:rsidRPr="00271AF5" w:rsidRDefault="00243196" w:rsidP="00243196">
      <w:pPr>
        <w:tabs>
          <w:tab w:val="left" w:pos="7371"/>
        </w:tabs>
        <w:ind w:firstLine="5245"/>
        <w:rPr>
          <w:szCs w:val="24"/>
        </w:rPr>
      </w:pPr>
      <w:r>
        <w:rPr>
          <w:szCs w:val="24"/>
        </w:rPr>
        <w:t xml:space="preserve">                                 </w:t>
      </w:r>
      <w:r w:rsidRPr="00271AF5">
        <w:rPr>
          <w:szCs w:val="24"/>
        </w:rPr>
        <w:t xml:space="preserve"> sprendimo Nr. </w:t>
      </w:r>
    </w:p>
    <w:p w14:paraId="6C780195" w14:textId="3DB9E4FF" w:rsidR="00243196" w:rsidRPr="00271AF5" w:rsidRDefault="003F3FD6" w:rsidP="00243196">
      <w:pPr>
        <w:ind w:firstLine="5245"/>
        <w:jc w:val="both"/>
        <w:rPr>
          <w:szCs w:val="24"/>
        </w:rPr>
      </w:pPr>
      <w:r>
        <w:rPr>
          <w:szCs w:val="24"/>
        </w:rPr>
        <w:t>4</w:t>
      </w:r>
      <w:r w:rsidR="00243196" w:rsidRPr="00271AF5">
        <w:rPr>
          <w:szCs w:val="24"/>
        </w:rPr>
        <w:t xml:space="preserve"> priedas</w:t>
      </w:r>
    </w:p>
    <w:p w14:paraId="52E1A5A4" w14:textId="77777777" w:rsidR="00243196" w:rsidRPr="00271AF5" w:rsidRDefault="00243196" w:rsidP="00243196">
      <w:pPr>
        <w:ind w:firstLine="5245"/>
        <w:jc w:val="both"/>
        <w:rPr>
          <w:szCs w:val="24"/>
        </w:rPr>
      </w:pPr>
    </w:p>
    <w:p w14:paraId="359C6FCD" w14:textId="77777777" w:rsidR="00243196" w:rsidRDefault="00243196" w:rsidP="00243196">
      <w:pPr>
        <w:jc w:val="center"/>
        <w:rPr>
          <w:b/>
          <w:szCs w:val="22"/>
        </w:rPr>
      </w:pPr>
    </w:p>
    <w:p w14:paraId="4D79E28A" w14:textId="3D678446" w:rsidR="00243196" w:rsidRPr="00914FBF" w:rsidRDefault="00243196" w:rsidP="00243196">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w:t>
      </w:r>
      <w:r w:rsidR="003F3FD6">
        <w:rPr>
          <w:b/>
          <w:bCs/>
        </w:rPr>
        <w:t>TRUMPALAIKIO</w:t>
      </w:r>
      <w:r w:rsidRPr="00655F35">
        <w:rPr>
          <w:b/>
          <w:bCs/>
        </w:rPr>
        <w:t xml:space="preserve"> TURTO</w:t>
      </w:r>
      <w:r>
        <w:rPr>
          <w:b/>
          <w:bCs/>
        </w:rPr>
        <w:t xml:space="preserve"> </w:t>
      </w:r>
      <w:r w:rsidRPr="00655F35">
        <w:rPr>
          <w:b/>
          <w:bCs/>
        </w:rPr>
        <w:t>SĄ</w:t>
      </w:r>
      <w:r>
        <w:rPr>
          <w:b/>
          <w:bCs/>
        </w:rPr>
        <w:t>RAŠAS</w:t>
      </w:r>
    </w:p>
    <w:p w14:paraId="57F4A485" w14:textId="77777777" w:rsidR="00243196" w:rsidRPr="00271AF5" w:rsidRDefault="00243196" w:rsidP="00243196">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243196" w:rsidRPr="00E34573" w14:paraId="64924537" w14:textId="77777777" w:rsidTr="00201770">
        <w:trPr>
          <w:cantSplit/>
        </w:trPr>
        <w:tc>
          <w:tcPr>
            <w:tcW w:w="362" w:type="pct"/>
          </w:tcPr>
          <w:p w14:paraId="5F585ABB" w14:textId="77777777" w:rsidR="00243196" w:rsidRPr="00E34573" w:rsidRDefault="00243196" w:rsidP="00201770">
            <w:pPr>
              <w:tabs>
                <w:tab w:val="left" w:leader="underscore" w:pos="1701"/>
              </w:tabs>
              <w:jc w:val="center"/>
              <w:rPr>
                <w:b/>
                <w:szCs w:val="24"/>
              </w:rPr>
            </w:pPr>
            <w:r w:rsidRPr="00E34573">
              <w:rPr>
                <w:b/>
                <w:szCs w:val="24"/>
              </w:rPr>
              <w:t>Eil. Nr.</w:t>
            </w:r>
          </w:p>
        </w:tc>
        <w:tc>
          <w:tcPr>
            <w:tcW w:w="1011" w:type="pct"/>
          </w:tcPr>
          <w:p w14:paraId="5B9D9EA9" w14:textId="77777777" w:rsidR="00243196" w:rsidRPr="00E34573" w:rsidRDefault="00243196" w:rsidP="00201770">
            <w:pPr>
              <w:tabs>
                <w:tab w:val="left" w:leader="underscore" w:pos="1701"/>
              </w:tabs>
              <w:jc w:val="center"/>
              <w:rPr>
                <w:b/>
                <w:szCs w:val="24"/>
              </w:rPr>
            </w:pPr>
            <w:r w:rsidRPr="00E34573">
              <w:rPr>
                <w:b/>
                <w:szCs w:val="24"/>
              </w:rPr>
              <w:t>Įstaigos pavadinimas</w:t>
            </w:r>
          </w:p>
        </w:tc>
        <w:tc>
          <w:tcPr>
            <w:tcW w:w="1572" w:type="pct"/>
          </w:tcPr>
          <w:p w14:paraId="48DC945B" w14:textId="77777777" w:rsidR="00243196" w:rsidRPr="00E34573" w:rsidRDefault="00243196" w:rsidP="00201770">
            <w:pPr>
              <w:tabs>
                <w:tab w:val="left" w:leader="underscore" w:pos="1701"/>
              </w:tabs>
              <w:jc w:val="center"/>
              <w:rPr>
                <w:b/>
                <w:szCs w:val="24"/>
              </w:rPr>
            </w:pPr>
            <w:r w:rsidRPr="00E34573">
              <w:rPr>
                <w:b/>
                <w:szCs w:val="24"/>
              </w:rPr>
              <w:t>Turto pavadinimas</w:t>
            </w:r>
          </w:p>
        </w:tc>
        <w:tc>
          <w:tcPr>
            <w:tcW w:w="593" w:type="pct"/>
          </w:tcPr>
          <w:p w14:paraId="51345487" w14:textId="77777777" w:rsidR="00243196" w:rsidRPr="00E34573" w:rsidRDefault="00243196" w:rsidP="00201770">
            <w:pPr>
              <w:tabs>
                <w:tab w:val="left" w:leader="underscore" w:pos="1701"/>
              </w:tabs>
              <w:jc w:val="center"/>
              <w:rPr>
                <w:b/>
                <w:szCs w:val="24"/>
              </w:rPr>
            </w:pPr>
            <w:r w:rsidRPr="00E34573">
              <w:rPr>
                <w:b/>
                <w:szCs w:val="24"/>
              </w:rPr>
              <w:t>Kiekis vnt.</w:t>
            </w:r>
          </w:p>
        </w:tc>
        <w:tc>
          <w:tcPr>
            <w:tcW w:w="697" w:type="pct"/>
          </w:tcPr>
          <w:p w14:paraId="5F9BA757" w14:textId="77777777" w:rsidR="00243196" w:rsidRPr="00E34573" w:rsidRDefault="00243196" w:rsidP="00201770">
            <w:pPr>
              <w:tabs>
                <w:tab w:val="left" w:leader="underscore" w:pos="1701"/>
              </w:tabs>
              <w:jc w:val="center"/>
              <w:rPr>
                <w:b/>
                <w:szCs w:val="24"/>
              </w:rPr>
            </w:pPr>
            <w:r w:rsidRPr="00E34573">
              <w:rPr>
                <w:b/>
                <w:szCs w:val="24"/>
              </w:rPr>
              <w:t xml:space="preserve">Vieneto įsigijimo </w:t>
            </w:r>
            <w:r>
              <w:rPr>
                <w:b/>
                <w:szCs w:val="24"/>
              </w:rPr>
              <w:t>savikaina</w:t>
            </w:r>
            <w:r w:rsidRPr="00E34573">
              <w:rPr>
                <w:b/>
                <w:szCs w:val="24"/>
              </w:rPr>
              <w:t xml:space="preserve"> Eur</w:t>
            </w:r>
          </w:p>
        </w:tc>
        <w:tc>
          <w:tcPr>
            <w:tcW w:w="765" w:type="pct"/>
          </w:tcPr>
          <w:p w14:paraId="716FAED0" w14:textId="77777777" w:rsidR="00243196" w:rsidRPr="00E34573" w:rsidRDefault="00243196" w:rsidP="00201770">
            <w:pPr>
              <w:tabs>
                <w:tab w:val="left" w:leader="underscore" w:pos="1701"/>
              </w:tabs>
              <w:jc w:val="center"/>
              <w:rPr>
                <w:b/>
                <w:szCs w:val="24"/>
              </w:rPr>
            </w:pPr>
            <w:r w:rsidRPr="00E34573">
              <w:rPr>
                <w:b/>
                <w:szCs w:val="24"/>
              </w:rPr>
              <w:t>Bendra įsigijimo vertė Eur</w:t>
            </w:r>
          </w:p>
        </w:tc>
      </w:tr>
      <w:tr w:rsidR="00243196" w:rsidRPr="00E34573" w14:paraId="4BF2D33D" w14:textId="77777777" w:rsidTr="00201770">
        <w:trPr>
          <w:tblHeader/>
        </w:trPr>
        <w:tc>
          <w:tcPr>
            <w:tcW w:w="362" w:type="pct"/>
          </w:tcPr>
          <w:p w14:paraId="5A763F4C" w14:textId="77777777" w:rsidR="00243196" w:rsidRPr="00E34573" w:rsidRDefault="00243196" w:rsidP="00201770">
            <w:pPr>
              <w:tabs>
                <w:tab w:val="left" w:leader="underscore" w:pos="1701"/>
              </w:tabs>
              <w:jc w:val="center"/>
              <w:rPr>
                <w:szCs w:val="24"/>
              </w:rPr>
            </w:pPr>
            <w:r w:rsidRPr="00E34573">
              <w:rPr>
                <w:szCs w:val="24"/>
              </w:rPr>
              <w:t>1.</w:t>
            </w:r>
          </w:p>
        </w:tc>
        <w:tc>
          <w:tcPr>
            <w:tcW w:w="1011" w:type="pct"/>
          </w:tcPr>
          <w:p w14:paraId="05672B2B" w14:textId="568CA628" w:rsidR="00243196" w:rsidRPr="00E34573" w:rsidRDefault="003F3FD6" w:rsidP="00201770">
            <w:pPr>
              <w:tabs>
                <w:tab w:val="left" w:leader="underscore" w:pos="1701"/>
              </w:tabs>
              <w:rPr>
                <w:szCs w:val="24"/>
              </w:rPr>
            </w:pPr>
            <w:r w:rsidRPr="003F3FD6">
              <w:rPr>
                <w:szCs w:val="24"/>
              </w:rPr>
              <w:t>Panevėžio Juozo Balčikonio gimnazija</w:t>
            </w:r>
          </w:p>
        </w:tc>
        <w:tc>
          <w:tcPr>
            <w:tcW w:w="1572" w:type="pct"/>
          </w:tcPr>
          <w:p w14:paraId="61EFBAF4" w14:textId="733C53FA" w:rsidR="00707A4C" w:rsidRPr="002D0BF4" w:rsidRDefault="00707A4C" w:rsidP="00201770">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44E41488" w14:textId="31B3A6A9" w:rsidR="00243196" w:rsidRPr="00E34573" w:rsidRDefault="003F3FD6" w:rsidP="00201770">
            <w:pPr>
              <w:tabs>
                <w:tab w:val="left" w:leader="underscore" w:pos="1701"/>
              </w:tabs>
              <w:jc w:val="center"/>
              <w:rPr>
                <w:szCs w:val="24"/>
              </w:rPr>
            </w:pPr>
            <w:r>
              <w:rPr>
                <w:szCs w:val="24"/>
              </w:rPr>
              <w:t>40</w:t>
            </w:r>
          </w:p>
        </w:tc>
        <w:tc>
          <w:tcPr>
            <w:tcW w:w="697" w:type="pct"/>
          </w:tcPr>
          <w:p w14:paraId="7CF482D7" w14:textId="1BD2D1BE" w:rsidR="00243196" w:rsidRPr="00E34573" w:rsidRDefault="003F3FD6" w:rsidP="00201770">
            <w:pPr>
              <w:tabs>
                <w:tab w:val="left" w:leader="underscore" w:pos="1701"/>
              </w:tabs>
              <w:jc w:val="center"/>
              <w:rPr>
                <w:szCs w:val="24"/>
              </w:rPr>
            </w:pPr>
            <w:r w:rsidRPr="00765D66">
              <w:rPr>
                <w:color w:val="000000"/>
                <w:szCs w:val="24"/>
                <w:lang w:eastAsia="lt-LT"/>
              </w:rPr>
              <w:t>502,10</w:t>
            </w:r>
          </w:p>
        </w:tc>
        <w:tc>
          <w:tcPr>
            <w:tcW w:w="765" w:type="pct"/>
          </w:tcPr>
          <w:p w14:paraId="4B4C5F5A" w14:textId="6C6E9AE0" w:rsidR="00243196" w:rsidRPr="00E34573" w:rsidRDefault="003F3FD6" w:rsidP="00201770">
            <w:pPr>
              <w:tabs>
                <w:tab w:val="left" w:leader="underscore" w:pos="1701"/>
              </w:tabs>
              <w:jc w:val="center"/>
              <w:rPr>
                <w:szCs w:val="24"/>
              </w:rPr>
            </w:pPr>
            <w:r w:rsidRPr="003F3FD6">
              <w:rPr>
                <w:szCs w:val="24"/>
              </w:rPr>
              <w:t>20</w:t>
            </w:r>
            <w:r w:rsidR="002D0BF4">
              <w:rPr>
                <w:szCs w:val="24"/>
              </w:rPr>
              <w:t xml:space="preserve"> </w:t>
            </w:r>
            <w:r w:rsidRPr="003F3FD6">
              <w:rPr>
                <w:szCs w:val="24"/>
              </w:rPr>
              <w:t>084</w:t>
            </w:r>
            <w:r>
              <w:rPr>
                <w:szCs w:val="24"/>
              </w:rPr>
              <w:t>,00</w:t>
            </w:r>
          </w:p>
        </w:tc>
      </w:tr>
      <w:tr w:rsidR="003F3FD6" w:rsidRPr="00E34573" w14:paraId="33D87021" w14:textId="77777777" w:rsidTr="00201770">
        <w:trPr>
          <w:tblHeader/>
        </w:trPr>
        <w:tc>
          <w:tcPr>
            <w:tcW w:w="362" w:type="pct"/>
          </w:tcPr>
          <w:p w14:paraId="53D3F5C9" w14:textId="77777777" w:rsidR="003F3FD6" w:rsidRPr="00E34573" w:rsidRDefault="003F3FD6" w:rsidP="003F3FD6">
            <w:pPr>
              <w:tabs>
                <w:tab w:val="left" w:leader="underscore" w:pos="1701"/>
              </w:tabs>
              <w:jc w:val="center"/>
              <w:rPr>
                <w:szCs w:val="24"/>
              </w:rPr>
            </w:pPr>
            <w:r>
              <w:rPr>
                <w:szCs w:val="24"/>
              </w:rPr>
              <w:t>2.</w:t>
            </w:r>
          </w:p>
        </w:tc>
        <w:tc>
          <w:tcPr>
            <w:tcW w:w="1011" w:type="pct"/>
          </w:tcPr>
          <w:p w14:paraId="0588F24B" w14:textId="7E4B565C" w:rsidR="003F3FD6" w:rsidRPr="00E34573" w:rsidRDefault="003F3FD6" w:rsidP="003F3FD6">
            <w:pPr>
              <w:tabs>
                <w:tab w:val="left" w:leader="underscore" w:pos="1701"/>
              </w:tabs>
              <w:rPr>
                <w:szCs w:val="24"/>
              </w:rPr>
            </w:pPr>
            <w:r w:rsidRPr="003F3FD6">
              <w:rPr>
                <w:szCs w:val="24"/>
              </w:rPr>
              <w:t>Panevėžio Vytauto Žemkalnio gimnazija</w:t>
            </w:r>
          </w:p>
        </w:tc>
        <w:tc>
          <w:tcPr>
            <w:tcW w:w="1572" w:type="pct"/>
          </w:tcPr>
          <w:p w14:paraId="71C3EBA7" w14:textId="1B7F0700"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4345FA8" w14:textId="44D10A8B" w:rsidR="003F3FD6" w:rsidRPr="00B47EB3" w:rsidRDefault="003F3FD6" w:rsidP="003F3FD6">
            <w:pPr>
              <w:tabs>
                <w:tab w:val="left" w:leader="underscore" w:pos="1701"/>
              </w:tabs>
              <w:jc w:val="center"/>
              <w:rPr>
                <w:szCs w:val="24"/>
                <w:lang w:eastAsia="lt-LT"/>
              </w:rPr>
            </w:pPr>
            <w:r>
              <w:rPr>
                <w:szCs w:val="24"/>
              </w:rPr>
              <w:t>40</w:t>
            </w:r>
          </w:p>
        </w:tc>
        <w:tc>
          <w:tcPr>
            <w:tcW w:w="697" w:type="pct"/>
          </w:tcPr>
          <w:p w14:paraId="6846586A" w14:textId="4AB22DA3"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6DBAD709" w14:textId="6A38635B"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69BAC928" w14:textId="77777777" w:rsidTr="00201770">
        <w:trPr>
          <w:tblHeader/>
        </w:trPr>
        <w:tc>
          <w:tcPr>
            <w:tcW w:w="362" w:type="pct"/>
          </w:tcPr>
          <w:p w14:paraId="520ED2EA" w14:textId="77777777" w:rsidR="003F3FD6" w:rsidRPr="00E34573" w:rsidRDefault="003F3FD6" w:rsidP="003F3FD6">
            <w:pPr>
              <w:tabs>
                <w:tab w:val="left" w:leader="underscore" w:pos="1701"/>
              </w:tabs>
              <w:jc w:val="center"/>
              <w:rPr>
                <w:szCs w:val="24"/>
              </w:rPr>
            </w:pPr>
            <w:r>
              <w:rPr>
                <w:szCs w:val="24"/>
              </w:rPr>
              <w:t>3.</w:t>
            </w:r>
          </w:p>
        </w:tc>
        <w:tc>
          <w:tcPr>
            <w:tcW w:w="1011" w:type="pct"/>
          </w:tcPr>
          <w:p w14:paraId="1DBE37D9" w14:textId="415DE550" w:rsidR="003F3FD6" w:rsidRPr="00E34573"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Vilties</w:t>
            </w:r>
            <w:r w:rsidR="002D0BF4">
              <w:rPr>
                <w:szCs w:val="24"/>
              </w:rPr>
              <w:t>“</w:t>
            </w:r>
            <w:r w:rsidRPr="003F3FD6">
              <w:rPr>
                <w:szCs w:val="24"/>
              </w:rPr>
              <w:t xml:space="preserve"> progimnazija</w:t>
            </w:r>
          </w:p>
        </w:tc>
        <w:tc>
          <w:tcPr>
            <w:tcW w:w="1572" w:type="pct"/>
          </w:tcPr>
          <w:p w14:paraId="25713555" w14:textId="526E5C87"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317CBE2" w14:textId="4BA39617" w:rsidR="003F3FD6" w:rsidRPr="00B47EB3" w:rsidRDefault="003F3FD6" w:rsidP="003F3FD6">
            <w:pPr>
              <w:tabs>
                <w:tab w:val="left" w:leader="underscore" w:pos="1701"/>
              </w:tabs>
              <w:jc w:val="center"/>
              <w:rPr>
                <w:szCs w:val="24"/>
                <w:lang w:eastAsia="lt-LT"/>
              </w:rPr>
            </w:pPr>
            <w:r>
              <w:rPr>
                <w:szCs w:val="24"/>
              </w:rPr>
              <w:t>48</w:t>
            </w:r>
          </w:p>
        </w:tc>
        <w:tc>
          <w:tcPr>
            <w:tcW w:w="697" w:type="pct"/>
          </w:tcPr>
          <w:p w14:paraId="42F553F3" w14:textId="5C2EBCCB"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58A2699E" w14:textId="10488E20" w:rsidR="003F3FD6" w:rsidRPr="00B47EB3" w:rsidRDefault="003F3FD6" w:rsidP="003F3FD6">
            <w:pPr>
              <w:tabs>
                <w:tab w:val="left" w:leader="underscore" w:pos="1701"/>
              </w:tabs>
              <w:jc w:val="center"/>
              <w:rPr>
                <w:szCs w:val="24"/>
                <w:lang w:eastAsia="lt-LT"/>
              </w:rPr>
            </w:pPr>
            <w:r w:rsidRPr="003F3FD6">
              <w:rPr>
                <w:szCs w:val="24"/>
              </w:rPr>
              <w:t>24</w:t>
            </w:r>
            <w:r w:rsidR="002D0BF4">
              <w:rPr>
                <w:szCs w:val="24"/>
              </w:rPr>
              <w:t xml:space="preserve"> </w:t>
            </w:r>
            <w:r w:rsidRPr="003F3FD6">
              <w:rPr>
                <w:szCs w:val="24"/>
              </w:rPr>
              <w:t>100,8</w:t>
            </w:r>
            <w:r>
              <w:rPr>
                <w:szCs w:val="24"/>
              </w:rPr>
              <w:t>0</w:t>
            </w:r>
          </w:p>
        </w:tc>
      </w:tr>
      <w:tr w:rsidR="003F3FD6" w:rsidRPr="00E34573" w14:paraId="2F56A92B" w14:textId="77777777" w:rsidTr="00201770">
        <w:trPr>
          <w:tblHeader/>
        </w:trPr>
        <w:tc>
          <w:tcPr>
            <w:tcW w:w="362" w:type="pct"/>
          </w:tcPr>
          <w:p w14:paraId="3343CDC3" w14:textId="77777777" w:rsidR="003F3FD6" w:rsidRPr="00E34573" w:rsidRDefault="003F3FD6" w:rsidP="003F3FD6">
            <w:pPr>
              <w:tabs>
                <w:tab w:val="left" w:leader="underscore" w:pos="1701"/>
              </w:tabs>
              <w:jc w:val="center"/>
              <w:rPr>
                <w:szCs w:val="24"/>
              </w:rPr>
            </w:pPr>
            <w:r>
              <w:rPr>
                <w:szCs w:val="24"/>
              </w:rPr>
              <w:t>4.</w:t>
            </w:r>
          </w:p>
        </w:tc>
        <w:tc>
          <w:tcPr>
            <w:tcW w:w="1011" w:type="pct"/>
          </w:tcPr>
          <w:p w14:paraId="4B397367" w14:textId="794E0850" w:rsidR="003F3FD6" w:rsidRPr="00E34573" w:rsidRDefault="003F3FD6" w:rsidP="003F3FD6">
            <w:pPr>
              <w:tabs>
                <w:tab w:val="left" w:leader="underscore" w:pos="1701"/>
              </w:tabs>
              <w:rPr>
                <w:szCs w:val="24"/>
              </w:rPr>
            </w:pPr>
            <w:r w:rsidRPr="003F3FD6">
              <w:rPr>
                <w:szCs w:val="24"/>
              </w:rPr>
              <w:t>Panevėžio 5-oji gimnazija</w:t>
            </w:r>
          </w:p>
        </w:tc>
        <w:tc>
          <w:tcPr>
            <w:tcW w:w="1572" w:type="pct"/>
          </w:tcPr>
          <w:p w14:paraId="760D0DC8" w14:textId="2BFECCC1"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w:t>
            </w:r>
            <w:r w:rsidRPr="00707A4C">
              <w:rPr>
                <w:szCs w:val="24"/>
              </w:rPr>
              <w:lastRenderedPageBreak/>
              <w:t xml:space="preserve">licencija), kompiuteriui </w:t>
            </w:r>
            <w:r>
              <w:rPr>
                <w:szCs w:val="24"/>
              </w:rPr>
              <w:t>tinkanti</w:t>
            </w:r>
            <w:r w:rsidRPr="00707A4C">
              <w:rPr>
                <w:szCs w:val="24"/>
              </w:rPr>
              <w:t xml:space="preserve"> laidinė pelė (paženklinta CE ženklu), USB jungtis</w:t>
            </w:r>
          </w:p>
        </w:tc>
        <w:tc>
          <w:tcPr>
            <w:tcW w:w="593" w:type="pct"/>
          </w:tcPr>
          <w:p w14:paraId="6DD6A9EA" w14:textId="13F98635" w:rsidR="003F3FD6" w:rsidRPr="00B47EB3" w:rsidRDefault="003F3FD6" w:rsidP="003F3FD6">
            <w:pPr>
              <w:tabs>
                <w:tab w:val="left" w:leader="underscore" w:pos="1701"/>
              </w:tabs>
              <w:jc w:val="center"/>
              <w:rPr>
                <w:szCs w:val="24"/>
                <w:lang w:eastAsia="lt-LT"/>
              </w:rPr>
            </w:pPr>
            <w:r>
              <w:rPr>
                <w:szCs w:val="24"/>
              </w:rPr>
              <w:lastRenderedPageBreak/>
              <w:t>40</w:t>
            </w:r>
          </w:p>
        </w:tc>
        <w:tc>
          <w:tcPr>
            <w:tcW w:w="697" w:type="pct"/>
          </w:tcPr>
          <w:p w14:paraId="5F416460" w14:textId="623D6896"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6AB4A624" w14:textId="4B93476D"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0A2E6B21" w14:textId="77777777" w:rsidTr="00201770">
        <w:trPr>
          <w:tblHeader/>
        </w:trPr>
        <w:tc>
          <w:tcPr>
            <w:tcW w:w="362" w:type="pct"/>
          </w:tcPr>
          <w:p w14:paraId="6DB9822E" w14:textId="77777777" w:rsidR="003F3FD6" w:rsidRPr="00E34573" w:rsidRDefault="003F3FD6" w:rsidP="003F3FD6">
            <w:pPr>
              <w:tabs>
                <w:tab w:val="left" w:leader="underscore" w:pos="1701"/>
              </w:tabs>
              <w:jc w:val="center"/>
              <w:rPr>
                <w:szCs w:val="24"/>
              </w:rPr>
            </w:pPr>
            <w:r>
              <w:rPr>
                <w:szCs w:val="24"/>
              </w:rPr>
              <w:t>5.</w:t>
            </w:r>
          </w:p>
        </w:tc>
        <w:tc>
          <w:tcPr>
            <w:tcW w:w="1011" w:type="pct"/>
          </w:tcPr>
          <w:p w14:paraId="00C40E22" w14:textId="5D47842A" w:rsidR="003F3FD6" w:rsidRPr="00E34573" w:rsidRDefault="003F3FD6" w:rsidP="003F3FD6">
            <w:pPr>
              <w:tabs>
                <w:tab w:val="left" w:leader="underscore" w:pos="1701"/>
              </w:tabs>
              <w:rPr>
                <w:szCs w:val="24"/>
              </w:rPr>
            </w:pPr>
            <w:r w:rsidRPr="003F3FD6">
              <w:rPr>
                <w:szCs w:val="24"/>
              </w:rPr>
              <w:t>Panevėžio Juozo Miltinio gimnazija</w:t>
            </w:r>
          </w:p>
        </w:tc>
        <w:tc>
          <w:tcPr>
            <w:tcW w:w="1572" w:type="pct"/>
          </w:tcPr>
          <w:p w14:paraId="7C5EE5B8" w14:textId="44DA3158" w:rsidR="003F3FD6" w:rsidRPr="00B47EB3" w:rsidRDefault="002D0BF4" w:rsidP="003F3FD6">
            <w:pPr>
              <w:tabs>
                <w:tab w:val="left" w:leader="underscore" w:pos="1701"/>
              </w:tabs>
              <w:jc w:val="both"/>
              <w:rPr>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F9FCCF6" w14:textId="3D5CCE3F" w:rsidR="003F3FD6" w:rsidRPr="00B47EB3" w:rsidRDefault="003F3FD6" w:rsidP="003F3FD6">
            <w:pPr>
              <w:tabs>
                <w:tab w:val="left" w:leader="underscore" w:pos="1701"/>
              </w:tabs>
              <w:jc w:val="center"/>
              <w:rPr>
                <w:szCs w:val="24"/>
                <w:lang w:eastAsia="lt-LT"/>
              </w:rPr>
            </w:pPr>
            <w:r>
              <w:rPr>
                <w:szCs w:val="24"/>
              </w:rPr>
              <w:t>40</w:t>
            </w:r>
          </w:p>
        </w:tc>
        <w:tc>
          <w:tcPr>
            <w:tcW w:w="697" w:type="pct"/>
          </w:tcPr>
          <w:p w14:paraId="1086EE2F" w14:textId="238DA420" w:rsidR="003F3FD6" w:rsidRPr="00B47EB3" w:rsidRDefault="003F3FD6" w:rsidP="003F3FD6">
            <w:pPr>
              <w:tabs>
                <w:tab w:val="left" w:leader="underscore" w:pos="1701"/>
              </w:tabs>
              <w:jc w:val="center"/>
              <w:rPr>
                <w:szCs w:val="24"/>
                <w:lang w:eastAsia="lt-LT"/>
              </w:rPr>
            </w:pPr>
            <w:r w:rsidRPr="00765D66">
              <w:rPr>
                <w:color w:val="000000"/>
                <w:szCs w:val="24"/>
                <w:lang w:eastAsia="lt-LT"/>
              </w:rPr>
              <w:t>502,10</w:t>
            </w:r>
          </w:p>
        </w:tc>
        <w:tc>
          <w:tcPr>
            <w:tcW w:w="765" w:type="pct"/>
          </w:tcPr>
          <w:p w14:paraId="236C3B5F" w14:textId="1484F40D" w:rsidR="003F3FD6" w:rsidRPr="00B47EB3" w:rsidRDefault="003F3FD6" w:rsidP="003F3FD6">
            <w:pPr>
              <w:tabs>
                <w:tab w:val="left" w:leader="underscore" w:pos="1701"/>
              </w:tabs>
              <w:jc w:val="center"/>
              <w:rPr>
                <w:szCs w:val="24"/>
                <w:lang w:eastAsia="lt-LT"/>
              </w:rPr>
            </w:pPr>
            <w:r w:rsidRPr="003F3FD6">
              <w:rPr>
                <w:szCs w:val="24"/>
              </w:rPr>
              <w:t>20</w:t>
            </w:r>
            <w:r w:rsidR="002D0BF4">
              <w:rPr>
                <w:szCs w:val="24"/>
              </w:rPr>
              <w:t xml:space="preserve"> </w:t>
            </w:r>
            <w:r w:rsidRPr="003F3FD6">
              <w:rPr>
                <w:szCs w:val="24"/>
              </w:rPr>
              <w:t>084</w:t>
            </w:r>
            <w:r>
              <w:rPr>
                <w:szCs w:val="24"/>
              </w:rPr>
              <w:t>,00</w:t>
            </w:r>
          </w:p>
        </w:tc>
      </w:tr>
      <w:tr w:rsidR="003F3FD6" w:rsidRPr="00E34573" w14:paraId="7E121C5B" w14:textId="77777777" w:rsidTr="00201770">
        <w:trPr>
          <w:tblHeader/>
        </w:trPr>
        <w:tc>
          <w:tcPr>
            <w:tcW w:w="362" w:type="pct"/>
          </w:tcPr>
          <w:p w14:paraId="3D443C53" w14:textId="25BA9C05" w:rsidR="003F3FD6" w:rsidRDefault="003F3FD6" w:rsidP="003F3FD6">
            <w:pPr>
              <w:tabs>
                <w:tab w:val="left" w:leader="underscore" w:pos="1701"/>
              </w:tabs>
              <w:jc w:val="center"/>
              <w:rPr>
                <w:szCs w:val="24"/>
              </w:rPr>
            </w:pPr>
            <w:r>
              <w:rPr>
                <w:szCs w:val="24"/>
              </w:rPr>
              <w:t>6.</w:t>
            </w:r>
          </w:p>
        </w:tc>
        <w:tc>
          <w:tcPr>
            <w:tcW w:w="1011" w:type="pct"/>
          </w:tcPr>
          <w:p w14:paraId="7DCB037B" w14:textId="3BFBB586" w:rsidR="003F3FD6" w:rsidRPr="003F3FD6" w:rsidRDefault="003F3FD6" w:rsidP="003F3FD6">
            <w:pPr>
              <w:tabs>
                <w:tab w:val="left" w:leader="underscore" w:pos="1701"/>
              </w:tabs>
              <w:rPr>
                <w:szCs w:val="24"/>
              </w:rPr>
            </w:pPr>
            <w:r w:rsidRPr="003F3FD6">
              <w:rPr>
                <w:szCs w:val="24"/>
              </w:rPr>
              <w:t>Panevėžio Rožyno progimnazija</w:t>
            </w:r>
          </w:p>
        </w:tc>
        <w:tc>
          <w:tcPr>
            <w:tcW w:w="1572" w:type="pct"/>
          </w:tcPr>
          <w:p w14:paraId="705182E3" w14:textId="2071B284"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02172C64" w14:textId="31AD760A" w:rsidR="003F3FD6" w:rsidRDefault="003F3FD6" w:rsidP="003F3FD6">
            <w:pPr>
              <w:tabs>
                <w:tab w:val="left" w:leader="underscore" w:pos="1701"/>
              </w:tabs>
              <w:jc w:val="center"/>
              <w:rPr>
                <w:szCs w:val="24"/>
              </w:rPr>
            </w:pPr>
            <w:r>
              <w:rPr>
                <w:szCs w:val="24"/>
              </w:rPr>
              <w:t>32</w:t>
            </w:r>
          </w:p>
        </w:tc>
        <w:tc>
          <w:tcPr>
            <w:tcW w:w="697" w:type="pct"/>
          </w:tcPr>
          <w:p w14:paraId="4E0E976C" w14:textId="11CD96F2"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20D3F2B0" w14:textId="09F198F0"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3F3FD6" w:rsidRPr="00E34573" w14:paraId="00FE21A2" w14:textId="77777777" w:rsidTr="00201770">
        <w:trPr>
          <w:tblHeader/>
        </w:trPr>
        <w:tc>
          <w:tcPr>
            <w:tcW w:w="362" w:type="pct"/>
          </w:tcPr>
          <w:p w14:paraId="401A0AF5" w14:textId="769DC4CF" w:rsidR="003F3FD6" w:rsidRDefault="003F3FD6" w:rsidP="003F3FD6">
            <w:pPr>
              <w:tabs>
                <w:tab w:val="left" w:leader="underscore" w:pos="1701"/>
              </w:tabs>
              <w:jc w:val="center"/>
              <w:rPr>
                <w:szCs w:val="24"/>
              </w:rPr>
            </w:pPr>
            <w:r>
              <w:rPr>
                <w:szCs w:val="24"/>
              </w:rPr>
              <w:t>7.</w:t>
            </w:r>
          </w:p>
        </w:tc>
        <w:tc>
          <w:tcPr>
            <w:tcW w:w="1011" w:type="pct"/>
          </w:tcPr>
          <w:p w14:paraId="42232582" w14:textId="5C1F185C" w:rsidR="003F3FD6" w:rsidRPr="003F3FD6" w:rsidRDefault="003F3FD6" w:rsidP="003F3FD6">
            <w:pPr>
              <w:tabs>
                <w:tab w:val="left" w:leader="underscore" w:pos="1701"/>
              </w:tabs>
              <w:rPr>
                <w:szCs w:val="24"/>
              </w:rPr>
            </w:pPr>
            <w:r w:rsidRPr="003F3FD6">
              <w:rPr>
                <w:szCs w:val="24"/>
              </w:rPr>
              <w:t>Panevėžio Beržų progimnazija</w:t>
            </w:r>
          </w:p>
        </w:tc>
        <w:tc>
          <w:tcPr>
            <w:tcW w:w="1572" w:type="pct"/>
          </w:tcPr>
          <w:p w14:paraId="5962B129" w14:textId="29BDB6FE"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3A334FEE" w14:textId="6646B84D" w:rsidR="003F3FD6" w:rsidRDefault="003F3FD6" w:rsidP="003F3FD6">
            <w:pPr>
              <w:tabs>
                <w:tab w:val="left" w:leader="underscore" w:pos="1701"/>
              </w:tabs>
              <w:jc w:val="center"/>
              <w:rPr>
                <w:szCs w:val="24"/>
              </w:rPr>
            </w:pPr>
            <w:r>
              <w:rPr>
                <w:szCs w:val="24"/>
              </w:rPr>
              <w:t>24</w:t>
            </w:r>
          </w:p>
        </w:tc>
        <w:tc>
          <w:tcPr>
            <w:tcW w:w="697" w:type="pct"/>
          </w:tcPr>
          <w:p w14:paraId="5D8E35BA" w14:textId="3627B39C"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33AFF95D" w14:textId="2CD8884C" w:rsidR="003F3FD6" w:rsidRPr="003F3FD6" w:rsidRDefault="003F3FD6" w:rsidP="003F3FD6">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3F3FD6" w:rsidRPr="00E34573" w14:paraId="4C14D805" w14:textId="77777777" w:rsidTr="00201770">
        <w:trPr>
          <w:tblHeader/>
        </w:trPr>
        <w:tc>
          <w:tcPr>
            <w:tcW w:w="362" w:type="pct"/>
          </w:tcPr>
          <w:p w14:paraId="6598C8F7" w14:textId="395D85D4" w:rsidR="003F3FD6" w:rsidRDefault="003F3FD6" w:rsidP="003F3FD6">
            <w:pPr>
              <w:tabs>
                <w:tab w:val="left" w:leader="underscore" w:pos="1701"/>
              </w:tabs>
              <w:jc w:val="center"/>
              <w:rPr>
                <w:szCs w:val="24"/>
              </w:rPr>
            </w:pPr>
            <w:r>
              <w:rPr>
                <w:szCs w:val="24"/>
              </w:rPr>
              <w:t>8.</w:t>
            </w:r>
          </w:p>
        </w:tc>
        <w:tc>
          <w:tcPr>
            <w:tcW w:w="1011" w:type="pct"/>
          </w:tcPr>
          <w:p w14:paraId="3162874B" w14:textId="4B436051" w:rsidR="003F3FD6" w:rsidRPr="003F3FD6" w:rsidRDefault="003F3FD6" w:rsidP="003F3FD6">
            <w:pPr>
              <w:tabs>
                <w:tab w:val="left" w:leader="underscore" w:pos="1701"/>
              </w:tabs>
              <w:rPr>
                <w:szCs w:val="24"/>
              </w:rPr>
            </w:pPr>
            <w:r w:rsidRPr="003F3FD6">
              <w:rPr>
                <w:szCs w:val="24"/>
              </w:rPr>
              <w:t>Panevėžio Mykolo Karkos pagrindinė mokykla</w:t>
            </w:r>
          </w:p>
        </w:tc>
        <w:tc>
          <w:tcPr>
            <w:tcW w:w="1572" w:type="pct"/>
          </w:tcPr>
          <w:p w14:paraId="2BED20BD" w14:textId="47E6F648"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430DB9FE" w14:textId="1FA481ED" w:rsidR="003F3FD6" w:rsidRDefault="003F3FD6" w:rsidP="003F3FD6">
            <w:pPr>
              <w:tabs>
                <w:tab w:val="left" w:leader="underscore" w:pos="1701"/>
              </w:tabs>
              <w:jc w:val="center"/>
              <w:rPr>
                <w:szCs w:val="24"/>
              </w:rPr>
            </w:pPr>
            <w:r>
              <w:rPr>
                <w:szCs w:val="24"/>
              </w:rPr>
              <w:t>32</w:t>
            </w:r>
          </w:p>
        </w:tc>
        <w:tc>
          <w:tcPr>
            <w:tcW w:w="697" w:type="pct"/>
          </w:tcPr>
          <w:p w14:paraId="00A51C1F" w14:textId="05192151"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59347261" w14:textId="29DD60D5"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3F3FD6" w:rsidRPr="00E34573" w14:paraId="03960925" w14:textId="77777777" w:rsidTr="00201770">
        <w:trPr>
          <w:tblHeader/>
        </w:trPr>
        <w:tc>
          <w:tcPr>
            <w:tcW w:w="362" w:type="pct"/>
          </w:tcPr>
          <w:p w14:paraId="6DF85680" w14:textId="72DE1B62" w:rsidR="003F3FD6" w:rsidRDefault="003F3FD6" w:rsidP="003F3FD6">
            <w:pPr>
              <w:tabs>
                <w:tab w:val="left" w:leader="underscore" w:pos="1701"/>
              </w:tabs>
              <w:jc w:val="center"/>
              <w:rPr>
                <w:szCs w:val="24"/>
              </w:rPr>
            </w:pPr>
            <w:r>
              <w:rPr>
                <w:szCs w:val="24"/>
              </w:rPr>
              <w:t>9.</w:t>
            </w:r>
          </w:p>
        </w:tc>
        <w:tc>
          <w:tcPr>
            <w:tcW w:w="1011" w:type="pct"/>
          </w:tcPr>
          <w:p w14:paraId="6B1B7145" w14:textId="02CDA698"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Žemynos</w:t>
            </w:r>
            <w:r w:rsidR="002D0BF4">
              <w:rPr>
                <w:szCs w:val="24"/>
              </w:rPr>
              <w:t>“</w:t>
            </w:r>
            <w:r w:rsidRPr="003F3FD6">
              <w:rPr>
                <w:szCs w:val="24"/>
              </w:rPr>
              <w:t xml:space="preserve"> progimnazija</w:t>
            </w:r>
          </w:p>
        </w:tc>
        <w:tc>
          <w:tcPr>
            <w:tcW w:w="1572" w:type="pct"/>
          </w:tcPr>
          <w:p w14:paraId="16D55F2D" w14:textId="2F3D87FD"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w:t>
            </w:r>
            <w:r w:rsidRPr="00707A4C">
              <w:rPr>
                <w:szCs w:val="24"/>
              </w:rPr>
              <w:lastRenderedPageBreak/>
              <w:t xml:space="preserve">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2B1059C" w14:textId="65D7F379" w:rsidR="003F3FD6" w:rsidRDefault="003F3FD6" w:rsidP="003F3FD6">
            <w:pPr>
              <w:tabs>
                <w:tab w:val="left" w:leader="underscore" w:pos="1701"/>
              </w:tabs>
              <w:jc w:val="center"/>
              <w:rPr>
                <w:szCs w:val="24"/>
              </w:rPr>
            </w:pPr>
            <w:r>
              <w:rPr>
                <w:szCs w:val="24"/>
              </w:rPr>
              <w:lastRenderedPageBreak/>
              <w:t>40</w:t>
            </w:r>
          </w:p>
        </w:tc>
        <w:tc>
          <w:tcPr>
            <w:tcW w:w="697" w:type="pct"/>
          </w:tcPr>
          <w:p w14:paraId="2C30F75B" w14:textId="28A46125"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D8E350C" w14:textId="24F6C481" w:rsidR="003F3FD6" w:rsidRPr="003F3FD6" w:rsidRDefault="003F3FD6" w:rsidP="003F3FD6">
            <w:pPr>
              <w:tabs>
                <w:tab w:val="left" w:leader="underscore" w:pos="1701"/>
              </w:tabs>
              <w:jc w:val="center"/>
              <w:rPr>
                <w:szCs w:val="24"/>
              </w:rPr>
            </w:pPr>
            <w:r w:rsidRPr="003F3FD6">
              <w:rPr>
                <w:szCs w:val="24"/>
              </w:rPr>
              <w:t>20</w:t>
            </w:r>
            <w:r w:rsidR="002D0BF4">
              <w:rPr>
                <w:szCs w:val="24"/>
              </w:rPr>
              <w:t xml:space="preserve"> </w:t>
            </w:r>
            <w:r w:rsidRPr="003F3FD6">
              <w:rPr>
                <w:szCs w:val="24"/>
              </w:rPr>
              <w:t>084</w:t>
            </w:r>
            <w:r>
              <w:rPr>
                <w:szCs w:val="24"/>
              </w:rPr>
              <w:t>,00</w:t>
            </w:r>
          </w:p>
        </w:tc>
      </w:tr>
      <w:tr w:rsidR="003F3FD6" w:rsidRPr="00E34573" w14:paraId="6135923A" w14:textId="77777777" w:rsidTr="00201770">
        <w:trPr>
          <w:tblHeader/>
        </w:trPr>
        <w:tc>
          <w:tcPr>
            <w:tcW w:w="362" w:type="pct"/>
          </w:tcPr>
          <w:p w14:paraId="0D9872D8" w14:textId="6F4236F2" w:rsidR="003F3FD6" w:rsidRDefault="003F3FD6" w:rsidP="003F3FD6">
            <w:pPr>
              <w:tabs>
                <w:tab w:val="left" w:leader="underscore" w:pos="1701"/>
              </w:tabs>
              <w:jc w:val="center"/>
              <w:rPr>
                <w:szCs w:val="24"/>
              </w:rPr>
            </w:pPr>
            <w:r>
              <w:rPr>
                <w:szCs w:val="24"/>
              </w:rPr>
              <w:t>10.</w:t>
            </w:r>
          </w:p>
        </w:tc>
        <w:tc>
          <w:tcPr>
            <w:tcW w:w="1011" w:type="pct"/>
          </w:tcPr>
          <w:p w14:paraId="2C7A8ED4" w14:textId="0920FCFF"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Vyturio</w:t>
            </w:r>
            <w:r w:rsidR="002D0BF4">
              <w:rPr>
                <w:szCs w:val="24"/>
              </w:rPr>
              <w:t>“</w:t>
            </w:r>
            <w:r w:rsidRPr="003F3FD6">
              <w:rPr>
                <w:szCs w:val="24"/>
              </w:rPr>
              <w:t xml:space="preserve"> progimnazija</w:t>
            </w:r>
          </w:p>
        </w:tc>
        <w:tc>
          <w:tcPr>
            <w:tcW w:w="1572" w:type="pct"/>
          </w:tcPr>
          <w:p w14:paraId="74C623FE" w14:textId="20908FAF"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05FC453" w14:textId="342ACFCD" w:rsidR="003F3FD6" w:rsidRDefault="003F3FD6" w:rsidP="003F3FD6">
            <w:pPr>
              <w:tabs>
                <w:tab w:val="left" w:leader="underscore" w:pos="1701"/>
              </w:tabs>
              <w:jc w:val="center"/>
              <w:rPr>
                <w:szCs w:val="24"/>
              </w:rPr>
            </w:pPr>
            <w:r>
              <w:rPr>
                <w:szCs w:val="24"/>
              </w:rPr>
              <w:t>48</w:t>
            </w:r>
          </w:p>
        </w:tc>
        <w:tc>
          <w:tcPr>
            <w:tcW w:w="697" w:type="pct"/>
          </w:tcPr>
          <w:p w14:paraId="24FBAA80" w14:textId="05077B03"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5C8BE33" w14:textId="539F651C" w:rsidR="003F3FD6" w:rsidRPr="003F3FD6" w:rsidRDefault="003F3FD6" w:rsidP="003F3FD6">
            <w:pPr>
              <w:tabs>
                <w:tab w:val="left" w:leader="underscore" w:pos="1701"/>
              </w:tabs>
              <w:jc w:val="center"/>
              <w:rPr>
                <w:szCs w:val="24"/>
              </w:rPr>
            </w:pPr>
            <w:r w:rsidRPr="003F3FD6">
              <w:rPr>
                <w:szCs w:val="24"/>
              </w:rPr>
              <w:t>24</w:t>
            </w:r>
            <w:r w:rsidR="002D0BF4">
              <w:rPr>
                <w:szCs w:val="24"/>
              </w:rPr>
              <w:t xml:space="preserve"> </w:t>
            </w:r>
            <w:r w:rsidRPr="003F3FD6">
              <w:rPr>
                <w:szCs w:val="24"/>
              </w:rPr>
              <w:t>100,8</w:t>
            </w:r>
            <w:r>
              <w:rPr>
                <w:szCs w:val="24"/>
              </w:rPr>
              <w:t>0</w:t>
            </w:r>
          </w:p>
        </w:tc>
      </w:tr>
      <w:tr w:rsidR="003F3FD6" w:rsidRPr="00E34573" w14:paraId="242A8C06" w14:textId="77777777" w:rsidTr="00201770">
        <w:trPr>
          <w:tblHeader/>
        </w:trPr>
        <w:tc>
          <w:tcPr>
            <w:tcW w:w="362" w:type="pct"/>
          </w:tcPr>
          <w:p w14:paraId="394CC632" w14:textId="0B123DD5" w:rsidR="003F3FD6" w:rsidRDefault="003F3FD6" w:rsidP="003F3FD6">
            <w:pPr>
              <w:tabs>
                <w:tab w:val="left" w:leader="underscore" w:pos="1701"/>
              </w:tabs>
              <w:jc w:val="center"/>
              <w:rPr>
                <w:szCs w:val="24"/>
              </w:rPr>
            </w:pPr>
            <w:r>
              <w:rPr>
                <w:szCs w:val="24"/>
              </w:rPr>
              <w:t>11.</w:t>
            </w:r>
          </w:p>
        </w:tc>
        <w:tc>
          <w:tcPr>
            <w:tcW w:w="1011" w:type="pct"/>
          </w:tcPr>
          <w:p w14:paraId="515C391D" w14:textId="047751EE" w:rsidR="003F3FD6" w:rsidRPr="003F3FD6" w:rsidRDefault="003F3FD6" w:rsidP="003F3FD6">
            <w:pPr>
              <w:tabs>
                <w:tab w:val="left" w:leader="underscore" w:pos="1701"/>
              </w:tabs>
              <w:rPr>
                <w:szCs w:val="24"/>
              </w:rPr>
            </w:pPr>
            <w:r w:rsidRPr="003F3FD6">
              <w:rPr>
                <w:szCs w:val="24"/>
              </w:rPr>
              <w:t>Panevėžio Alfonso Lipniūno progimnazija</w:t>
            </w:r>
          </w:p>
        </w:tc>
        <w:tc>
          <w:tcPr>
            <w:tcW w:w="1572" w:type="pct"/>
          </w:tcPr>
          <w:p w14:paraId="5A07FC47" w14:textId="6CFD7C34"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F661B76" w14:textId="4120154C" w:rsidR="003F3FD6" w:rsidRDefault="003F3FD6" w:rsidP="003F3FD6">
            <w:pPr>
              <w:tabs>
                <w:tab w:val="left" w:leader="underscore" w:pos="1701"/>
              </w:tabs>
              <w:jc w:val="center"/>
              <w:rPr>
                <w:szCs w:val="24"/>
              </w:rPr>
            </w:pPr>
            <w:r>
              <w:rPr>
                <w:szCs w:val="24"/>
              </w:rPr>
              <w:t>24</w:t>
            </w:r>
          </w:p>
        </w:tc>
        <w:tc>
          <w:tcPr>
            <w:tcW w:w="697" w:type="pct"/>
          </w:tcPr>
          <w:p w14:paraId="0B387EBF" w14:textId="06DDEB31"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1163290D" w14:textId="7F329C34" w:rsidR="003F3FD6" w:rsidRPr="003F3FD6" w:rsidRDefault="003F3FD6" w:rsidP="003F3FD6">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3F3FD6" w:rsidRPr="00E34573" w14:paraId="164F1C91" w14:textId="77777777" w:rsidTr="00201770">
        <w:trPr>
          <w:tblHeader/>
        </w:trPr>
        <w:tc>
          <w:tcPr>
            <w:tcW w:w="362" w:type="pct"/>
          </w:tcPr>
          <w:p w14:paraId="7131FB1D" w14:textId="156F9990" w:rsidR="003F3FD6" w:rsidRDefault="003F3FD6" w:rsidP="003F3FD6">
            <w:pPr>
              <w:tabs>
                <w:tab w:val="left" w:leader="underscore" w:pos="1701"/>
              </w:tabs>
              <w:jc w:val="center"/>
              <w:rPr>
                <w:szCs w:val="24"/>
              </w:rPr>
            </w:pPr>
            <w:r>
              <w:rPr>
                <w:szCs w:val="24"/>
              </w:rPr>
              <w:t>12.</w:t>
            </w:r>
          </w:p>
        </w:tc>
        <w:tc>
          <w:tcPr>
            <w:tcW w:w="1011" w:type="pct"/>
          </w:tcPr>
          <w:p w14:paraId="257B8976" w14:textId="72CE70D3" w:rsidR="003F3FD6" w:rsidRPr="003F3FD6" w:rsidRDefault="003F3FD6" w:rsidP="003F3FD6">
            <w:pPr>
              <w:tabs>
                <w:tab w:val="left" w:leader="underscore" w:pos="1701"/>
              </w:tabs>
              <w:rPr>
                <w:szCs w:val="24"/>
              </w:rPr>
            </w:pPr>
            <w:r w:rsidRPr="003F3FD6">
              <w:rPr>
                <w:szCs w:val="24"/>
              </w:rPr>
              <w:t xml:space="preserve">Panevėžio </w:t>
            </w:r>
            <w:r w:rsidR="002D0BF4">
              <w:rPr>
                <w:szCs w:val="24"/>
              </w:rPr>
              <w:t>„</w:t>
            </w:r>
            <w:r w:rsidRPr="003F3FD6">
              <w:rPr>
                <w:szCs w:val="24"/>
              </w:rPr>
              <w:t>Ąžuolo</w:t>
            </w:r>
            <w:r w:rsidR="002D0BF4">
              <w:rPr>
                <w:szCs w:val="24"/>
              </w:rPr>
              <w:t>“</w:t>
            </w:r>
            <w:r w:rsidRPr="003F3FD6">
              <w:rPr>
                <w:szCs w:val="24"/>
              </w:rPr>
              <w:t xml:space="preserve"> progimnazija</w:t>
            </w:r>
          </w:p>
        </w:tc>
        <w:tc>
          <w:tcPr>
            <w:tcW w:w="1572" w:type="pct"/>
          </w:tcPr>
          <w:p w14:paraId="0F554C83" w14:textId="74FF569B" w:rsidR="003F3FD6" w:rsidRPr="00765D66" w:rsidRDefault="002D0BF4" w:rsidP="003F3FD6">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664EC7E" w14:textId="714FFFD6" w:rsidR="003F3FD6" w:rsidRDefault="003F3FD6" w:rsidP="003F3FD6">
            <w:pPr>
              <w:tabs>
                <w:tab w:val="left" w:leader="underscore" w:pos="1701"/>
              </w:tabs>
              <w:jc w:val="center"/>
              <w:rPr>
                <w:szCs w:val="24"/>
              </w:rPr>
            </w:pPr>
            <w:r>
              <w:rPr>
                <w:szCs w:val="24"/>
              </w:rPr>
              <w:t>32</w:t>
            </w:r>
          </w:p>
        </w:tc>
        <w:tc>
          <w:tcPr>
            <w:tcW w:w="697" w:type="pct"/>
          </w:tcPr>
          <w:p w14:paraId="78D192BC" w14:textId="25169D6B" w:rsidR="003F3FD6" w:rsidRPr="00765D66" w:rsidRDefault="003F3FD6" w:rsidP="003F3FD6">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1AF724E5" w14:textId="7AC1FDCD" w:rsidR="003F3FD6" w:rsidRPr="003F3FD6" w:rsidRDefault="003F3FD6" w:rsidP="003F3FD6">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638C9FB8" w14:textId="77777777" w:rsidTr="00201770">
        <w:trPr>
          <w:tblHeader/>
        </w:trPr>
        <w:tc>
          <w:tcPr>
            <w:tcW w:w="362" w:type="pct"/>
          </w:tcPr>
          <w:p w14:paraId="093E9107" w14:textId="2F2A6CAC" w:rsidR="005539FC" w:rsidRDefault="005539FC" w:rsidP="005539FC">
            <w:pPr>
              <w:tabs>
                <w:tab w:val="left" w:leader="underscore" w:pos="1701"/>
              </w:tabs>
              <w:jc w:val="center"/>
              <w:rPr>
                <w:szCs w:val="24"/>
              </w:rPr>
            </w:pPr>
            <w:r>
              <w:rPr>
                <w:szCs w:val="24"/>
              </w:rPr>
              <w:t>13.</w:t>
            </w:r>
          </w:p>
        </w:tc>
        <w:tc>
          <w:tcPr>
            <w:tcW w:w="1011" w:type="pct"/>
          </w:tcPr>
          <w:p w14:paraId="404E775C" w14:textId="3A352596" w:rsidR="005539FC" w:rsidRPr="003F3FD6" w:rsidRDefault="005539FC" w:rsidP="005539FC">
            <w:pPr>
              <w:tabs>
                <w:tab w:val="left" w:leader="underscore" w:pos="1701"/>
              </w:tabs>
              <w:rPr>
                <w:szCs w:val="24"/>
              </w:rPr>
            </w:pPr>
            <w:r w:rsidRPr="003F3FD6">
              <w:rPr>
                <w:szCs w:val="24"/>
              </w:rPr>
              <w:t xml:space="preserve">Panevėžio </w:t>
            </w:r>
            <w:r w:rsidR="002D0BF4">
              <w:rPr>
                <w:szCs w:val="24"/>
              </w:rPr>
              <w:t>„</w:t>
            </w:r>
            <w:r w:rsidRPr="003F3FD6">
              <w:rPr>
                <w:szCs w:val="24"/>
              </w:rPr>
              <w:t>Minties</w:t>
            </w:r>
            <w:r w:rsidR="002D0BF4">
              <w:rPr>
                <w:szCs w:val="24"/>
              </w:rPr>
              <w:t>“</w:t>
            </w:r>
            <w:r w:rsidRPr="003F3FD6">
              <w:rPr>
                <w:szCs w:val="24"/>
              </w:rPr>
              <w:t xml:space="preserve"> </w:t>
            </w:r>
            <w:r>
              <w:rPr>
                <w:szCs w:val="24"/>
              </w:rPr>
              <w:t xml:space="preserve">inžinerijos </w:t>
            </w:r>
            <w:r w:rsidRPr="003F3FD6">
              <w:rPr>
                <w:szCs w:val="24"/>
              </w:rPr>
              <w:t>gimnazija</w:t>
            </w:r>
          </w:p>
        </w:tc>
        <w:tc>
          <w:tcPr>
            <w:tcW w:w="1572" w:type="pct"/>
          </w:tcPr>
          <w:p w14:paraId="1D45D8A5" w14:textId="2265185E"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B94EBB7" w14:textId="4F1197B1" w:rsidR="005539FC" w:rsidRDefault="005539FC" w:rsidP="005539FC">
            <w:pPr>
              <w:tabs>
                <w:tab w:val="left" w:leader="underscore" w:pos="1701"/>
              </w:tabs>
              <w:jc w:val="center"/>
              <w:rPr>
                <w:szCs w:val="24"/>
              </w:rPr>
            </w:pPr>
            <w:r>
              <w:rPr>
                <w:szCs w:val="24"/>
              </w:rPr>
              <w:t>32</w:t>
            </w:r>
          </w:p>
        </w:tc>
        <w:tc>
          <w:tcPr>
            <w:tcW w:w="697" w:type="pct"/>
          </w:tcPr>
          <w:p w14:paraId="3B2380AE" w14:textId="70F53106"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5C0C6BB3" w14:textId="1B6487FF" w:rsidR="005539FC" w:rsidRPr="003F3FD6" w:rsidRDefault="005539FC" w:rsidP="005539FC">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44B72570" w14:textId="77777777" w:rsidTr="00201770">
        <w:trPr>
          <w:tblHeader/>
        </w:trPr>
        <w:tc>
          <w:tcPr>
            <w:tcW w:w="362" w:type="pct"/>
          </w:tcPr>
          <w:p w14:paraId="6FC6E7A9" w14:textId="14D6AA44" w:rsidR="005539FC" w:rsidRDefault="005539FC" w:rsidP="005539FC">
            <w:pPr>
              <w:tabs>
                <w:tab w:val="left" w:leader="underscore" w:pos="1701"/>
              </w:tabs>
              <w:jc w:val="center"/>
              <w:rPr>
                <w:szCs w:val="24"/>
              </w:rPr>
            </w:pPr>
            <w:r>
              <w:rPr>
                <w:szCs w:val="24"/>
              </w:rPr>
              <w:t>14.</w:t>
            </w:r>
          </w:p>
        </w:tc>
        <w:tc>
          <w:tcPr>
            <w:tcW w:w="1011" w:type="pct"/>
          </w:tcPr>
          <w:p w14:paraId="3CB22DBD" w14:textId="08638C34" w:rsidR="005539FC" w:rsidRPr="003F3FD6" w:rsidRDefault="005539FC" w:rsidP="005539FC">
            <w:pPr>
              <w:tabs>
                <w:tab w:val="left" w:leader="underscore" w:pos="1701"/>
              </w:tabs>
              <w:rPr>
                <w:szCs w:val="24"/>
              </w:rPr>
            </w:pPr>
            <w:r w:rsidRPr="005539FC">
              <w:rPr>
                <w:szCs w:val="24"/>
              </w:rPr>
              <w:t>Panevėžio pradinė mokykla</w:t>
            </w:r>
          </w:p>
        </w:tc>
        <w:tc>
          <w:tcPr>
            <w:tcW w:w="1572" w:type="pct"/>
          </w:tcPr>
          <w:p w14:paraId="1A918281" w14:textId="7406EF17"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w:t>
            </w:r>
            <w:r w:rsidRPr="00707A4C">
              <w:rPr>
                <w:szCs w:val="24"/>
              </w:rPr>
              <w:lastRenderedPageBreak/>
              <w:t xml:space="preserve">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5B485658" w14:textId="37D1268E" w:rsidR="005539FC" w:rsidRDefault="005539FC" w:rsidP="005539FC">
            <w:pPr>
              <w:tabs>
                <w:tab w:val="left" w:leader="underscore" w:pos="1701"/>
              </w:tabs>
              <w:jc w:val="center"/>
              <w:rPr>
                <w:szCs w:val="24"/>
              </w:rPr>
            </w:pPr>
            <w:r>
              <w:rPr>
                <w:szCs w:val="24"/>
              </w:rPr>
              <w:lastRenderedPageBreak/>
              <w:t>24</w:t>
            </w:r>
          </w:p>
        </w:tc>
        <w:tc>
          <w:tcPr>
            <w:tcW w:w="697" w:type="pct"/>
          </w:tcPr>
          <w:p w14:paraId="012552C0" w14:textId="6DC0D93E"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0FE44EFE" w14:textId="490F46AE" w:rsidR="005539FC" w:rsidRPr="003F3FD6" w:rsidRDefault="005539FC" w:rsidP="005539FC">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5539FC" w:rsidRPr="00E34573" w14:paraId="01ABBA27" w14:textId="77777777" w:rsidTr="00201770">
        <w:trPr>
          <w:tblHeader/>
        </w:trPr>
        <w:tc>
          <w:tcPr>
            <w:tcW w:w="362" w:type="pct"/>
          </w:tcPr>
          <w:p w14:paraId="790A1C20" w14:textId="354EBDC5" w:rsidR="005539FC" w:rsidRDefault="005539FC" w:rsidP="005539FC">
            <w:pPr>
              <w:tabs>
                <w:tab w:val="left" w:leader="underscore" w:pos="1701"/>
              </w:tabs>
              <w:jc w:val="center"/>
              <w:rPr>
                <w:szCs w:val="24"/>
              </w:rPr>
            </w:pPr>
            <w:r>
              <w:rPr>
                <w:szCs w:val="24"/>
              </w:rPr>
              <w:t>15.</w:t>
            </w:r>
          </w:p>
        </w:tc>
        <w:tc>
          <w:tcPr>
            <w:tcW w:w="1011" w:type="pct"/>
          </w:tcPr>
          <w:p w14:paraId="13E5E207" w14:textId="469DFC2C" w:rsidR="005539FC" w:rsidRPr="005539FC" w:rsidRDefault="005539FC" w:rsidP="005539FC">
            <w:pPr>
              <w:tabs>
                <w:tab w:val="left" w:leader="underscore" w:pos="1701"/>
              </w:tabs>
              <w:rPr>
                <w:szCs w:val="24"/>
              </w:rPr>
            </w:pPr>
            <w:r w:rsidRPr="005539FC">
              <w:rPr>
                <w:szCs w:val="24"/>
              </w:rPr>
              <w:t xml:space="preserve">Panevėžio </w:t>
            </w:r>
            <w:r w:rsidR="002D0BF4">
              <w:rPr>
                <w:szCs w:val="24"/>
              </w:rPr>
              <w:t>„</w:t>
            </w:r>
            <w:r w:rsidRPr="005539FC">
              <w:rPr>
                <w:szCs w:val="24"/>
              </w:rPr>
              <w:t>Šaltinio</w:t>
            </w:r>
            <w:r w:rsidR="002D0BF4">
              <w:rPr>
                <w:szCs w:val="24"/>
              </w:rPr>
              <w:t>“</w:t>
            </w:r>
            <w:r w:rsidRPr="005539FC">
              <w:rPr>
                <w:szCs w:val="24"/>
              </w:rPr>
              <w:t xml:space="preserve"> progimnazija</w:t>
            </w:r>
          </w:p>
        </w:tc>
        <w:tc>
          <w:tcPr>
            <w:tcW w:w="1572" w:type="pct"/>
          </w:tcPr>
          <w:p w14:paraId="751CD752" w14:textId="5350C3CA"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6E7D4824" w14:textId="71549A2A" w:rsidR="005539FC" w:rsidRDefault="005539FC" w:rsidP="005539FC">
            <w:pPr>
              <w:tabs>
                <w:tab w:val="left" w:leader="underscore" w:pos="1701"/>
              </w:tabs>
              <w:jc w:val="center"/>
              <w:rPr>
                <w:szCs w:val="24"/>
              </w:rPr>
            </w:pPr>
            <w:r>
              <w:rPr>
                <w:szCs w:val="24"/>
              </w:rPr>
              <w:t>32</w:t>
            </w:r>
          </w:p>
        </w:tc>
        <w:tc>
          <w:tcPr>
            <w:tcW w:w="697" w:type="pct"/>
          </w:tcPr>
          <w:p w14:paraId="574587E2" w14:textId="55AB3358"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217ADE37" w14:textId="5C73FF10" w:rsidR="005539FC" w:rsidRPr="003F3FD6" w:rsidRDefault="005539FC" w:rsidP="005539FC">
            <w:pPr>
              <w:tabs>
                <w:tab w:val="left" w:leader="underscore" w:pos="1701"/>
              </w:tabs>
              <w:jc w:val="center"/>
              <w:rPr>
                <w:szCs w:val="24"/>
              </w:rPr>
            </w:pPr>
            <w:r w:rsidRPr="003F3FD6">
              <w:rPr>
                <w:szCs w:val="24"/>
              </w:rPr>
              <w:t>16</w:t>
            </w:r>
            <w:r w:rsidR="002D0BF4">
              <w:rPr>
                <w:szCs w:val="24"/>
              </w:rPr>
              <w:t xml:space="preserve"> </w:t>
            </w:r>
            <w:r w:rsidRPr="003F3FD6">
              <w:rPr>
                <w:szCs w:val="24"/>
              </w:rPr>
              <w:t>067,2</w:t>
            </w:r>
            <w:r>
              <w:rPr>
                <w:szCs w:val="24"/>
              </w:rPr>
              <w:t>0</w:t>
            </w:r>
          </w:p>
        </w:tc>
      </w:tr>
      <w:tr w:rsidR="005539FC" w:rsidRPr="00E34573" w14:paraId="635D3B37" w14:textId="77777777" w:rsidTr="00201770">
        <w:trPr>
          <w:tblHeader/>
        </w:trPr>
        <w:tc>
          <w:tcPr>
            <w:tcW w:w="362" w:type="pct"/>
          </w:tcPr>
          <w:p w14:paraId="07EA16B2" w14:textId="3798FD47" w:rsidR="005539FC" w:rsidRDefault="005539FC" w:rsidP="005539FC">
            <w:pPr>
              <w:tabs>
                <w:tab w:val="left" w:leader="underscore" w:pos="1701"/>
              </w:tabs>
              <w:jc w:val="center"/>
              <w:rPr>
                <w:szCs w:val="24"/>
              </w:rPr>
            </w:pPr>
            <w:r>
              <w:rPr>
                <w:szCs w:val="24"/>
              </w:rPr>
              <w:t>16.</w:t>
            </w:r>
          </w:p>
        </w:tc>
        <w:tc>
          <w:tcPr>
            <w:tcW w:w="1011" w:type="pct"/>
          </w:tcPr>
          <w:p w14:paraId="3A754D35" w14:textId="265BA291" w:rsidR="005539FC" w:rsidRPr="005539FC" w:rsidRDefault="005539FC" w:rsidP="005539FC">
            <w:pPr>
              <w:tabs>
                <w:tab w:val="left" w:leader="underscore" w:pos="1701"/>
              </w:tabs>
              <w:rPr>
                <w:szCs w:val="24"/>
              </w:rPr>
            </w:pPr>
            <w:r w:rsidRPr="005539FC">
              <w:rPr>
                <w:szCs w:val="24"/>
              </w:rPr>
              <w:t xml:space="preserve">Panevėžio </w:t>
            </w:r>
            <w:r w:rsidR="002D0BF4">
              <w:rPr>
                <w:szCs w:val="24"/>
              </w:rPr>
              <w:t>„</w:t>
            </w:r>
            <w:r w:rsidRPr="005539FC">
              <w:rPr>
                <w:szCs w:val="24"/>
              </w:rPr>
              <w:t>Saulėtekio</w:t>
            </w:r>
            <w:r w:rsidR="002D0BF4">
              <w:rPr>
                <w:szCs w:val="24"/>
              </w:rPr>
              <w:t>“</w:t>
            </w:r>
            <w:r w:rsidRPr="005539FC">
              <w:rPr>
                <w:szCs w:val="24"/>
              </w:rPr>
              <w:t xml:space="preserve"> progimnazija</w:t>
            </w:r>
          </w:p>
        </w:tc>
        <w:tc>
          <w:tcPr>
            <w:tcW w:w="1572" w:type="pct"/>
          </w:tcPr>
          <w:p w14:paraId="411FB9FA" w14:textId="767BB06E"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792E8FD9" w14:textId="39C16554" w:rsidR="005539FC" w:rsidRDefault="005539FC" w:rsidP="005539FC">
            <w:pPr>
              <w:tabs>
                <w:tab w:val="left" w:leader="underscore" w:pos="1701"/>
              </w:tabs>
              <w:jc w:val="center"/>
              <w:rPr>
                <w:szCs w:val="24"/>
              </w:rPr>
            </w:pPr>
            <w:r>
              <w:rPr>
                <w:szCs w:val="24"/>
              </w:rPr>
              <w:t>48</w:t>
            </w:r>
          </w:p>
        </w:tc>
        <w:tc>
          <w:tcPr>
            <w:tcW w:w="697" w:type="pct"/>
          </w:tcPr>
          <w:p w14:paraId="0A51647B" w14:textId="4B591A76"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6F8884D8" w14:textId="022C5E15" w:rsidR="005539FC" w:rsidRPr="003F3FD6" w:rsidRDefault="005539FC" w:rsidP="005539FC">
            <w:pPr>
              <w:tabs>
                <w:tab w:val="left" w:leader="underscore" w:pos="1701"/>
              </w:tabs>
              <w:jc w:val="center"/>
              <w:rPr>
                <w:szCs w:val="24"/>
              </w:rPr>
            </w:pPr>
            <w:r w:rsidRPr="003F3FD6">
              <w:rPr>
                <w:szCs w:val="24"/>
              </w:rPr>
              <w:t>24</w:t>
            </w:r>
            <w:r w:rsidR="002D0BF4">
              <w:rPr>
                <w:szCs w:val="24"/>
              </w:rPr>
              <w:t xml:space="preserve"> </w:t>
            </w:r>
            <w:r w:rsidRPr="003F3FD6">
              <w:rPr>
                <w:szCs w:val="24"/>
              </w:rPr>
              <w:t>100,8</w:t>
            </w:r>
            <w:r>
              <w:rPr>
                <w:szCs w:val="24"/>
              </w:rPr>
              <w:t>0</w:t>
            </w:r>
          </w:p>
        </w:tc>
      </w:tr>
      <w:tr w:rsidR="005539FC" w:rsidRPr="00E34573" w14:paraId="03BC559B" w14:textId="77777777" w:rsidTr="00201770">
        <w:trPr>
          <w:tblHeader/>
        </w:trPr>
        <w:tc>
          <w:tcPr>
            <w:tcW w:w="362" w:type="pct"/>
          </w:tcPr>
          <w:p w14:paraId="3E0AC509" w14:textId="755A9E1D" w:rsidR="005539FC" w:rsidRDefault="005539FC" w:rsidP="005539FC">
            <w:pPr>
              <w:tabs>
                <w:tab w:val="left" w:leader="underscore" w:pos="1701"/>
              </w:tabs>
              <w:jc w:val="center"/>
              <w:rPr>
                <w:szCs w:val="24"/>
              </w:rPr>
            </w:pPr>
            <w:r>
              <w:rPr>
                <w:szCs w:val="24"/>
              </w:rPr>
              <w:t>17.</w:t>
            </w:r>
          </w:p>
        </w:tc>
        <w:tc>
          <w:tcPr>
            <w:tcW w:w="1011" w:type="pct"/>
          </w:tcPr>
          <w:p w14:paraId="3E35CAC7" w14:textId="6D97A9C1" w:rsidR="005539FC" w:rsidRPr="005539FC" w:rsidRDefault="005539FC" w:rsidP="005539FC">
            <w:pPr>
              <w:tabs>
                <w:tab w:val="left" w:leader="underscore" w:pos="1701"/>
              </w:tabs>
              <w:rPr>
                <w:szCs w:val="24"/>
              </w:rPr>
            </w:pPr>
            <w:r w:rsidRPr="005539FC">
              <w:rPr>
                <w:szCs w:val="24"/>
              </w:rPr>
              <w:t>Panevėžio Raimundo Sargūno sporto gimnazija</w:t>
            </w:r>
          </w:p>
        </w:tc>
        <w:tc>
          <w:tcPr>
            <w:tcW w:w="1572" w:type="pct"/>
          </w:tcPr>
          <w:p w14:paraId="30B10C56" w14:textId="3665C345" w:rsidR="005539FC" w:rsidRPr="00765D66" w:rsidRDefault="002D0BF4" w:rsidP="005539FC">
            <w:pPr>
              <w:tabs>
                <w:tab w:val="left" w:leader="underscore" w:pos="1701"/>
              </w:tabs>
              <w:jc w:val="both"/>
              <w:rPr>
                <w:color w:val="000000"/>
                <w:szCs w:val="24"/>
                <w:lang w:eastAsia="lt-LT"/>
              </w:rPr>
            </w:pPr>
            <w:r w:rsidRPr="00707A4C">
              <w:rPr>
                <w:szCs w:val="24"/>
              </w:rPr>
              <w:t xml:space="preserve">(NB15) vidutinio našumo nešiojamasis kompiuteris su 40,4–42,9 cm įstrižainės ekranu „Acer TMP216-41-TCO“, su įdiegta operacine sistema „Microsoft Windows Education“ (elektroninė licencija), kompiuteriui </w:t>
            </w:r>
            <w:r>
              <w:rPr>
                <w:szCs w:val="24"/>
              </w:rPr>
              <w:t>tinkanti</w:t>
            </w:r>
            <w:r w:rsidRPr="00707A4C">
              <w:rPr>
                <w:szCs w:val="24"/>
              </w:rPr>
              <w:t xml:space="preserve"> laidinė pelė (paženklinta CE ženklu), USB jungtis</w:t>
            </w:r>
          </w:p>
        </w:tc>
        <w:tc>
          <w:tcPr>
            <w:tcW w:w="593" w:type="pct"/>
          </w:tcPr>
          <w:p w14:paraId="13330321" w14:textId="7A156931" w:rsidR="005539FC" w:rsidRDefault="005539FC" w:rsidP="005539FC">
            <w:pPr>
              <w:tabs>
                <w:tab w:val="left" w:leader="underscore" w:pos="1701"/>
              </w:tabs>
              <w:jc w:val="center"/>
              <w:rPr>
                <w:szCs w:val="24"/>
              </w:rPr>
            </w:pPr>
            <w:r>
              <w:rPr>
                <w:szCs w:val="24"/>
              </w:rPr>
              <w:t>24</w:t>
            </w:r>
          </w:p>
        </w:tc>
        <w:tc>
          <w:tcPr>
            <w:tcW w:w="697" w:type="pct"/>
          </w:tcPr>
          <w:p w14:paraId="270BD232" w14:textId="227166E7" w:rsidR="005539FC" w:rsidRPr="00765D66" w:rsidRDefault="005539FC" w:rsidP="005539FC">
            <w:pPr>
              <w:tabs>
                <w:tab w:val="left" w:leader="underscore" w:pos="1701"/>
              </w:tabs>
              <w:jc w:val="center"/>
              <w:rPr>
                <w:color w:val="000000"/>
                <w:szCs w:val="24"/>
                <w:lang w:eastAsia="lt-LT"/>
              </w:rPr>
            </w:pPr>
            <w:r w:rsidRPr="00765D66">
              <w:rPr>
                <w:color w:val="000000"/>
                <w:szCs w:val="24"/>
                <w:lang w:eastAsia="lt-LT"/>
              </w:rPr>
              <w:t>502,10</w:t>
            </w:r>
          </w:p>
        </w:tc>
        <w:tc>
          <w:tcPr>
            <w:tcW w:w="765" w:type="pct"/>
          </w:tcPr>
          <w:p w14:paraId="0B8B8D67" w14:textId="790101FC" w:rsidR="005539FC" w:rsidRPr="003F3FD6" w:rsidRDefault="005539FC" w:rsidP="005539FC">
            <w:pPr>
              <w:tabs>
                <w:tab w:val="left" w:leader="underscore" w:pos="1701"/>
              </w:tabs>
              <w:jc w:val="center"/>
              <w:rPr>
                <w:szCs w:val="24"/>
              </w:rPr>
            </w:pPr>
            <w:r w:rsidRPr="003F3FD6">
              <w:rPr>
                <w:szCs w:val="24"/>
              </w:rPr>
              <w:t>12</w:t>
            </w:r>
            <w:r w:rsidR="002D0BF4">
              <w:rPr>
                <w:szCs w:val="24"/>
              </w:rPr>
              <w:t xml:space="preserve"> </w:t>
            </w:r>
            <w:r w:rsidRPr="003F3FD6">
              <w:rPr>
                <w:szCs w:val="24"/>
              </w:rPr>
              <w:t>050,4</w:t>
            </w:r>
            <w:r>
              <w:rPr>
                <w:szCs w:val="24"/>
              </w:rPr>
              <w:t>0</w:t>
            </w:r>
          </w:p>
        </w:tc>
      </w:tr>
      <w:tr w:rsidR="006C226C" w:rsidRPr="006C226C" w14:paraId="26F47F44" w14:textId="77777777" w:rsidTr="005D7B79">
        <w:trPr>
          <w:tblHeader/>
        </w:trPr>
        <w:tc>
          <w:tcPr>
            <w:tcW w:w="2945" w:type="pct"/>
            <w:gridSpan w:val="3"/>
          </w:tcPr>
          <w:p w14:paraId="17D66604" w14:textId="6324FBAC" w:rsidR="006C226C" w:rsidRPr="006C226C" w:rsidRDefault="006C226C" w:rsidP="006C226C">
            <w:pPr>
              <w:tabs>
                <w:tab w:val="left" w:leader="underscore" w:pos="1701"/>
              </w:tabs>
              <w:jc w:val="right"/>
              <w:rPr>
                <w:b/>
                <w:szCs w:val="24"/>
              </w:rPr>
            </w:pPr>
            <w:bookmarkStart w:id="1" w:name="_Hlk221191225"/>
            <w:r>
              <w:rPr>
                <w:b/>
                <w:szCs w:val="24"/>
              </w:rPr>
              <w:t>Iš viso:</w:t>
            </w:r>
          </w:p>
        </w:tc>
        <w:tc>
          <w:tcPr>
            <w:tcW w:w="593" w:type="pct"/>
          </w:tcPr>
          <w:p w14:paraId="17146B91" w14:textId="3E1F053F" w:rsidR="006C226C" w:rsidRPr="006C226C" w:rsidRDefault="006C226C" w:rsidP="006C226C">
            <w:pPr>
              <w:tabs>
                <w:tab w:val="left" w:leader="underscore" w:pos="1701"/>
              </w:tabs>
              <w:jc w:val="center"/>
              <w:rPr>
                <w:b/>
                <w:szCs w:val="24"/>
              </w:rPr>
            </w:pPr>
            <w:r>
              <w:rPr>
                <w:b/>
                <w:szCs w:val="24"/>
              </w:rPr>
              <w:t>600</w:t>
            </w:r>
          </w:p>
        </w:tc>
        <w:tc>
          <w:tcPr>
            <w:tcW w:w="697" w:type="pct"/>
          </w:tcPr>
          <w:p w14:paraId="056F516D" w14:textId="471919A1" w:rsidR="006C226C" w:rsidRPr="006C226C" w:rsidRDefault="006C226C" w:rsidP="006C226C">
            <w:pPr>
              <w:tabs>
                <w:tab w:val="left" w:leader="underscore" w:pos="1701"/>
              </w:tabs>
              <w:jc w:val="center"/>
              <w:rPr>
                <w:b/>
                <w:color w:val="000000"/>
                <w:szCs w:val="24"/>
                <w:lang w:eastAsia="lt-LT"/>
              </w:rPr>
            </w:pPr>
            <w:r>
              <w:rPr>
                <w:b/>
                <w:color w:val="000000"/>
                <w:szCs w:val="24"/>
                <w:lang w:eastAsia="lt-LT"/>
              </w:rPr>
              <w:t>-</w:t>
            </w:r>
          </w:p>
        </w:tc>
        <w:tc>
          <w:tcPr>
            <w:tcW w:w="765" w:type="pct"/>
            <w:vAlign w:val="center"/>
          </w:tcPr>
          <w:p w14:paraId="1A937B79" w14:textId="199D07D8" w:rsidR="006C226C" w:rsidRPr="006C226C" w:rsidRDefault="006C226C" w:rsidP="006C226C">
            <w:pPr>
              <w:tabs>
                <w:tab w:val="left" w:leader="underscore" w:pos="1701"/>
              </w:tabs>
              <w:jc w:val="center"/>
              <w:rPr>
                <w:b/>
                <w:szCs w:val="24"/>
              </w:rPr>
            </w:pPr>
            <w:r>
              <w:rPr>
                <w:b/>
                <w:bCs/>
                <w:color w:val="000000"/>
                <w:szCs w:val="24"/>
                <w:lang w:eastAsia="lt-LT"/>
              </w:rPr>
              <w:t>301 260,00</w:t>
            </w:r>
          </w:p>
        </w:tc>
      </w:tr>
      <w:bookmarkEnd w:id="1"/>
    </w:tbl>
    <w:p w14:paraId="35C8A8BE"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4E8B6" w14:textId="77777777" w:rsidR="00F72C99" w:rsidRDefault="00F72C99">
      <w:r>
        <w:separator/>
      </w:r>
    </w:p>
  </w:endnote>
  <w:endnote w:type="continuationSeparator" w:id="0">
    <w:p w14:paraId="1DFD10A6" w14:textId="77777777" w:rsidR="00F72C99" w:rsidRDefault="00F7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ACE4" w14:textId="77777777" w:rsidR="00F72C99" w:rsidRDefault="00F72C99">
      <w:r>
        <w:separator/>
      </w:r>
    </w:p>
  </w:footnote>
  <w:footnote w:type="continuationSeparator" w:id="0">
    <w:p w14:paraId="186B8F48" w14:textId="77777777" w:rsidR="00F72C99" w:rsidRDefault="00F7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67210905">
    <w:abstractNumId w:val="2"/>
  </w:num>
  <w:num w:numId="2" w16cid:durableId="1856266657">
    <w:abstractNumId w:val="4"/>
  </w:num>
  <w:num w:numId="3" w16cid:durableId="1938177610">
    <w:abstractNumId w:val="3"/>
  </w:num>
  <w:num w:numId="4" w16cid:durableId="485171139">
    <w:abstractNumId w:val="16"/>
  </w:num>
  <w:num w:numId="5" w16cid:durableId="984550355">
    <w:abstractNumId w:val="6"/>
  </w:num>
  <w:num w:numId="6" w16cid:durableId="188227590">
    <w:abstractNumId w:val="0"/>
  </w:num>
  <w:num w:numId="7" w16cid:durableId="1947082146">
    <w:abstractNumId w:val="14"/>
  </w:num>
  <w:num w:numId="8" w16cid:durableId="1951273668">
    <w:abstractNumId w:val="5"/>
  </w:num>
  <w:num w:numId="9" w16cid:durableId="1841853081">
    <w:abstractNumId w:val="13"/>
  </w:num>
  <w:num w:numId="10" w16cid:durableId="1614895474">
    <w:abstractNumId w:val="9"/>
  </w:num>
  <w:num w:numId="11" w16cid:durableId="1894927098">
    <w:abstractNumId w:val="1"/>
  </w:num>
  <w:num w:numId="12" w16cid:durableId="1847863439">
    <w:abstractNumId w:val="7"/>
  </w:num>
  <w:num w:numId="13" w16cid:durableId="1975255553">
    <w:abstractNumId w:val="11"/>
  </w:num>
  <w:num w:numId="14" w16cid:durableId="409622163">
    <w:abstractNumId w:val="15"/>
  </w:num>
  <w:num w:numId="15" w16cid:durableId="679311910">
    <w:abstractNumId w:val="12"/>
  </w:num>
  <w:num w:numId="16" w16cid:durableId="984822090">
    <w:abstractNumId w:val="10"/>
  </w:num>
  <w:num w:numId="17" w16cid:durableId="1431001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452"/>
    <w:rsid w:val="00003A8F"/>
    <w:rsid w:val="000077F4"/>
    <w:rsid w:val="00012976"/>
    <w:rsid w:val="0001566B"/>
    <w:rsid w:val="0002192F"/>
    <w:rsid w:val="00021C8B"/>
    <w:rsid w:val="000247FF"/>
    <w:rsid w:val="0005169C"/>
    <w:rsid w:val="0005532F"/>
    <w:rsid w:val="0006066B"/>
    <w:rsid w:val="0006418C"/>
    <w:rsid w:val="00064E04"/>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6410"/>
    <w:rsid w:val="00224BFB"/>
    <w:rsid w:val="0023417F"/>
    <w:rsid w:val="00234FD8"/>
    <w:rsid w:val="00235E73"/>
    <w:rsid w:val="00240F33"/>
    <w:rsid w:val="00242F87"/>
    <w:rsid w:val="00243196"/>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0BF4"/>
    <w:rsid w:val="002D57F9"/>
    <w:rsid w:val="002D71F8"/>
    <w:rsid w:val="002D75F0"/>
    <w:rsid w:val="002D79D2"/>
    <w:rsid w:val="002D7A4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820DF"/>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3FD6"/>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87D"/>
    <w:rsid w:val="005240DA"/>
    <w:rsid w:val="00524D2D"/>
    <w:rsid w:val="00532923"/>
    <w:rsid w:val="00533646"/>
    <w:rsid w:val="005539FC"/>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75EC7"/>
    <w:rsid w:val="0068030A"/>
    <w:rsid w:val="0068063B"/>
    <w:rsid w:val="0068182A"/>
    <w:rsid w:val="006856B0"/>
    <w:rsid w:val="00686EB4"/>
    <w:rsid w:val="006978C1"/>
    <w:rsid w:val="006B0BC0"/>
    <w:rsid w:val="006B1852"/>
    <w:rsid w:val="006C226C"/>
    <w:rsid w:val="006D107B"/>
    <w:rsid w:val="006D6344"/>
    <w:rsid w:val="006D7A59"/>
    <w:rsid w:val="006E0208"/>
    <w:rsid w:val="006E038D"/>
    <w:rsid w:val="006F149F"/>
    <w:rsid w:val="006F3F79"/>
    <w:rsid w:val="006F7032"/>
    <w:rsid w:val="00701945"/>
    <w:rsid w:val="00702AD4"/>
    <w:rsid w:val="00707A4C"/>
    <w:rsid w:val="007129E5"/>
    <w:rsid w:val="00713EB6"/>
    <w:rsid w:val="007201D2"/>
    <w:rsid w:val="00723E14"/>
    <w:rsid w:val="00736212"/>
    <w:rsid w:val="00740946"/>
    <w:rsid w:val="00740CC0"/>
    <w:rsid w:val="007434B0"/>
    <w:rsid w:val="00743B7D"/>
    <w:rsid w:val="007452C6"/>
    <w:rsid w:val="00752FB7"/>
    <w:rsid w:val="007531F3"/>
    <w:rsid w:val="007533DB"/>
    <w:rsid w:val="007559D0"/>
    <w:rsid w:val="0075719A"/>
    <w:rsid w:val="00761752"/>
    <w:rsid w:val="00763D4F"/>
    <w:rsid w:val="00764F49"/>
    <w:rsid w:val="00765D66"/>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2658"/>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D4C32"/>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75C35"/>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72C9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3589-F936-4765-86EF-B4873C7D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1269</Words>
  <Characters>9074</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2026-02-09T13:58:00Z</dcterms:created>
  <dcterms:modified xsi:type="dcterms:W3CDTF">2026-02-09T13:58:00Z</dcterms:modified>
</cp:coreProperties>
</file>